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83B9A" w14:textId="7EC2D55F" w:rsidR="0030766B" w:rsidRPr="002D7808" w:rsidRDefault="00E4002A" w:rsidP="00A51E52">
      <w:pPr>
        <w:spacing w:after="0" w:line="240" w:lineRule="auto"/>
        <w:ind w:left="3686"/>
        <w:jc w:val="both"/>
        <w:rPr>
          <w:rFonts w:ascii="Century Gothic" w:hAnsi="Century Gothic" w:cs="Arial"/>
          <w:b/>
          <w:bCs/>
          <w:sz w:val="27"/>
          <w:szCs w:val="27"/>
          <w:lang w:val="es-ES_tradnl"/>
        </w:rPr>
      </w:pPr>
      <w:r w:rsidRPr="002D7808">
        <w:rPr>
          <w:rFonts w:ascii="Century Gothic" w:hAnsi="Century Gothic" w:cs="Arial"/>
          <w:b/>
          <w:bCs/>
          <w:sz w:val="27"/>
          <w:szCs w:val="27"/>
          <w:lang w:val="es-ES_tradnl"/>
        </w:rPr>
        <w:t>RECURSO DE RECONSIDERACIÓN</w:t>
      </w:r>
      <w:r w:rsidR="00E25184" w:rsidRPr="002D7808">
        <w:rPr>
          <w:rFonts w:ascii="Century Gothic" w:hAnsi="Century Gothic" w:cs="Arial"/>
          <w:b/>
          <w:bCs/>
          <w:sz w:val="27"/>
          <w:szCs w:val="27"/>
          <w:lang w:val="es-ES_tradnl"/>
        </w:rPr>
        <w:t>.</w:t>
      </w:r>
    </w:p>
    <w:p w14:paraId="681FBD57" w14:textId="77777777" w:rsidR="00E25184" w:rsidRPr="002D7808" w:rsidRDefault="00E25184" w:rsidP="00A51E52">
      <w:pPr>
        <w:spacing w:after="0" w:line="240" w:lineRule="auto"/>
        <w:ind w:left="3686"/>
        <w:jc w:val="both"/>
        <w:rPr>
          <w:rFonts w:ascii="Century Gothic" w:hAnsi="Century Gothic" w:cs="Arial"/>
          <w:b/>
          <w:bCs/>
          <w:sz w:val="27"/>
          <w:szCs w:val="27"/>
          <w:lang w:val="es-ES_tradnl"/>
        </w:rPr>
      </w:pPr>
    </w:p>
    <w:p w14:paraId="50B34E19" w14:textId="1BA61E20" w:rsidR="00A76E19" w:rsidRPr="002D7808" w:rsidRDefault="00A76E19" w:rsidP="00A51E52">
      <w:pPr>
        <w:spacing w:after="0" w:line="240" w:lineRule="auto"/>
        <w:ind w:left="3686"/>
        <w:jc w:val="both"/>
        <w:rPr>
          <w:rFonts w:ascii="Century Gothic" w:hAnsi="Century Gothic" w:cs="Arial"/>
          <w:bCs/>
          <w:sz w:val="27"/>
          <w:szCs w:val="27"/>
          <w:lang w:val="es-ES_tradnl"/>
        </w:rPr>
      </w:pPr>
      <w:r w:rsidRPr="002D7808">
        <w:rPr>
          <w:rFonts w:ascii="Century Gothic" w:hAnsi="Century Gothic" w:cs="Arial"/>
          <w:b/>
          <w:bCs/>
          <w:sz w:val="27"/>
          <w:szCs w:val="27"/>
          <w:lang w:val="es-ES_tradnl"/>
        </w:rPr>
        <w:t xml:space="preserve">EXPEDIENTE: </w:t>
      </w:r>
      <w:r w:rsidR="00D63179" w:rsidRPr="002D7808">
        <w:rPr>
          <w:rFonts w:ascii="Century Gothic" w:hAnsi="Century Gothic" w:cs="Arial"/>
          <w:bCs/>
          <w:sz w:val="27"/>
          <w:szCs w:val="27"/>
          <w:lang w:val="es-ES_tradnl"/>
        </w:rPr>
        <w:t>SUP-</w:t>
      </w:r>
      <w:r w:rsidR="00E4002A" w:rsidRPr="002D7808">
        <w:rPr>
          <w:rFonts w:ascii="Century Gothic" w:hAnsi="Century Gothic" w:cs="Arial"/>
          <w:bCs/>
          <w:sz w:val="27"/>
          <w:szCs w:val="27"/>
          <w:lang w:val="es-ES_tradnl"/>
        </w:rPr>
        <w:t>REC</w:t>
      </w:r>
      <w:r w:rsidR="00D63179" w:rsidRPr="002D7808">
        <w:rPr>
          <w:rFonts w:ascii="Century Gothic" w:hAnsi="Century Gothic" w:cs="Arial"/>
          <w:bCs/>
          <w:sz w:val="27"/>
          <w:szCs w:val="27"/>
          <w:lang w:val="es-ES_tradnl"/>
        </w:rPr>
        <w:t>-</w:t>
      </w:r>
      <w:r w:rsidR="00E25184" w:rsidRPr="002D7808">
        <w:rPr>
          <w:rFonts w:ascii="Century Gothic" w:hAnsi="Century Gothic" w:cs="Arial"/>
          <w:bCs/>
          <w:sz w:val="27"/>
          <w:szCs w:val="27"/>
          <w:lang w:val="es-ES_tradnl"/>
        </w:rPr>
        <w:t>454</w:t>
      </w:r>
      <w:r w:rsidRPr="002D7808">
        <w:rPr>
          <w:rFonts w:ascii="Century Gothic" w:hAnsi="Century Gothic" w:cs="Arial"/>
          <w:bCs/>
          <w:sz w:val="27"/>
          <w:szCs w:val="27"/>
          <w:lang w:val="es-ES_tradnl"/>
        </w:rPr>
        <w:t>/2018</w:t>
      </w:r>
      <w:r w:rsidR="00E3562E" w:rsidRPr="002D7808">
        <w:rPr>
          <w:rFonts w:ascii="Century Gothic" w:hAnsi="Century Gothic" w:cs="Arial"/>
          <w:bCs/>
          <w:sz w:val="27"/>
          <w:szCs w:val="27"/>
          <w:lang w:val="es-ES_tradnl"/>
        </w:rPr>
        <w:t>.</w:t>
      </w:r>
    </w:p>
    <w:p w14:paraId="0420D217" w14:textId="77777777" w:rsidR="00E3562E" w:rsidRPr="002D7808" w:rsidRDefault="00E3562E" w:rsidP="00A51E52">
      <w:pPr>
        <w:spacing w:after="0" w:line="240" w:lineRule="auto"/>
        <w:ind w:left="3686"/>
        <w:jc w:val="both"/>
        <w:rPr>
          <w:rFonts w:ascii="Century Gothic" w:hAnsi="Century Gothic" w:cs="Arial"/>
          <w:bCs/>
          <w:sz w:val="27"/>
          <w:szCs w:val="27"/>
          <w:lang w:val="es-ES_tradnl"/>
        </w:rPr>
      </w:pPr>
    </w:p>
    <w:p w14:paraId="09C7F60B" w14:textId="557AC46C" w:rsidR="00A76E19" w:rsidRPr="002D7808" w:rsidRDefault="00E3562E" w:rsidP="00A51E52">
      <w:pPr>
        <w:spacing w:after="0" w:line="240" w:lineRule="auto"/>
        <w:ind w:left="3686"/>
        <w:jc w:val="both"/>
        <w:rPr>
          <w:rFonts w:ascii="Century Gothic" w:hAnsi="Century Gothic" w:cs="Arial"/>
          <w:bCs/>
          <w:sz w:val="27"/>
          <w:szCs w:val="27"/>
          <w:lang w:val="es-ES_tradnl"/>
        </w:rPr>
      </w:pPr>
      <w:r w:rsidRPr="002D7808">
        <w:rPr>
          <w:rFonts w:ascii="Century Gothic" w:hAnsi="Century Gothic" w:cs="Arial"/>
          <w:b/>
          <w:bCs/>
          <w:sz w:val="27"/>
          <w:szCs w:val="27"/>
          <w:lang w:val="es-ES_tradnl"/>
        </w:rPr>
        <w:t>ACTORA</w:t>
      </w:r>
      <w:r w:rsidR="00A76E19" w:rsidRPr="002D7808">
        <w:rPr>
          <w:rFonts w:ascii="Century Gothic" w:hAnsi="Century Gothic" w:cs="Arial"/>
          <w:b/>
          <w:bCs/>
          <w:sz w:val="27"/>
          <w:szCs w:val="27"/>
          <w:lang w:val="es-ES_tradnl"/>
        </w:rPr>
        <w:t xml:space="preserve">: </w:t>
      </w:r>
      <w:r w:rsidRPr="002D7808">
        <w:rPr>
          <w:rFonts w:ascii="Century Gothic" w:hAnsi="Century Gothic" w:cs="Arial"/>
          <w:bCs/>
          <w:sz w:val="27"/>
          <w:szCs w:val="27"/>
          <w:lang w:val="es-ES_tradnl"/>
        </w:rPr>
        <w:t>MARÍA PATRICIA ÁLVAREZ ESCOBEDO.</w:t>
      </w:r>
    </w:p>
    <w:p w14:paraId="56C102B2" w14:textId="77777777" w:rsidR="00E3562E" w:rsidRPr="002D7808" w:rsidRDefault="00E3562E" w:rsidP="00A51E52">
      <w:pPr>
        <w:spacing w:after="0" w:line="240" w:lineRule="auto"/>
        <w:ind w:left="3686"/>
        <w:jc w:val="both"/>
        <w:rPr>
          <w:rFonts w:ascii="Century Gothic" w:hAnsi="Century Gothic" w:cs="Arial"/>
          <w:bCs/>
          <w:sz w:val="27"/>
          <w:szCs w:val="27"/>
          <w:lang w:val="es-ES_tradnl"/>
        </w:rPr>
      </w:pPr>
    </w:p>
    <w:p w14:paraId="5736B91F" w14:textId="6442399F" w:rsidR="005B0BE7" w:rsidRPr="002D7808" w:rsidRDefault="003C1BDF" w:rsidP="00A51E52">
      <w:pPr>
        <w:spacing w:after="0" w:line="240" w:lineRule="auto"/>
        <w:ind w:left="3686"/>
        <w:jc w:val="both"/>
        <w:rPr>
          <w:rFonts w:ascii="Century Gothic" w:hAnsi="Century Gothic" w:cs="Arial"/>
          <w:bCs/>
          <w:sz w:val="27"/>
          <w:szCs w:val="27"/>
          <w:lang w:val="es-ES"/>
        </w:rPr>
      </w:pPr>
      <w:r w:rsidRPr="002D7808">
        <w:rPr>
          <w:rFonts w:ascii="Century Gothic" w:hAnsi="Century Gothic" w:cs="Arial"/>
          <w:b/>
          <w:bCs/>
          <w:sz w:val="27"/>
          <w:szCs w:val="27"/>
          <w:lang w:val="es-ES_tradnl"/>
        </w:rPr>
        <w:t>AUTORIDAD RESPONSABLE</w:t>
      </w:r>
      <w:r w:rsidR="00A76E19" w:rsidRPr="002D7808">
        <w:rPr>
          <w:rFonts w:ascii="Century Gothic" w:hAnsi="Century Gothic" w:cs="Arial"/>
          <w:b/>
          <w:bCs/>
          <w:sz w:val="27"/>
          <w:szCs w:val="27"/>
          <w:lang w:val="es-ES_tradnl"/>
        </w:rPr>
        <w:t xml:space="preserve">: </w:t>
      </w:r>
      <w:r w:rsidR="00E4002A" w:rsidRPr="002D7808">
        <w:rPr>
          <w:rFonts w:ascii="Century Gothic" w:hAnsi="Century Gothic" w:cs="Arial"/>
          <w:bCs/>
          <w:sz w:val="27"/>
          <w:szCs w:val="27"/>
          <w:lang w:val="es-ES"/>
        </w:rPr>
        <w:t>SALA REGIONAL DEL TRIBUNAL ELECTORAL DEL PODER JUDICIAL DE LA FEDERACIÓN, CORRESPONDIENTE A LA SEGUNDA CIRCUNSCRIPCIÓN PLURINOMINAL, CON SEDE EN MONTERREY, NUEVO LEÓN</w:t>
      </w:r>
      <w:r w:rsidR="00E3562E" w:rsidRPr="002D7808">
        <w:rPr>
          <w:rFonts w:ascii="Century Gothic" w:hAnsi="Century Gothic" w:cs="Arial"/>
          <w:bCs/>
          <w:sz w:val="27"/>
          <w:szCs w:val="27"/>
          <w:lang w:val="es-ES"/>
        </w:rPr>
        <w:t>.</w:t>
      </w:r>
      <w:r w:rsidR="006D1137" w:rsidRPr="002D7808">
        <w:rPr>
          <w:rStyle w:val="Refdenotaalpie"/>
          <w:rFonts w:ascii="Century Gothic" w:hAnsi="Century Gothic" w:cs="Arial"/>
          <w:bCs/>
          <w:sz w:val="27"/>
          <w:szCs w:val="27"/>
          <w:lang w:val="es-ES"/>
        </w:rPr>
        <w:footnoteReference w:id="1"/>
      </w:r>
    </w:p>
    <w:p w14:paraId="18A8A4D9" w14:textId="77777777" w:rsidR="00E3562E" w:rsidRPr="002D7808" w:rsidRDefault="00E3562E" w:rsidP="00A51E52">
      <w:pPr>
        <w:spacing w:after="0" w:line="240" w:lineRule="auto"/>
        <w:ind w:left="3686"/>
        <w:jc w:val="both"/>
        <w:rPr>
          <w:rFonts w:ascii="Century Gothic" w:hAnsi="Century Gothic" w:cs="Arial"/>
          <w:bCs/>
          <w:sz w:val="27"/>
          <w:szCs w:val="27"/>
          <w:lang w:val="es-ES_tradnl"/>
        </w:rPr>
      </w:pPr>
    </w:p>
    <w:p w14:paraId="6968ABC8" w14:textId="2B11A0CC" w:rsidR="00A76E19" w:rsidRPr="002D7808" w:rsidRDefault="00A76E19" w:rsidP="00A51E52">
      <w:pPr>
        <w:spacing w:after="0" w:line="240" w:lineRule="auto"/>
        <w:ind w:left="3686"/>
        <w:jc w:val="both"/>
        <w:rPr>
          <w:rFonts w:ascii="Century Gothic" w:hAnsi="Century Gothic" w:cs="Arial"/>
          <w:bCs/>
          <w:sz w:val="27"/>
          <w:szCs w:val="27"/>
          <w:lang w:val="es-ES_tradnl"/>
        </w:rPr>
      </w:pPr>
      <w:r w:rsidRPr="002D7808">
        <w:rPr>
          <w:rFonts w:ascii="Century Gothic" w:hAnsi="Century Gothic" w:cs="Arial"/>
          <w:b/>
          <w:bCs/>
          <w:sz w:val="27"/>
          <w:szCs w:val="27"/>
          <w:lang w:val="es-ES_tradnl"/>
        </w:rPr>
        <w:t>MAGISTRAD</w:t>
      </w:r>
      <w:r w:rsidR="00E3562E" w:rsidRPr="002D7808">
        <w:rPr>
          <w:rFonts w:ascii="Century Gothic" w:hAnsi="Century Gothic" w:cs="Arial"/>
          <w:b/>
          <w:bCs/>
          <w:sz w:val="27"/>
          <w:szCs w:val="27"/>
          <w:lang w:val="es-ES_tradnl"/>
        </w:rPr>
        <w:t>A</w:t>
      </w:r>
      <w:r w:rsidRPr="002D7808">
        <w:rPr>
          <w:rFonts w:ascii="Century Gothic" w:hAnsi="Century Gothic" w:cs="Arial"/>
          <w:b/>
          <w:bCs/>
          <w:sz w:val="27"/>
          <w:szCs w:val="27"/>
          <w:lang w:val="es-ES_tradnl"/>
        </w:rPr>
        <w:t xml:space="preserve"> PONENTE: </w:t>
      </w:r>
      <w:r w:rsidR="00E3562E" w:rsidRPr="002D7808">
        <w:rPr>
          <w:rFonts w:ascii="Century Gothic" w:hAnsi="Century Gothic" w:cs="Arial"/>
          <w:bCs/>
          <w:sz w:val="27"/>
          <w:szCs w:val="27"/>
          <w:lang w:val="es-ES_tradnl"/>
        </w:rPr>
        <w:t>MÓNICA ARALÍ SOTO FREGOSO.</w:t>
      </w:r>
    </w:p>
    <w:p w14:paraId="0BB49FEB" w14:textId="77777777" w:rsidR="00E3562E" w:rsidRPr="002D7808" w:rsidRDefault="00E3562E" w:rsidP="00A51E52">
      <w:pPr>
        <w:spacing w:after="0" w:line="240" w:lineRule="auto"/>
        <w:ind w:left="3686"/>
        <w:jc w:val="both"/>
        <w:rPr>
          <w:rFonts w:ascii="Century Gothic" w:hAnsi="Century Gothic" w:cs="Arial"/>
          <w:bCs/>
          <w:sz w:val="27"/>
          <w:szCs w:val="27"/>
          <w:lang w:val="es-ES_tradnl"/>
        </w:rPr>
      </w:pPr>
    </w:p>
    <w:p w14:paraId="76DF3D6C" w14:textId="617DF6FC" w:rsidR="00BE4B6F" w:rsidRPr="002D7808" w:rsidRDefault="00E4002A" w:rsidP="00A51E52">
      <w:pPr>
        <w:spacing w:after="0" w:line="240" w:lineRule="auto"/>
        <w:ind w:left="3686"/>
        <w:jc w:val="both"/>
        <w:rPr>
          <w:rFonts w:ascii="Century Gothic" w:hAnsi="Century Gothic" w:cs="Arial"/>
          <w:bCs/>
          <w:sz w:val="27"/>
          <w:szCs w:val="27"/>
          <w:lang w:val="es-ES"/>
        </w:rPr>
      </w:pPr>
      <w:r w:rsidRPr="002D7808">
        <w:rPr>
          <w:rFonts w:ascii="Century Gothic" w:hAnsi="Century Gothic" w:cs="Arial"/>
          <w:b/>
          <w:bCs/>
          <w:sz w:val="27"/>
          <w:szCs w:val="27"/>
          <w:lang w:val="es-ES_tradnl"/>
        </w:rPr>
        <w:t>SECRETARI</w:t>
      </w:r>
      <w:r w:rsidR="00E3562E" w:rsidRPr="002D7808">
        <w:rPr>
          <w:rFonts w:ascii="Century Gothic" w:hAnsi="Century Gothic" w:cs="Arial"/>
          <w:b/>
          <w:bCs/>
          <w:sz w:val="27"/>
          <w:szCs w:val="27"/>
          <w:lang w:val="es-ES_tradnl"/>
        </w:rPr>
        <w:t>O</w:t>
      </w:r>
      <w:r w:rsidR="00A76E19" w:rsidRPr="002D7808">
        <w:rPr>
          <w:rFonts w:ascii="Century Gothic" w:hAnsi="Century Gothic" w:cs="Arial"/>
          <w:b/>
          <w:bCs/>
          <w:sz w:val="27"/>
          <w:szCs w:val="27"/>
          <w:lang w:val="es-ES_tradnl"/>
        </w:rPr>
        <w:t>:</w:t>
      </w:r>
      <w:r w:rsidR="00A76E19" w:rsidRPr="002D7808">
        <w:rPr>
          <w:rFonts w:ascii="Century Gothic" w:hAnsi="Century Gothic" w:cs="Arial"/>
          <w:bCs/>
          <w:sz w:val="27"/>
          <w:szCs w:val="27"/>
          <w:lang w:val="es-ES_tradnl"/>
        </w:rPr>
        <w:t xml:space="preserve"> </w:t>
      </w:r>
      <w:r w:rsidR="00E3562E" w:rsidRPr="002D7808">
        <w:rPr>
          <w:rFonts w:ascii="Century Gothic" w:hAnsi="Century Gothic" w:cs="Arial"/>
          <w:bCs/>
          <w:sz w:val="27"/>
          <w:szCs w:val="27"/>
          <w:lang w:val="es-ES"/>
        </w:rPr>
        <w:t>LUIS ÁNGEL HERNÁNDEZ RIBBÓN.</w:t>
      </w:r>
    </w:p>
    <w:p w14:paraId="387906ED" w14:textId="77777777" w:rsidR="003D714D" w:rsidRPr="002D7808" w:rsidRDefault="003D714D" w:rsidP="00A2069E">
      <w:pPr>
        <w:spacing w:after="0" w:line="240" w:lineRule="auto"/>
        <w:ind w:left="3402"/>
        <w:jc w:val="both"/>
        <w:rPr>
          <w:rFonts w:ascii="Century Gothic" w:hAnsi="Century Gothic" w:cs="Arial"/>
          <w:bCs/>
          <w:sz w:val="27"/>
          <w:szCs w:val="27"/>
          <w:lang w:val="es-ES_tradnl"/>
        </w:rPr>
      </w:pPr>
    </w:p>
    <w:p w14:paraId="6D4449C0" w14:textId="77777777" w:rsidR="005F7421" w:rsidRPr="002D7808" w:rsidRDefault="005F7421" w:rsidP="005F7421">
      <w:pPr>
        <w:spacing w:after="0" w:line="240" w:lineRule="auto"/>
        <w:jc w:val="both"/>
        <w:rPr>
          <w:rFonts w:ascii="Century Gothic" w:hAnsi="Century Gothic" w:cs="Arial"/>
          <w:sz w:val="27"/>
          <w:szCs w:val="27"/>
          <w:lang w:val="es-ES_tradnl" w:eastAsia="es-MX"/>
        </w:rPr>
      </w:pPr>
    </w:p>
    <w:p w14:paraId="6FCE2BC8" w14:textId="5E1A1BAA" w:rsidR="004F0EE3" w:rsidRPr="002D7808" w:rsidRDefault="004F0EE3" w:rsidP="003D714D">
      <w:pPr>
        <w:spacing w:after="0" w:line="360" w:lineRule="auto"/>
        <w:jc w:val="both"/>
        <w:rPr>
          <w:rFonts w:ascii="Century Gothic" w:hAnsi="Century Gothic" w:cs="Arial"/>
          <w:sz w:val="27"/>
          <w:szCs w:val="27"/>
          <w:lang w:val="es-ES_tradnl" w:eastAsia="es-MX"/>
        </w:rPr>
      </w:pPr>
      <w:r w:rsidRPr="002D7808">
        <w:rPr>
          <w:rFonts w:ascii="Century Gothic" w:hAnsi="Century Gothic" w:cs="Arial"/>
          <w:sz w:val="27"/>
          <w:szCs w:val="27"/>
          <w:lang w:val="es-ES_tradnl" w:eastAsia="es-MX"/>
        </w:rPr>
        <w:t xml:space="preserve">Ciudad de México, a </w:t>
      </w:r>
      <w:r w:rsidR="00081774">
        <w:rPr>
          <w:rFonts w:ascii="Century Gothic" w:hAnsi="Century Gothic" w:cs="Arial"/>
          <w:sz w:val="27"/>
          <w:szCs w:val="27"/>
          <w:lang w:val="es-ES_tradnl" w:eastAsia="es-MX"/>
        </w:rPr>
        <w:t>veinte</w:t>
      </w:r>
      <w:r w:rsidRPr="002D7808">
        <w:rPr>
          <w:rFonts w:ascii="Century Gothic" w:hAnsi="Century Gothic" w:cs="Arial"/>
          <w:sz w:val="27"/>
          <w:szCs w:val="27"/>
          <w:lang w:val="es-ES_tradnl" w:eastAsia="es-MX"/>
        </w:rPr>
        <w:t xml:space="preserve"> de </w:t>
      </w:r>
      <w:r w:rsidR="00E4002A" w:rsidRPr="002D7808">
        <w:rPr>
          <w:rFonts w:ascii="Century Gothic" w:hAnsi="Century Gothic" w:cs="Arial"/>
          <w:sz w:val="27"/>
          <w:szCs w:val="27"/>
          <w:lang w:val="es-ES_tradnl" w:eastAsia="es-MX"/>
        </w:rPr>
        <w:t>junio</w:t>
      </w:r>
      <w:r w:rsidRPr="002D7808">
        <w:rPr>
          <w:rFonts w:ascii="Century Gothic" w:hAnsi="Century Gothic" w:cs="Arial"/>
          <w:sz w:val="27"/>
          <w:szCs w:val="27"/>
          <w:lang w:val="es-ES_tradnl" w:eastAsia="es-MX"/>
        </w:rPr>
        <w:t xml:space="preserve"> de dos mil dieciocho</w:t>
      </w:r>
      <w:r w:rsidR="003D714D" w:rsidRPr="002D7808">
        <w:rPr>
          <w:rFonts w:ascii="Century Gothic" w:hAnsi="Century Gothic" w:cs="Arial"/>
          <w:sz w:val="27"/>
          <w:szCs w:val="27"/>
          <w:lang w:val="es-ES_tradnl" w:eastAsia="es-MX"/>
        </w:rPr>
        <w:t>.</w:t>
      </w:r>
    </w:p>
    <w:p w14:paraId="055E5FB0" w14:textId="77777777" w:rsidR="003D714D" w:rsidRPr="002D7808" w:rsidRDefault="003D714D" w:rsidP="003D714D">
      <w:pPr>
        <w:spacing w:after="0" w:line="360" w:lineRule="auto"/>
        <w:jc w:val="both"/>
        <w:rPr>
          <w:rFonts w:ascii="Century Gothic" w:hAnsi="Century Gothic" w:cs="Arial"/>
          <w:sz w:val="27"/>
          <w:szCs w:val="27"/>
          <w:lang w:val="es-ES_tradnl" w:eastAsia="es-MX"/>
        </w:rPr>
      </w:pPr>
    </w:p>
    <w:p w14:paraId="1DA25C4C" w14:textId="73DCB3BD" w:rsidR="00E3562E" w:rsidRPr="002D7808" w:rsidRDefault="00E3562E" w:rsidP="003D714D">
      <w:pPr>
        <w:tabs>
          <w:tab w:val="left" w:pos="3402"/>
        </w:tabs>
        <w:spacing w:after="0" w:line="360" w:lineRule="auto"/>
        <w:jc w:val="both"/>
        <w:rPr>
          <w:rFonts w:ascii="Century Gothic" w:hAnsi="Century Gothic"/>
          <w:sz w:val="27"/>
          <w:szCs w:val="27"/>
          <w:lang w:eastAsia="es-MX"/>
        </w:rPr>
      </w:pPr>
      <w:r w:rsidRPr="002D7808">
        <w:rPr>
          <w:rFonts w:ascii="Century Gothic" w:hAnsi="Century Gothic"/>
          <w:sz w:val="27"/>
          <w:szCs w:val="27"/>
          <w:lang w:eastAsia="es-MX"/>
        </w:rPr>
        <w:t xml:space="preserve">En el recurso de reconsideración indicado al rubro, la Sala Superior del Tribunal Electoral del Poder Judicial de la Federación, </w:t>
      </w:r>
      <w:r w:rsidRPr="002D7808">
        <w:rPr>
          <w:rFonts w:ascii="Century Gothic" w:hAnsi="Century Gothic"/>
          <w:b/>
          <w:sz w:val="27"/>
          <w:szCs w:val="27"/>
          <w:lang w:eastAsia="es-MX"/>
        </w:rPr>
        <w:t xml:space="preserve">RESUELVE </w:t>
      </w:r>
      <w:r w:rsidR="00011CA9" w:rsidRPr="002D7808">
        <w:rPr>
          <w:rFonts w:ascii="Century Gothic" w:hAnsi="Century Gothic"/>
          <w:b/>
          <w:sz w:val="27"/>
          <w:szCs w:val="27"/>
          <w:lang w:eastAsia="es-MX"/>
        </w:rPr>
        <w:t>revocar</w:t>
      </w:r>
      <w:r w:rsidRPr="002D7808">
        <w:rPr>
          <w:rFonts w:ascii="Century Gothic" w:hAnsi="Century Gothic"/>
          <w:sz w:val="27"/>
          <w:szCs w:val="27"/>
          <w:lang w:eastAsia="es-MX"/>
        </w:rPr>
        <w:t xml:space="preserve"> la sentencia impugnada y </w:t>
      </w:r>
      <w:r w:rsidRPr="002D7808">
        <w:rPr>
          <w:rFonts w:ascii="Century Gothic" w:hAnsi="Century Gothic"/>
          <w:b/>
          <w:sz w:val="27"/>
          <w:szCs w:val="27"/>
          <w:lang w:eastAsia="es-MX"/>
        </w:rPr>
        <w:t xml:space="preserve">confirmar, </w:t>
      </w:r>
      <w:r w:rsidR="00735A9E" w:rsidRPr="002D7808">
        <w:rPr>
          <w:rFonts w:ascii="Century Gothic" w:hAnsi="Century Gothic"/>
          <w:sz w:val="27"/>
          <w:szCs w:val="27"/>
          <w:lang w:eastAsia="es-MX"/>
        </w:rPr>
        <w:t>por las razones expresadas en esta ejecutoria</w:t>
      </w:r>
      <w:r w:rsidRPr="002D7808">
        <w:rPr>
          <w:rFonts w:ascii="Century Gothic" w:hAnsi="Century Gothic"/>
          <w:sz w:val="27"/>
          <w:szCs w:val="27"/>
          <w:lang w:eastAsia="es-MX"/>
        </w:rPr>
        <w:t>, la resolución dictada por el Tribunal Electoral de</w:t>
      </w:r>
      <w:r w:rsidR="008A18E8">
        <w:rPr>
          <w:rFonts w:ascii="Century Gothic" w:hAnsi="Century Gothic"/>
          <w:sz w:val="27"/>
          <w:szCs w:val="27"/>
          <w:lang w:eastAsia="es-MX"/>
        </w:rPr>
        <w:t>l Estado de</w:t>
      </w:r>
      <w:r w:rsidRPr="002D7808">
        <w:rPr>
          <w:rFonts w:ascii="Century Gothic" w:hAnsi="Century Gothic"/>
          <w:sz w:val="27"/>
          <w:szCs w:val="27"/>
          <w:lang w:eastAsia="es-MX"/>
        </w:rPr>
        <w:t xml:space="preserve"> San Luis Potosí,</w:t>
      </w:r>
      <w:r w:rsidR="009C002F" w:rsidRPr="002D7808">
        <w:rPr>
          <w:rStyle w:val="Refdenotaalpie"/>
          <w:rFonts w:ascii="Century Gothic" w:hAnsi="Century Gothic"/>
          <w:sz w:val="27"/>
          <w:szCs w:val="27"/>
          <w:lang w:eastAsia="es-MX"/>
        </w:rPr>
        <w:footnoteReference w:id="2"/>
      </w:r>
      <w:r w:rsidRPr="002D7808">
        <w:rPr>
          <w:rFonts w:ascii="Century Gothic" w:hAnsi="Century Gothic"/>
          <w:sz w:val="27"/>
          <w:szCs w:val="27"/>
          <w:lang w:eastAsia="es-MX"/>
        </w:rPr>
        <w:t xml:space="preserve"> </w:t>
      </w:r>
      <w:r w:rsidR="006D1137" w:rsidRPr="002D7808">
        <w:rPr>
          <w:rFonts w:ascii="Century Gothic" w:hAnsi="Century Gothic"/>
          <w:sz w:val="27"/>
          <w:szCs w:val="27"/>
          <w:lang w:eastAsia="es-MX"/>
        </w:rPr>
        <w:t xml:space="preserve">en la que determinó modificar el acuerdo </w:t>
      </w:r>
      <w:r w:rsidR="00545AD1" w:rsidRPr="002D7808">
        <w:rPr>
          <w:rFonts w:ascii="Century Gothic" w:hAnsi="Century Gothic"/>
          <w:sz w:val="27"/>
          <w:szCs w:val="27"/>
          <w:lang w:eastAsia="es-MX"/>
        </w:rPr>
        <w:t>en el</w:t>
      </w:r>
      <w:r w:rsidR="006D1137" w:rsidRPr="002D7808">
        <w:rPr>
          <w:rFonts w:ascii="Century Gothic" w:hAnsi="Century Gothic"/>
          <w:sz w:val="27"/>
          <w:szCs w:val="27"/>
          <w:lang w:eastAsia="es-MX"/>
        </w:rPr>
        <w:t xml:space="preserve"> que se resolvió el registro de candidaturas a las diputaciones </w:t>
      </w:r>
      <w:r w:rsidR="006D1137" w:rsidRPr="002D7808">
        <w:rPr>
          <w:rFonts w:ascii="Century Gothic" w:hAnsi="Century Gothic"/>
          <w:sz w:val="27"/>
          <w:szCs w:val="27"/>
          <w:lang w:eastAsia="es-MX"/>
        </w:rPr>
        <w:lastRenderedPageBreak/>
        <w:t>por el principio de representación proporcional postuladas por el Partido del Trabajo</w:t>
      </w:r>
      <w:r w:rsidR="009C002F" w:rsidRPr="002D7808">
        <w:rPr>
          <w:rStyle w:val="Refdenotaalpie"/>
          <w:rFonts w:ascii="Century Gothic" w:hAnsi="Century Gothic"/>
          <w:sz w:val="27"/>
          <w:szCs w:val="27"/>
          <w:lang w:eastAsia="es-MX"/>
        </w:rPr>
        <w:footnoteReference w:id="3"/>
      </w:r>
      <w:r w:rsidR="006D1137" w:rsidRPr="002D7808">
        <w:rPr>
          <w:rFonts w:ascii="Century Gothic" w:hAnsi="Century Gothic"/>
          <w:sz w:val="27"/>
          <w:szCs w:val="27"/>
          <w:lang w:eastAsia="es-MX"/>
        </w:rPr>
        <w:t xml:space="preserve"> para el actual proceso electoral local en dicha entidad, para efectos de ajustar el orden de prelación como mecanismo necesari</w:t>
      </w:r>
      <w:r w:rsidR="00FE1140" w:rsidRPr="002D7808">
        <w:rPr>
          <w:rFonts w:ascii="Century Gothic" w:hAnsi="Century Gothic"/>
          <w:sz w:val="27"/>
          <w:szCs w:val="27"/>
          <w:lang w:eastAsia="es-MX"/>
        </w:rPr>
        <w:t>o</w:t>
      </w:r>
      <w:r w:rsidR="006D1137" w:rsidRPr="002D7808">
        <w:rPr>
          <w:rFonts w:ascii="Century Gothic" w:hAnsi="Century Gothic"/>
          <w:sz w:val="27"/>
          <w:szCs w:val="27"/>
          <w:lang w:eastAsia="es-MX"/>
        </w:rPr>
        <w:t xml:space="preserve"> para garantizar el principio de paridad de género en las postulaciones del referido partido.</w:t>
      </w:r>
    </w:p>
    <w:p w14:paraId="0B2DDD3B" w14:textId="77777777" w:rsidR="003D714D" w:rsidRPr="002D7808" w:rsidRDefault="003D714D" w:rsidP="003D714D">
      <w:pPr>
        <w:tabs>
          <w:tab w:val="left" w:pos="3402"/>
        </w:tabs>
        <w:spacing w:after="0" w:line="360" w:lineRule="auto"/>
        <w:jc w:val="both"/>
        <w:rPr>
          <w:rFonts w:ascii="Century Gothic" w:hAnsi="Century Gothic"/>
          <w:sz w:val="27"/>
          <w:szCs w:val="27"/>
          <w:lang w:eastAsia="es-MX"/>
        </w:rPr>
      </w:pPr>
    </w:p>
    <w:p w14:paraId="688581F8" w14:textId="73C1FE5D" w:rsidR="004F0EE3" w:rsidRPr="002D7808" w:rsidRDefault="00173F34" w:rsidP="00173F34">
      <w:pPr>
        <w:pStyle w:val="Ttulo1"/>
        <w:spacing w:before="0" w:beforeAutospacing="0" w:after="0" w:afterAutospacing="0" w:line="360" w:lineRule="auto"/>
        <w:rPr>
          <w:rFonts w:ascii="Century Gothic" w:hAnsi="Century Gothic"/>
          <w:sz w:val="27"/>
          <w:szCs w:val="27"/>
          <w:lang w:val="es-ES_tradnl" w:eastAsia="es-MX"/>
        </w:rPr>
      </w:pPr>
      <w:bookmarkStart w:id="0" w:name="_Toc390263638"/>
      <w:r>
        <w:rPr>
          <w:rFonts w:ascii="Century Gothic" w:hAnsi="Century Gothic"/>
          <w:sz w:val="27"/>
          <w:szCs w:val="27"/>
          <w:lang w:val="es-ES_tradnl" w:eastAsia="es-MX"/>
        </w:rPr>
        <w:t xml:space="preserve">I. </w:t>
      </w:r>
      <w:r w:rsidR="004F0EE3" w:rsidRPr="002D7808">
        <w:rPr>
          <w:rFonts w:ascii="Century Gothic" w:hAnsi="Century Gothic"/>
          <w:sz w:val="27"/>
          <w:szCs w:val="27"/>
          <w:lang w:val="es-ES_tradnl" w:eastAsia="es-MX"/>
        </w:rPr>
        <w:t>ANTECEDENTES</w:t>
      </w:r>
      <w:bookmarkEnd w:id="0"/>
    </w:p>
    <w:p w14:paraId="2E08BC85" w14:textId="77777777" w:rsidR="003D714D" w:rsidRPr="002D7808" w:rsidRDefault="003D714D" w:rsidP="003D714D">
      <w:pPr>
        <w:rPr>
          <w:lang w:val="es-ES_tradnl" w:eastAsia="es-MX"/>
        </w:rPr>
      </w:pPr>
    </w:p>
    <w:p w14:paraId="32840EB4" w14:textId="7E6682A3" w:rsidR="0049695F" w:rsidRPr="002D7808" w:rsidRDefault="0049695F" w:rsidP="003D714D">
      <w:pPr>
        <w:spacing w:after="0" w:line="360" w:lineRule="auto"/>
        <w:jc w:val="both"/>
        <w:rPr>
          <w:rStyle w:val="Ttulo2Car"/>
          <w:rFonts w:ascii="Century Gothic" w:hAnsi="Century Gothic" w:cs="Arial"/>
          <w:b w:val="0"/>
          <w:sz w:val="27"/>
          <w:szCs w:val="27"/>
        </w:rPr>
      </w:pPr>
      <w:r w:rsidRPr="002D7808">
        <w:rPr>
          <w:rStyle w:val="Ttulo2Car"/>
          <w:rFonts w:ascii="Century Gothic" w:hAnsi="Century Gothic" w:cs="Arial"/>
          <w:sz w:val="27"/>
          <w:szCs w:val="27"/>
        </w:rPr>
        <w:t xml:space="preserve">a. Lineamientos para cumplir con el principio de paridad de género. </w:t>
      </w:r>
      <w:r w:rsidRPr="002D7808">
        <w:rPr>
          <w:rStyle w:val="Ttulo2Car"/>
          <w:rFonts w:ascii="Century Gothic" w:hAnsi="Century Gothic" w:cs="Arial"/>
          <w:b w:val="0"/>
          <w:sz w:val="27"/>
          <w:szCs w:val="27"/>
        </w:rPr>
        <w:t>El diecinueve de junio de dos mil diecisiete, el Consejo General del Consejo Estatal y Participación Ciudadana de Sa Luis Potosí</w:t>
      </w:r>
      <w:r w:rsidRPr="002D7808">
        <w:rPr>
          <w:rStyle w:val="Refdenotaalpie"/>
          <w:rFonts w:ascii="Century Gothic" w:eastAsiaTheme="majorEastAsia" w:hAnsi="Century Gothic" w:cs="Arial"/>
          <w:bCs/>
          <w:sz w:val="27"/>
          <w:szCs w:val="27"/>
        </w:rPr>
        <w:footnoteReference w:id="4"/>
      </w:r>
      <w:r w:rsidRPr="002D7808">
        <w:rPr>
          <w:rStyle w:val="Ttulo2Car"/>
          <w:rFonts w:ascii="Century Gothic" w:hAnsi="Century Gothic" w:cs="Arial"/>
          <w:b w:val="0"/>
          <w:sz w:val="27"/>
          <w:szCs w:val="27"/>
        </w:rPr>
        <w:t xml:space="preserve"> aprobó los Lineamientos Generales para la Verificación del cumplimiento del principio de paridad de género en las candidaturas a diputados y diputadas e integrantes de los Ayuntamientos del Estado de Sa</w:t>
      </w:r>
      <w:r w:rsidR="00B740FB" w:rsidRPr="002D7808">
        <w:rPr>
          <w:rStyle w:val="Ttulo2Car"/>
          <w:rFonts w:ascii="Century Gothic" w:hAnsi="Century Gothic" w:cs="Arial"/>
          <w:b w:val="0"/>
          <w:sz w:val="27"/>
          <w:szCs w:val="27"/>
        </w:rPr>
        <w:t>n</w:t>
      </w:r>
      <w:r w:rsidRPr="002D7808">
        <w:rPr>
          <w:rStyle w:val="Ttulo2Car"/>
          <w:rFonts w:ascii="Century Gothic" w:hAnsi="Century Gothic" w:cs="Arial"/>
          <w:b w:val="0"/>
          <w:sz w:val="27"/>
          <w:szCs w:val="27"/>
        </w:rPr>
        <w:t xml:space="preserve"> Luis Potosí, de conformidad con lo previsto en el artículo 135, fracción </w:t>
      </w:r>
      <w:r w:rsidR="00B10EDA" w:rsidRPr="002D7808">
        <w:rPr>
          <w:rStyle w:val="Ttulo2Car"/>
          <w:rFonts w:ascii="Century Gothic" w:hAnsi="Century Gothic" w:cs="Arial"/>
          <w:b w:val="0"/>
          <w:sz w:val="27"/>
          <w:szCs w:val="27"/>
        </w:rPr>
        <w:t>X</w:t>
      </w:r>
      <w:r w:rsidRPr="002D7808">
        <w:rPr>
          <w:rStyle w:val="Ttulo2Car"/>
          <w:rFonts w:ascii="Century Gothic" w:hAnsi="Century Gothic" w:cs="Arial"/>
          <w:b w:val="0"/>
          <w:sz w:val="27"/>
          <w:szCs w:val="27"/>
        </w:rPr>
        <w:t>IX, párrafo segundo de la Ley Electoral del Estado.</w:t>
      </w:r>
      <w:r w:rsidRPr="002D7808">
        <w:rPr>
          <w:rStyle w:val="Refdenotaalpie"/>
          <w:rFonts w:ascii="Century Gothic" w:eastAsiaTheme="majorEastAsia" w:hAnsi="Century Gothic" w:cs="Arial"/>
          <w:bCs/>
          <w:sz w:val="27"/>
          <w:szCs w:val="27"/>
        </w:rPr>
        <w:footnoteReference w:id="5"/>
      </w:r>
    </w:p>
    <w:p w14:paraId="2438CE82" w14:textId="77777777" w:rsidR="003D714D" w:rsidRPr="002D7808" w:rsidRDefault="003D714D" w:rsidP="003D714D">
      <w:pPr>
        <w:spacing w:after="0" w:line="360" w:lineRule="auto"/>
        <w:jc w:val="both"/>
        <w:rPr>
          <w:rStyle w:val="Ttulo2Car"/>
          <w:rFonts w:ascii="Century Gothic" w:hAnsi="Century Gothic" w:cs="Arial"/>
          <w:b w:val="0"/>
          <w:sz w:val="27"/>
          <w:szCs w:val="27"/>
        </w:rPr>
      </w:pPr>
    </w:p>
    <w:p w14:paraId="4DF8E7A7" w14:textId="7584547C" w:rsidR="00E4002A" w:rsidRDefault="009C002F" w:rsidP="003D714D">
      <w:pPr>
        <w:spacing w:after="0" w:line="360" w:lineRule="auto"/>
        <w:jc w:val="both"/>
        <w:rPr>
          <w:rStyle w:val="Ttulo2Car"/>
          <w:rFonts w:ascii="Century Gothic" w:hAnsi="Century Gothic" w:cs="Arial"/>
          <w:b w:val="0"/>
          <w:sz w:val="27"/>
          <w:szCs w:val="27"/>
        </w:rPr>
      </w:pPr>
      <w:r w:rsidRPr="002D7808">
        <w:rPr>
          <w:rStyle w:val="Ttulo2Car"/>
          <w:rFonts w:ascii="Century Gothic" w:hAnsi="Century Gothic" w:cs="Arial"/>
          <w:sz w:val="27"/>
          <w:szCs w:val="27"/>
        </w:rPr>
        <w:t>b</w:t>
      </w:r>
      <w:r w:rsidR="00E4002A" w:rsidRPr="002D7808">
        <w:rPr>
          <w:rStyle w:val="Ttulo2Car"/>
          <w:rFonts w:ascii="Century Gothic" w:hAnsi="Century Gothic" w:cs="Arial"/>
          <w:sz w:val="27"/>
          <w:szCs w:val="27"/>
        </w:rPr>
        <w:t xml:space="preserve">. Inicio del proceso electoral. </w:t>
      </w:r>
      <w:r w:rsidR="00E4002A" w:rsidRPr="002D7808">
        <w:rPr>
          <w:rStyle w:val="Ttulo2Car"/>
          <w:rFonts w:ascii="Century Gothic" w:hAnsi="Century Gothic" w:cs="Arial"/>
          <w:b w:val="0"/>
          <w:sz w:val="27"/>
          <w:szCs w:val="27"/>
        </w:rPr>
        <w:t xml:space="preserve">El </w:t>
      </w:r>
      <w:r w:rsidRPr="002D7808">
        <w:rPr>
          <w:rStyle w:val="Ttulo2Car"/>
          <w:rFonts w:ascii="Century Gothic" w:hAnsi="Century Gothic" w:cs="Arial"/>
          <w:b w:val="0"/>
          <w:sz w:val="27"/>
          <w:szCs w:val="27"/>
        </w:rPr>
        <w:t>uno</w:t>
      </w:r>
      <w:r w:rsidR="00E4002A" w:rsidRPr="002D7808">
        <w:rPr>
          <w:rStyle w:val="Ttulo2Car"/>
          <w:rFonts w:ascii="Century Gothic" w:hAnsi="Century Gothic" w:cs="Arial"/>
          <w:b w:val="0"/>
          <w:sz w:val="27"/>
          <w:szCs w:val="27"/>
        </w:rPr>
        <w:t xml:space="preserve"> de </w:t>
      </w:r>
      <w:r w:rsidRPr="002D7808">
        <w:rPr>
          <w:rStyle w:val="Ttulo2Car"/>
          <w:rFonts w:ascii="Century Gothic" w:hAnsi="Century Gothic" w:cs="Arial"/>
          <w:b w:val="0"/>
          <w:sz w:val="27"/>
          <w:szCs w:val="27"/>
        </w:rPr>
        <w:t>septiembre</w:t>
      </w:r>
      <w:r w:rsidR="00E4002A" w:rsidRPr="002D7808">
        <w:rPr>
          <w:rStyle w:val="Ttulo2Car"/>
          <w:rFonts w:ascii="Century Gothic" w:hAnsi="Century Gothic" w:cs="Arial"/>
          <w:b w:val="0"/>
          <w:sz w:val="27"/>
          <w:szCs w:val="27"/>
        </w:rPr>
        <w:t xml:space="preserve"> </w:t>
      </w:r>
      <w:r w:rsidR="004D001F" w:rsidRPr="002D7808">
        <w:rPr>
          <w:rStyle w:val="Ttulo2Car"/>
          <w:rFonts w:ascii="Century Gothic" w:hAnsi="Century Gothic" w:cs="Arial"/>
          <w:b w:val="0"/>
          <w:sz w:val="27"/>
          <w:szCs w:val="27"/>
        </w:rPr>
        <w:t>siguiente</w:t>
      </w:r>
      <w:r w:rsidRPr="002D7808">
        <w:rPr>
          <w:rStyle w:val="Ttulo2Car"/>
          <w:rFonts w:ascii="Century Gothic" w:hAnsi="Century Gothic" w:cs="Arial"/>
          <w:b w:val="0"/>
          <w:sz w:val="27"/>
          <w:szCs w:val="27"/>
        </w:rPr>
        <w:t xml:space="preserve"> dio </w:t>
      </w:r>
      <w:r w:rsidR="00E4002A" w:rsidRPr="002D7808">
        <w:rPr>
          <w:rStyle w:val="Ttulo2Car"/>
          <w:rFonts w:ascii="Century Gothic" w:hAnsi="Century Gothic" w:cs="Arial"/>
          <w:b w:val="0"/>
          <w:sz w:val="27"/>
          <w:szCs w:val="27"/>
        </w:rPr>
        <w:t>inici</w:t>
      </w:r>
      <w:r w:rsidRPr="002D7808">
        <w:rPr>
          <w:rStyle w:val="Ttulo2Car"/>
          <w:rFonts w:ascii="Century Gothic" w:hAnsi="Century Gothic" w:cs="Arial"/>
          <w:b w:val="0"/>
          <w:sz w:val="27"/>
          <w:szCs w:val="27"/>
        </w:rPr>
        <w:t>o</w:t>
      </w:r>
      <w:r w:rsidR="00E4002A" w:rsidRPr="002D7808">
        <w:rPr>
          <w:rStyle w:val="Ttulo2Car"/>
          <w:rFonts w:ascii="Century Gothic" w:hAnsi="Century Gothic" w:cs="Arial"/>
          <w:b w:val="0"/>
          <w:sz w:val="27"/>
          <w:szCs w:val="27"/>
        </w:rPr>
        <w:t xml:space="preserve"> el proceso electoral en el </w:t>
      </w:r>
      <w:r w:rsidR="00B740FB" w:rsidRPr="002D7808">
        <w:rPr>
          <w:rStyle w:val="Ttulo2Car"/>
          <w:rFonts w:ascii="Century Gothic" w:hAnsi="Century Gothic" w:cs="Arial"/>
          <w:b w:val="0"/>
          <w:sz w:val="27"/>
          <w:szCs w:val="27"/>
        </w:rPr>
        <w:t>E</w:t>
      </w:r>
      <w:r w:rsidR="00E4002A" w:rsidRPr="002D7808">
        <w:rPr>
          <w:rStyle w:val="Ttulo2Car"/>
          <w:rFonts w:ascii="Century Gothic" w:hAnsi="Century Gothic" w:cs="Arial"/>
          <w:b w:val="0"/>
          <w:sz w:val="27"/>
          <w:szCs w:val="27"/>
        </w:rPr>
        <w:t xml:space="preserve">stado de </w:t>
      </w:r>
      <w:r w:rsidRPr="002D7808">
        <w:rPr>
          <w:rStyle w:val="Ttulo2Car"/>
          <w:rFonts w:ascii="Century Gothic" w:hAnsi="Century Gothic" w:cs="Arial"/>
          <w:b w:val="0"/>
          <w:sz w:val="27"/>
          <w:szCs w:val="27"/>
        </w:rPr>
        <w:t>San Luis Potosí</w:t>
      </w:r>
      <w:r w:rsidR="00E4002A" w:rsidRPr="002D7808">
        <w:rPr>
          <w:rStyle w:val="Ttulo2Car"/>
          <w:rFonts w:ascii="Century Gothic" w:hAnsi="Century Gothic" w:cs="Arial"/>
          <w:b w:val="0"/>
          <w:sz w:val="27"/>
          <w:szCs w:val="27"/>
        </w:rPr>
        <w:t xml:space="preserve">, para la renovación del Poder Legislativo y los ayuntamientos de la entidad. </w:t>
      </w:r>
    </w:p>
    <w:p w14:paraId="70AA2024" w14:textId="77777777" w:rsidR="003A4BBC" w:rsidRPr="002D7808" w:rsidRDefault="003A4BBC" w:rsidP="003D714D">
      <w:pPr>
        <w:spacing w:after="0" w:line="360" w:lineRule="auto"/>
        <w:jc w:val="both"/>
        <w:rPr>
          <w:rStyle w:val="Ttulo2Car"/>
          <w:rFonts w:ascii="Century Gothic" w:hAnsi="Century Gothic" w:cs="Arial"/>
          <w:b w:val="0"/>
          <w:sz w:val="27"/>
          <w:szCs w:val="27"/>
        </w:rPr>
      </w:pPr>
    </w:p>
    <w:p w14:paraId="07DCB387" w14:textId="5933E6C8" w:rsidR="004D001F" w:rsidRPr="002D7808" w:rsidRDefault="00E308B0" w:rsidP="003D714D">
      <w:pPr>
        <w:spacing w:after="0" w:line="360" w:lineRule="auto"/>
        <w:jc w:val="both"/>
        <w:rPr>
          <w:rStyle w:val="Ttulo2Car"/>
          <w:rFonts w:ascii="Century Gothic" w:hAnsi="Century Gothic" w:cs="Arial"/>
          <w:b w:val="0"/>
          <w:sz w:val="27"/>
          <w:szCs w:val="27"/>
        </w:rPr>
      </w:pPr>
      <w:r w:rsidRPr="002D7808">
        <w:rPr>
          <w:rStyle w:val="Ttulo2Car"/>
          <w:rFonts w:ascii="Century Gothic" w:hAnsi="Century Gothic" w:cs="Arial"/>
          <w:sz w:val="27"/>
          <w:szCs w:val="27"/>
        </w:rPr>
        <w:lastRenderedPageBreak/>
        <w:t>c</w:t>
      </w:r>
      <w:r w:rsidR="004D001F" w:rsidRPr="002D7808">
        <w:rPr>
          <w:rStyle w:val="Ttulo2Car"/>
          <w:rFonts w:ascii="Century Gothic" w:hAnsi="Century Gothic" w:cs="Arial"/>
          <w:sz w:val="27"/>
          <w:szCs w:val="27"/>
        </w:rPr>
        <w:t xml:space="preserve">. Modificación a los Lineamientos. </w:t>
      </w:r>
      <w:r w:rsidR="004D001F" w:rsidRPr="002D7808">
        <w:rPr>
          <w:rStyle w:val="Ttulo2Car"/>
          <w:rFonts w:ascii="Century Gothic" w:hAnsi="Century Gothic" w:cs="Arial"/>
          <w:b w:val="0"/>
          <w:sz w:val="27"/>
          <w:szCs w:val="27"/>
        </w:rPr>
        <w:t xml:space="preserve">El doce de diciembre posterior, el Consejo General del Instituto local aprobó la modificación a los Lineamientos con motivo de los cambios realizados al Reglamento de Elecciones del </w:t>
      </w:r>
      <w:r w:rsidR="00B10EDA" w:rsidRPr="002D7808">
        <w:rPr>
          <w:rStyle w:val="Ttulo2Car"/>
          <w:rFonts w:ascii="Century Gothic" w:hAnsi="Century Gothic" w:cs="Arial"/>
          <w:b w:val="0"/>
          <w:sz w:val="27"/>
          <w:szCs w:val="27"/>
        </w:rPr>
        <w:t>I</w:t>
      </w:r>
      <w:r w:rsidR="004D001F" w:rsidRPr="002D7808">
        <w:rPr>
          <w:rStyle w:val="Ttulo2Car"/>
          <w:rFonts w:ascii="Century Gothic" w:hAnsi="Century Gothic" w:cs="Arial"/>
          <w:b w:val="0"/>
          <w:sz w:val="27"/>
          <w:szCs w:val="27"/>
        </w:rPr>
        <w:t>nstituto Nacional Electoral.</w:t>
      </w:r>
    </w:p>
    <w:p w14:paraId="37295974" w14:textId="77777777" w:rsidR="003D714D" w:rsidRPr="002D7808" w:rsidRDefault="003D714D" w:rsidP="003D714D">
      <w:pPr>
        <w:spacing w:after="0" w:line="360" w:lineRule="auto"/>
        <w:jc w:val="both"/>
        <w:rPr>
          <w:rStyle w:val="Ttulo2Car"/>
          <w:rFonts w:ascii="Century Gothic" w:hAnsi="Century Gothic" w:cs="Arial"/>
          <w:b w:val="0"/>
          <w:sz w:val="27"/>
          <w:szCs w:val="27"/>
        </w:rPr>
      </w:pPr>
    </w:p>
    <w:p w14:paraId="498AD44C" w14:textId="485985F7" w:rsidR="00B10EDA" w:rsidRPr="002D7808" w:rsidRDefault="00B10EDA" w:rsidP="003D714D">
      <w:pPr>
        <w:spacing w:after="0" w:line="360" w:lineRule="auto"/>
        <w:jc w:val="both"/>
        <w:rPr>
          <w:rStyle w:val="Ttulo2Car"/>
          <w:rFonts w:ascii="Century Gothic" w:hAnsi="Century Gothic" w:cs="Arial"/>
          <w:b w:val="0"/>
          <w:sz w:val="27"/>
          <w:szCs w:val="27"/>
        </w:rPr>
      </w:pPr>
      <w:r w:rsidRPr="002D7808">
        <w:rPr>
          <w:rStyle w:val="Ttulo2Car"/>
          <w:rFonts w:ascii="Century Gothic" w:hAnsi="Century Gothic" w:cs="Arial"/>
          <w:b w:val="0"/>
          <w:sz w:val="27"/>
          <w:szCs w:val="27"/>
        </w:rPr>
        <w:t xml:space="preserve">Esencialmente, la modificación consistió en desagregar la figura de la coalición de los Lineamientos. </w:t>
      </w:r>
    </w:p>
    <w:p w14:paraId="2D7531DE" w14:textId="77777777" w:rsidR="003D714D" w:rsidRPr="002D7808" w:rsidRDefault="003D714D" w:rsidP="003D714D">
      <w:pPr>
        <w:spacing w:after="0" w:line="360" w:lineRule="auto"/>
        <w:jc w:val="both"/>
        <w:rPr>
          <w:rStyle w:val="Ttulo2Car"/>
          <w:rFonts w:ascii="Century Gothic" w:hAnsi="Century Gothic" w:cs="Arial"/>
          <w:b w:val="0"/>
          <w:sz w:val="27"/>
          <w:szCs w:val="27"/>
        </w:rPr>
      </w:pPr>
    </w:p>
    <w:p w14:paraId="30AFBC5B" w14:textId="37B3382A" w:rsidR="009C002F" w:rsidRPr="002D7808" w:rsidRDefault="00E308B0" w:rsidP="003D714D">
      <w:pPr>
        <w:spacing w:after="0" w:line="360" w:lineRule="auto"/>
        <w:jc w:val="both"/>
        <w:rPr>
          <w:rStyle w:val="Ttulo2Car"/>
          <w:rFonts w:ascii="Century Gothic" w:hAnsi="Century Gothic" w:cs="Arial"/>
          <w:b w:val="0"/>
          <w:sz w:val="27"/>
          <w:szCs w:val="27"/>
        </w:rPr>
      </w:pPr>
      <w:r w:rsidRPr="002D7808">
        <w:rPr>
          <w:rStyle w:val="Ttulo2Car"/>
          <w:rFonts w:ascii="Century Gothic" w:hAnsi="Century Gothic" w:cs="Arial"/>
          <w:sz w:val="27"/>
          <w:szCs w:val="27"/>
        </w:rPr>
        <w:t>d</w:t>
      </w:r>
      <w:r w:rsidR="009C002F" w:rsidRPr="002D7808">
        <w:rPr>
          <w:rStyle w:val="Ttulo2Car"/>
          <w:rFonts w:ascii="Century Gothic" w:hAnsi="Century Gothic" w:cs="Arial"/>
          <w:sz w:val="27"/>
          <w:szCs w:val="27"/>
        </w:rPr>
        <w:t xml:space="preserve">. </w:t>
      </w:r>
      <w:r w:rsidR="00AC5BD0" w:rsidRPr="002D7808">
        <w:rPr>
          <w:rStyle w:val="Ttulo2Car"/>
          <w:rFonts w:ascii="Century Gothic" w:hAnsi="Century Gothic" w:cs="Arial"/>
          <w:sz w:val="27"/>
          <w:szCs w:val="27"/>
        </w:rPr>
        <w:t>Solicitud y aprobación del c</w:t>
      </w:r>
      <w:r w:rsidR="009C002F" w:rsidRPr="002D7808">
        <w:rPr>
          <w:rStyle w:val="Ttulo2Car"/>
          <w:rFonts w:ascii="Century Gothic" w:hAnsi="Century Gothic" w:cs="Arial"/>
          <w:sz w:val="27"/>
          <w:szCs w:val="27"/>
        </w:rPr>
        <w:t>onvenio de coalición parcial</w:t>
      </w:r>
      <w:r w:rsidR="0049695F" w:rsidRPr="002D7808">
        <w:rPr>
          <w:rStyle w:val="Ttulo2Car"/>
          <w:rFonts w:ascii="Century Gothic" w:hAnsi="Century Gothic" w:cs="Arial"/>
          <w:sz w:val="27"/>
          <w:szCs w:val="27"/>
        </w:rPr>
        <w:t>.</w:t>
      </w:r>
      <w:r w:rsidR="009C002F" w:rsidRPr="002D7808">
        <w:rPr>
          <w:rStyle w:val="Ttulo2Car"/>
          <w:rFonts w:ascii="Century Gothic" w:hAnsi="Century Gothic" w:cs="Arial"/>
          <w:sz w:val="27"/>
          <w:szCs w:val="27"/>
        </w:rPr>
        <w:t xml:space="preserve"> </w:t>
      </w:r>
      <w:r w:rsidR="009C002F" w:rsidRPr="002D7808">
        <w:rPr>
          <w:rStyle w:val="Ttulo2Car"/>
          <w:rFonts w:ascii="Century Gothic" w:hAnsi="Century Gothic" w:cs="Arial"/>
          <w:b w:val="0"/>
          <w:sz w:val="27"/>
          <w:szCs w:val="27"/>
        </w:rPr>
        <w:t>El tres de enero del año en curso,</w:t>
      </w:r>
      <w:r w:rsidR="004D001F" w:rsidRPr="002D7808">
        <w:rPr>
          <w:rStyle w:val="Refdenotaalpie"/>
          <w:rFonts w:ascii="Century Gothic" w:eastAsiaTheme="majorEastAsia" w:hAnsi="Century Gothic" w:cs="Arial"/>
          <w:bCs/>
          <w:sz w:val="27"/>
          <w:szCs w:val="27"/>
        </w:rPr>
        <w:footnoteReference w:id="6"/>
      </w:r>
      <w:r w:rsidR="009C002F" w:rsidRPr="002D7808">
        <w:rPr>
          <w:rStyle w:val="Ttulo2Car"/>
          <w:rFonts w:ascii="Century Gothic" w:hAnsi="Century Gothic" w:cs="Arial"/>
          <w:b w:val="0"/>
          <w:sz w:val="27"/>
          <w:szCs w:val="27"/>
        </w:rPr>
        <w:t xml:space="preserve"> </w:t>
      </w:r>
      <w:r w:rsidR="004D157D" w:rsidRPr="002D7808">
        <w:rPr>
          <w:rStyle w:val="Ttulo2Car"/>
          <w:rFonts w:ascii="Century Gothic" w:hAnsi="Century Gothic" w:cs="Arial"/>
          <w:b w:val="0"/>
          <w:sz w:val="27"/>
          <w:szCs w:val="27"/>
        </w:rPr>
        <w:t xml:space="preserve">los partidos políticos MORENA, Encuentro Social y del Trabajo, solicitaron el registro del convenio parcial de la Coalición "Juntos Haremos Historia", con la finalidad de postular por el </w:t>
      </w:r>
      <w:r w:rsidR="004D157D" w:rsidRPr="002D7808">
        <w:rPr>
          <w:rStyle w:val="Ttulo2Car"/>
          <w:rFonts w:ascii="Century Gothic" w:hAnsi="Century Gothic" w:cs="Arial"/>
          <w:sz w:val="27"/>
          <w:szCs w:val="27"/>
        </w:rPr>
        <w:t>principio</w:t>
      </w:r>
      <w:r w:rsidR="004D157D" w:rsidRPr="002D7808">
        <w:rPr>
          <w:rStyle w:val="Ttulo2Car"/>
          <w:rFonts w:ascii="Century Gothic" w:hAnsi="Century Gothic" w:cs="Arial"/>
          <w:b w:val="0"/>
          <w:sz w:val="27"/>
          <w:szCs w:val="27"/>
        </w:rPr>
        <w:t xml:space="preserve"> de mayoría relativa, catorce fórmulas de candidaturas a las diputaciones locales </w:t>
      </w:r>
      <w:r w:rsidR="00C22FA0" w:rsidRPr="002D7808">
        <w:rPr>
          <w:rStyle w:val="Ttulo2Car"/>
          <w:rFonts w:ascii="Century Gothic" w:hAnsi="Century Gothic" w:cs="Arial"/>
          <w:b w:val="0"/>
          <w:sz w:val="27"/>
          <w:szCs w:val="27"/>
        </w:rPr>
        <w:t>de</w:t>
      </w:r>
      <w:r w:rsidR="004D157D" w:rsidRPr="002D7808">
        <w:rPr>
          <w:rStyle w:val="Ttulo2Car"/>
          <w:rFonts w:ascii="Century Gothic" w:hAnsi="Century Gothic" w:cs="Arial"/>
          <w:b w:val="0"/>
          <w:sz w:val="27"/>
          <w:szCs w:val="27"/>
        </w:rPr>
        <w:t xml:space="preserve"> </w:t>
      </w:r>
      <w:r w:rsidR="00C22FA0" w:rsidRPr="002D7808">
        <w:rPr>
          <w:rStyle w:val="Ttulo2Car"/>
          <w:rFonts w:ascii="Century Gothic" w:hAnsi="Century Gothic" w:cs="Arial"/>
          <w:b w:val="0"/>
          <w:sz w:val="27"/>
          <w:szCs w:val="27"/>
        </w:rPr>
        <w:t>quince</w:t>
      </w:r>
      <w:r w:rsidR="004D157D" w:rsidRPr="002D7808">
        <w:rPr>
          <w:rStyle w:val="Ttulo2Car"/>
          <w:rFonts w:ascii="Century Gothic" w:hAnsi="Century Gothic" w:cs="Arial"/>
          <w:b w:val="0"/>
          <w:sz w:val="27"/>
          <w:szCs w:val="27"/>
        </w:rPr>
        <w:t xml:space="preserve"> distritos.</w:t>
      </w:r>
    </w:p>
    <w:p w14:paraId="731239C8" w14:textId="77777777" w:rsidR="00EC4220" w:rsidRPr="002D7808" w:rsidRDefault="00EC4220" w:rsidP="003D714D">
      <w:pPr>
        <w:spacing w:after="0" w:line="360" w:lineRule="auto"/>
        <w:jc w:val="both"/>
        <w:rPr>
          <w:rStyle w:val="Ttulo2Car"/>
          <w:rFonts w:ascii="Century Gothic" w:hAnsi="Century Gothic" w:cs="Arial"/>
          <w:b w:val="0"/>
          <w:sz w:val="27"/>
          <w:szCs w:val="27"/>
        </w:rPr>
      </w:pPr>
    </w:p>
    <w:p w14:paraId="6C9CE559" w14:textId="1D3F992E" w:rsidR="00AC5BD0" w:rsidRPr="002D7808" w:rsidRDefault="00AC5BD0" w:rsidP="003D714D">
      <w:pPr>
        <w:spacing w:after="0" w:line="360" w:lineRule="auto"/>
        <w:jc w:val="both"/>
        <w:rPr>
          <w:rStyle w:val="Ttulo2Car"/>
          <w:rFonts w:ascii="Century Gothic" w:hAnsi="Century Gothic" w:cs="Arial"/>
          <w:b w:val="0"/>
          <w:sz w:val="27"/>
          <w:szCs w:val="27"/>
        </w:rPr>
      </w:pPr>
      <w:r w:rsidRPr="002D7808">
        <w:rPr>
          <w:rStyle w:val="Ttulo2Car"/>
          <w:rFonts w:ascii="Century Gothic" w:hAnsi="Century Gothic" w:cs="Arial"/>
          <w:b w:val="0"/>
          <w:sz w:val="27"/>
          <w:szCs w:val="27"/>
        </w:rPr>
        <w:t xml:space="preserve">El citado convenio </w:t>
      </w:r>
      <w:r w:rsidR="004D001F" w:rsidRPr="002D7808">
        <w:rPr>
          <w:rStyle w:val="Ttulo2Car"/>
          <w:rFonts w:ascii="Century Gothic" w:hAnsi="Century Gothic" w:cs="Arial"/>
          <w:b w:val="0"/>
          <w:sz w:val="27"/>
          <w:szCs w:val="27"/>
        </w:rPr>
        <w:t>fue aprobado</w:t>
      </w:r>
      <w:r w:rsidRPr="002D7808">
        <w:rPr>
          <w:rStyle w:val="Ttulo2Car"/>
          <w:rFonts w:ascii="Century Gothic" w:hAnsi="Century Gothic" w:cs="Arial"/>
          <w:b w:val="0"/>
          <w:sz w:val="27"/>
          <w:szCs w:val="27"/>
        </w:rPr>
        <w:t xml:space="preserve"> el doce de enero siguiente por el </w:t>
      </w:r>
      <w:r w:rsidR="004D001F" w:rsidRPr="002D7808">
        <w:rPr>
          <w:rStyle w:val="Ttulo2Car"/>
          <w:rFonts w:ascii="Century Gothic" w:hAnsi="Century Gothic" w:cs="Arial"/>
          <w:b w:val="0"/>
          <w:sz w:val="27"/>
          <w:szCs w:val="27"/>
        </w:rPr>
        <w:t>Consejo General del Instituto local.</w:t>
      </w:r>
    </w:p>
    <w:p w14:paraId="2BE4465D" w14:textId="77777777" w:rsidR="00EC4220" w:rsidRPr="002D7808" w:rsidRDefault="00EC4220" w:rsidP="003D714D">
      <w:pPr>
        <w:spacing w:after="0" w:line="360" w:lineRule="auto"/>
        <w:jc w:val="both"/>
        <w:rPr>
          <w:rStyle w:val="Ttulo2Car"/>
          <w:rFonts w:ascii="Century Gothic" w:hAnsi="Century Gothic" w:cs="Arial"/>
          <w:b w:val="0"/>
          <w:sz w:val="27"/>
          <w:szCs w:val="27"/>
        </w:rPr>
      </w:pPr>
    </w:p>
    <w:p w14:paraId="60DBCFC7" w14:textId="219B4BB3" w:rsidR="00E4002A" w:rsidRPr="002D7808" w:rsidRDefault="00E308B0" w:rsidP="003D714D">
      <w:pPr>
        <w:spacing w:after="0" w:line="360" w:lineRule="auto"/>
        <w:jc w:val="both"/>
        <w:rPr>
          <w:rFonts w:ascii="Century Gothic" w:hAnsi="Century Gothic" w:cs="Arial"/>
          <w:sz w:val="27"/>
          <w:szCs w:val="27"/>
        </w:rPr>
      </w:pPr>
      <w:r w:rsidRPr="002D7808">
        <w:rPr>
          <w:rStyle w:val="Ttulo2Car"/>
          <w:rFonts w:ascii="Century Gothic" w:hAnsi="Century Gothic" w:cs="Arial"/>
          <w:sz w:val="27"/>
          <w:szCs w:val="27"/>
        </w:rPr>
        <w:t>e</w:t>
      </w:r>
      <w:r w:rsidR="00E4002A" w:rsidRPr="002D7808">
        <w:rPr>
          <w:rFonts w:ascii="Century Gothic" w:hAnsi="Century Gothic" w:cs="Arial"/>
          <w:b/>
          <w:sz w:val="27"/>
          <w:szCs w:val="27"/>
        </w:rPr>
        <w:t xml:space="preserve">. </w:t>
      </w:r>
      <w:r w:rsidR="00B10EDA" w:rsidRPr="002D7808">
        <w:rPr>
          <w:rFonts w:ascii="Century Gothic" w:hAnsi="Century Gothic" w:cs="Arial"/>
          <w:b/>
          <w:sz w:val="27"/>
          <w:szCs w:val="27"/>
        </w:rPr>
        <w:t>Solicitud de r</w:t>
      </w:r>
      <w:r w:rsidR="00E4002A" w:rsidRPr="002D7808">
        <w:rPr>
          <w:rFonts w:ascii="Century Gothic" w:hAnsi="Century Gothic" w:cs="Arial"/>
          <w:b/>
          <w:sz w:val="27"/>
          <w:szCs w:val="27"/>
        </w:rPr>
        <w:t>egistro de candidaturas</w:t>
      </w:r>
      <w:r w:rsidR="00B10EDA" w:rsidRPr="002D7808">
        <w:rPr>
          <w:rFonts w:ascii="Century Gothic" w:hAnsi="Century Gothic" w:cs="Arial"/>
          <w:b/>
          <w:sz w:val="27"/>
          <w:szCs w:val="27"/>
        </w:rPr>
        <w:t xml:space="preserve"> a diputaciones locales por</w:t>
      </w:r>
      <w:r w:rsidR="004D001F" w:rsidRPr="002D7808">
        <w:rPr>
          <w:rFonts w:ascii="Century Gothic" w:hAnsi="Century Gothic" w:cs="Arial"/>
          <w:b/>
          <w:sz w:val="27"/>
          <w:szCs w:val="27"/>
        </w:rPr>
        <w:t xml:space="preserve"> principio de </w:t>
      </w:r>
      <w:r w:rsidR="00B10EDA" w:rsidRPr="002D7808">
        <w:rPr>
          <w:rFonts w:ascii="Century Gothic" w:hAnsi="Century Gothic" w:cs="Arial"/>
          <w:b/>
          <w:sz w:val="27"/>
          <w:szCs w:val="27"/>
        </w:rPr>
        <w:t>representación proporcional postuladas por el PT.</w:t>
      </w:r>
      <w:r w:rsidR="00E4002A" w:rsidRPr="002D7808">
        <w:rPr>
          <w:rFonts w:ascii="Century Gothic" w:hAnsi="Century Gothic" w:cs="Arial"/>
          <w:sz w:val="27"/>
          <w:szCs w:val="27"/>
        </w:rPr>
        <w:t xml:space="preserve"> </w:t>
      </w:r>
      <w:r w:rsidR="00B10EDA" w:rsidRPr="002D7808">
        <w:rPr>
          <w:rFonts w:ascii="Century Gothic" w:hAnsi="Century Gothic" w:cs="Arial"/>
          <w:sz w:val="27"/>
          <w:szCs w:val="27"/>
        </w:rPr>
        <w:t xml:space="preserve"> Entre el veintiuno y veintisiete de marzo, el PT presentó la solicitud de registro de </w:t>
      </w:r>
      <w:r w:rsidRPr="002D7808">
        <w:rPr>
          <w:rFonts w:ascii="Century Gothic" w:hAnsi="Century Gothic" w:cs="Arial"/>
          <w:sz w:val="27"/>
          <w:szCs w:val="27"/>
        </w:rPr>
        <w:t>la lista</w:t>
      </w:r>
      <w:r w:rsidR="00B10EDA" w:rsidRPr="002D7808">
        <w:rPr>
          <w:rFonts w:ascii="Century Gothic" w:hAnsi="Century Gothic" w:cs="Arial"/>
          <w:sz w:val="27"/>
          <w:szCs w:val="27"/>
        </w:rPr>
        <w:t xml:space="preserve"> de </w:t>
      </w:r>
      <w:r w:rsidR="00B10EDA" w:rsidRPr="002D7808">
        <w:rPr>
          <w:rFonts w:ascii="Century Gothic" w:hAnsi="Century Gothic" w:cs="Arial"/>
          <w:sz w:val="27"/>
          <w:szCs w:val="27"/>
        </w:rPr>
        <w:lastRenderedPageBreak/>
        <w:t>candidaturas a diputaciones locales por el principio de representación proporcional.</w:t>
      </w:r>
    </w:p>
    <w:p w14:paraId="68F1FF51" w14:textId="26DCA403" w:rsidR="00E308B0" w:rsidRPr="002D7808" w:rsidRDefault="00E308B0" w:rsidP="003D714D">
      <w:pPr>
        <w:spacing w:after="0" w:line="360" w:lineRule="auto"/>
        <w:jc w:val="both"/>
        <w:rPr>
          <w:rFonts w:ascii="Century Gothic" w:hAnsi="Century Gothic" w:cs="Arial"/>
          <w:sz w:val="27"/>
          <w:szCs w:val="27"/>
        </w:rPr>
      </w:pPr>
    </w:p>
    <w:p w14:paraId="798CDBE8" w14:textId="0406E306" w:rsidR="00E308B0" w:rsidRPr="002D7808" w:rsidRDefault="00E308B0" w:rsidP="003D714D">
      <w:pPr>
        <w:spacing w:after="0" w:line="360" w:lineRule="auto"/>
        <w:jc w:val="both"/>
        <w:rPr>
          <w:rFonts w:ascii="Century Gothic" w:hAnsi="Century Gothic" w:cs="Arial"/>
          <w:sz w:val="27"/>
          <w:szCs w:val="27"/>
        </w:rPr>
      </w:pPr>
      <w:r w:rsidRPr="002D7808">
        <w:rPr>
          <w:rFonts w:ascii="Century Gothic" w:hAnsi="Century Gothic" w:cs="Arial"/>
          <w:b/>
          <w:sz w:val="27"/>
          <w:szCs w:val="27"/>
        </w:rPr>
        <w:t xml:space="preserve">f. Acuerdo de cumplimiento de paridad en la lista de diputaciones de representación proporcional del PT. </w:t>
      </w:r>
      <w:r w:rsidR="0034512C" w:rsidRPr="002D7808">
        <w:rPr>
          <w:rFonts w:ascii="Century Gothic" w:hAnsi="Century Gothic" w:cs="Arial"/>
          <w:sz w:val="27"/>
          <w:szCs w:val="27"/>
        </w:rPr>
        <w:t>El doce de abril, el Consejo General del Instituto local determinó que la lista de candidaturas postuladas por el PT cumplía con el principio de paridad de género de manera vertical.</w:t>
      </w:r>
    </w:p>
    <w:p w14:paraId="17401AB3" w14:textId="77777777" w:rsidR="003D714D" w:rsidRPr="002D7808" w:rsidRDefault="003D714D" w:rsidP="003D714D">
      <w:pPr>
        <w:spacing w:after="0" w:line="360" w:lineRule="auto"/>
        <w:jc w:val="both"/>
        <w:rPr>
          <w:rFonts w:ascii="Century Gothic" w:hAnsi="Century Gothic" w:cs="Arial"/>
          <w:sz w:val="27"/>
          <w:szCs w:val="27"/>
        </w:rPr>
      </w:pPr>
    </w:p>
    <w:p w14:paraId="5F6395B5" w14:textId="114CFD60" w:rsidR="0034512C" w:rsidRPr="002D7808" w:rsidRDefault="0034512C" w:rsidP="003D714D">
      <w:pPr>
        <w:spacing w:after="0" w:line="360" w:lineRule="auto"/>
        <w:jc w:val="both"/>
        <w:rPr>
          <w:rFonts w:ascii="Century Gothic" w:hAnsi="Century Gothic" w:cs="Arial"/>
          <w:sz w:val="27"/>
          <w:szCs w:val="27"/>
        </w:rPr>
      </w:pPr>
      <w:r w:rsidRPr="002D7808">
        <w:rPr>
          <w:rFonts w:ascii="Century Gothic" w:hAnsi="Century Gothic" w:cs="Arial"/>
          <w:b/>
          <w:sz w:val="27"/>
          <w:szCs w:val="27"/>
        </w:rPr>
        <w:t xml:space="preserve">g. Aprobación de registro. </w:t>
      </w:r>
      <w:r w:rsidRPr="002D7808">
        <w:rPr>
          <w:rFonts w:ascii="Century Gothic" w:hAnsi="Century Gothic" w:cs="Arial"/>
          <w:sz w:val="27"/>
          <w:szCs w:val="27"/>
        </w:rPr>
        <w:t xml:space="preserve">Una vez determinado el cumplimiento del principio de paridad de género, el </w:t>
      </w:r>
      <w:r w:rsidR="0028765C" w:rsidRPr="002D7808">
        <w:rPr>
          <w:rFonts w:ascii="Century Gothic" w:hAnsi="Century Gothic" w:cs="Arial"/>
          <w:sz w:val="27"/>
          <w:szCs w:val="27"/>
        </w:rPr>
        <w:t xml:space="preserve">veinte de abril se declaró procedente el registro de </w:t>
      </w:r>
      <w:r w:rsidR="005D7D28" w:rsidRPr="002D7808">
        <w:rPr>
          <w:rFonts w:ascii="Century Gothic" w:hAnsi="Century Gothic" w:cs="Arial"/>
          <w:sz w:val="27"/>
          <w:szCs w:val="27"/>
        </w:rPr>
        <w:t>candidaturas a las diputaciones por el principio de representación</w:t>
      </w:r>
      <w:r w:rsidR="00734C54" w:rsidRPr="002D7808">
        <w:rPr>
          <w:rFonts w:ascii="Century Gothic" w:hAnsi="Century Gothic" w:cs="Arial"/>
          <w:sz w:val="27"/>
          <w:szCs w:val="27"/>
        </w:rPr>
        <w:t xml:space="preserve"> postuladas por el PT, por lo que la lista quedó como sigue:</w:t>
      </w:r>
    </w:p>
    <w:p w14:paraId="51A11621" w14:textId="77777777" w:rsidR="003D714D" w:rsidRPr="002D7808" w:rsidRDefault="003D714D" w:rsidP="003D714D">
      <w:pPr>
        <w:spacing w:after="0" w:line="360" w:lineRule="auto"/>
        <w:jc w:val="both"/>
        <w:rPr>
          <w:rFonts w:ascii="Century Gothic" w:hAnsi="Century Gothic" w:cs="Arial"/>
          <w:sz w:val="27"/>
          <w:szCs w:val="27"/>
        </w:rPr>
      </w:pPr>
    </w:p>
    <w:tbl>
      <w:tblPr>
        <w:tblStyle w:val="Tablaconcuadrcula"/>
        <w:tblW w:w="6015" w:type="dxa"/>
        <w:jc w:val="center"/>
        <w:tblLook w:val="04A0" w:firstRow="1" w:lastRow="0" w:firstColumn="1" w:lastColumn="0" w:noHBand="0" w:noVBand="1"/>
      </w:tblPr>
      <w:tblGrid>
        <w:gridCol w:w="1136"/>
        <w:gridCol w:w="1942"/>
        <w:gridCol w:w="2937"/>
      </w:tblGrid>
      <w:tr w:rsidR="00CC60F6" w:rsidRPr="00A0236E" w14:paraId="4DABB28B" w14:textId="77777777" w:rsidTr="00E114CF">
        <w:trPr>
          <w:trHeight w:val="459"/>
          <w:tblHeader/>
          <w:jc w:val="center"/>
        </w:trPr>
        <w:tc>
          <w:tcPr>
            <w:tcW w:w="0" w:type="auto"/>
            <w:shd w:val="clear" w:color="auto" w:fill="BFBFBF" w:themeFill="background1" w:themeFillShade="BF"/>
            <w:vAlign w:val="center"/>
          </w:tcPr>
          <w:p w14:paraId="4F78C85E"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Posición</w:t>
            </w:r>
          </w:p>
        </w:tc>
        <w:tc>
          <w:tcPr>
            <w:tcW w:w="1945" w:type="dxa"/>
            <w:shd w:val="clear" w:color="auto" w:fill="BFBFBF" w:themeFill="background1" w:themeFillShade="BF"/>
            <w:vAlign w:val="center"/>
          </w:tcPr>
          <w:p w14:paraId="67AB8AF3"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Cargo de representación proporcional</w:t>
            </w:r>
          </w:p>
        </w:tc>
        <w:tc>
          <w:tcPr>
            <w:tcW w:w="3060" w:type="dxa"/>
            <w:shd w:val="clear" w:color="auto" w:fill="BFBFBF" w:themeFill="background1" w:themeFillShade="BF"/>
            <w:vAlign w:val="center"/>
          </w:tcPr>
          <w:p w14:paraId="3AFE6D16"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Nombre</w:t>
            </w:r>
          </w:p>
        </w:tc>
      </w:tr>
      <w:tr w:rsidR="00CC60F6" w:rsidRPr="00A0236E" w14:paraId="2168D515" w14:textId="77777777" w:rsidTr="00E114CF">
        <w:trPr>
          <w:trHeight w:val="229"/>
          <w:jc w:val="center"/>
        </w:trPr>
        <w:tc>
          <w:tcPr>
            <w:tcW w:w="0" w:type="auto"/>
            <w:vMerge w:val="restart"/>
            <w:vAlign w:val="center"/>
          </w:tcPr>
          <w:p w14:paraId="4EED5842"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1°</w:t>
            </w:r>
          </w:p>
        </w:tc>
        <w:tc>
          <w:tcPr>
            <w:tcW w:w="1945" w:type="dxa"/>
            <w:vAlign w:val="center"/>
          </w:tcPr>
          <w:p w14:paraId="025FCD0C"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propietario</w:t>
            </w:r>
          </w:p>
        </w:tc>
        <w:tc>
          <w:tcPr>
            <w:tcW w:w="3060" w:type="dxa"/>
            <w:vAlign w:val="center"/>
          </w:tcPr>
          <w:p w14:paraId="3049FC82"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José Belmarez Herrera</w:t>
            </w:r>
          </w:p>
        </w:tc>
      </w:tr>
      <w:tr w:rsidR="00CC60F6" w:rsidRPr="00A0236E" w14:paraId="2C1F77CA" w14:textId="77777777" w:rsidTr="00E114CF">
        <w:trPr>
          <w:trHeight w:val="243"/>
          <w:jc w:val="center"/>
        </w:trPr>
        <w:tc>
          <w:tcPr>
            <w:tcW w:w="0" w:type="auto"/>
            <w:vMerge/>
            <w:vAlign w:val="center"/>
          </w:tcPr>
          <w:p w14:paraId="4DC3468B"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1945" w:type="dxa"/>
            <w:vAlign w:val="center"/>
          </w:tcPr>
          <w:p w14:paraId="57761A03"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suplente</w:t>
            </w:r>
          </w:p>
        </w:tc>
        <w:tc>
          <w:tcPr>
            <w:tcW w:w="3060" w:type="dxa"/>
            <w:vAlign w:val="center"/>
          </w:tcPr>
          <w:p w14:paraId="68D0C4EC"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José Ernesto Torres Maldonado</w:t>
            </w:r>
          </w:p>
        </w:tc>
      </w:tr>
      <w:tr w:rsidR="00CC60F6" w:rsidRPr="00A0236E" w14:paraId="068C67DC" w14:textId="77777777" w:rsidTr="00E114CF">
        <w:trPr>
          <w:trHeight w:val="229"/>
          <w:jc w:val="center"/>
        </w:trPr>
        <w:tc>
          <w:tcPr>
            <w:tcW w:w="0" w:type="auto"/>
            <w:vMerge w:val="restart"/>
            <w:vAlign w:val="center"/>
          </w:tcPr>
          <w:p w14:paraId="4E4342FE"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2°</w:t>
            </w:r>
          </w:p>
        </w:tc>
        <w:tc>
          <w:tcPr>
            <w:tcW w:w="1945" w:type="dxa"/>
            <w:vAlign w:val="center"/>
          </w:tcPr>
          <w:p w14:paraId="056DF679"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Diputada propietaria</w:t>
            </w:r>
          </w:p>
        </w:tc>
        <w:tc>
          <w:tcPr>
            <w:tcW w:w="3060" w:type="dxa"/>
            <w:vAlign w:val="center"/>
          </w:tcPr>
          <w:p w14:paraId="66953E85"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María Patricia Álvarez Escobedo</w:t>
            </w:r>
          </w:p>
        </w:tc>
      </w:tr>
      <w:tr w:rsidR="00CC60F6" w:rsidRPr="00A0236E" w14:paraId="66D2C4EB" w14:textId="77777777" w:rsidTr="00E114CF">
        <w:trPr>
          <w:trHeight w:val="243"/>
          <w:jc w:val="center"/>
        </w:trPr>
        <w:tc>
          <w:tcPr>
            <w:tcW w:w="0" w:type="auto"/>
            <w:vMerge/>
            <w:vAlign w:val="center"/>
          </w:tcPr>
          <w:p w14:paraId="537919D8"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1945" w:type="dxa"/>
            <w:vAlign w:val="center"/>
          </w:tcPr>
          <w:p w14:paraId="67E152C7"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suplente</w:t>
            </w:r>
          </w:p>
        </w:tc>
        <w:tc>
          <w:tcPr>
            <w:tcW w:w="3060" w:type="dxa"/>
            <w:vAlign w:val="center"/>
          </w:tcPr>
          <w:p w14:paraId="4A3177EE"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Juana María Aguilar Aguilar</w:t>
            </w:r>
          </w:p>
        </w:tc>
      </w:tr>
      <w:tr w:rsidR="00CC60F6" w:rsidRPr="00A0236E" w14:paraId="1699903D" w14:textId="77777777" w:rsidTr="00E114CF">
        <w:trPr>
          <w:trHeight w:val="229"/>
          <w:jc w:val="center"/>
        </w:trPr>
        <w:tc>
          <w:tcPr>
            <w:tcW w:w="0" w:type="auto"/>
            <w:vMerge w:val="restart"/>
            <w:vAlign w:val="center"/>
          </w:tcPr>
          <w:p w14:paraId="3ED954F2"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3°</w:t>
            </w:r>
          </w:p>
        </w:tc>
        <w:tc>
          <w:tcPr>
            <w:tcW w:w="1945" w:type="dxa"/>
            <w:vAlign w:val="center"/>
          </w:tcPr>
          <w:p w14:paraId="329C9F22"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propietario</w:t>
            </w:r>
          </w:p>
        </w:tc>
        <w:tc>
          <w:tcPr>
            <w:tcW w:w="3060" w:type="dxa"/>
            <w:vAlign w:val="center"/>
          </w:tcPr>
          <w:p w14:paraId="3D919F50"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Jaén Castilla Jonguitud</w:t>
            </w:r>
          </w:p>
        </w:tc>
      </w:tr>
      <w:tr w:rsidR="00CC60F6" w:rsidRPr="00A0236E" w14:paraId="61FA5EAF" w14:textId="77777777" w:rsidTr="00E114CF">
        <w:trPr>
          <w:trHeight w:val="243"/>
          <w:jc w:val="center"/>
        </w:trPr>
        <w:tc>
          <w:tcPr>
            <w:tcW w:w="0" w:type="auto"/>
            <w:vMerge/>
            <w:vAlign w:val="center"/>
          </w:tcPr>
          <w:p w14:paraId="1C3F3546"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1945" w:type="dxa"/>
            <w:vAlign w:val="center"/>
          </w:tcPr>
          <w:p w14:paraId="3FEB925A"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suplente</w:t>
            </w:r>
          </w:p>
        </w:tc>
        <w:tc>
          <w:tcPr>
            <w:tcW w:w="3060" w:type="dxa"/>
            <w:vAlign w:val="center"/>
          </w:tcPr>
          <w:p w14:paraId="4B5A4AF4"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Tomás Gerardo Zúñiga Jiménez</w:t>
            </w:r>
          </w:p>
        </w:tc>
      </w:tr>
      <w:tr w:rsidR="00CC60F6" w:rsidRPr="00A0236E" w14:paraId="71FEAAC7" w14:textId="77777777" w:rsidTr="00E114CF">
        <w:trPr>
          <w:trHeight w:val="229"/>
          <w:jc w:val="center"/>
        </w:trPr>
        <w:tc>
          <w:tcPr>
            <w:tcW w:w="0" w:type="auto"/>
            <w:vMerge w:val="restart"/>
            <w:vAlign w:val="center"/>
          </w:tcPr>
          <w:p w14:paraId="5D0F5CEE"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4°</w:t>
            </w:r>
          </w:p>
        </w:tc>
        <w:tc>
          <w:tcPr>
            <w:tcW w:w="1945" w:type="dxa"/>
            <w:vAlign w:val="center"/>
          </w:tcPr>
          <w:p w14:paraId="316CEBE1"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propietaria</w:t>
            </w:r>
          </w:p>
        </w:tc>
        <w:tc>
          <w:tcPr>
            <w:tcW w:w="3060" w:type="dxa"/>
            <w:vAlign w:val="center"/>
          </w:tcPr>
          <w:p w14:paraId="3AA1F346"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Juana Rodríguez González</w:t>
            </w:r>
          </w:p>
        </w:tc>
      </w:tr>
      <w:tr w:rsidR="00CC60F6" w:rsidRPr="00A0236E" w14:paraId="4734308B" w14:textId="77777777" w:rsidTr="00E114CF">
        <w:trPr>
          <w:trHeight w:val="243"/>
          <w:jc w:val="center"/>
        </w:trPr>
        <w:tc>
          <w:tcPr>
            <w:tcW w:w="0" w:type="auto"/>
            <w:vMerge/>
            <w:vAlign w:val="center"/>
          </w:tcPr>
          <w:p w14:paraId="51EA9924"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1945" w:type="dxa"/>
            <w:vAlign w:val="center"/>
          </w:tcPr>
          <w:p w14:paraId="3001D5DE"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suplente</w:t>
            </w:r>
          </w:p>
        </w:tc>
        <w:tc>
          <w:tcPr>
            <w:tcW w:w="3060" w:type="dxa"/>
            <w:vAlign w:val="center"/>
          </w:tcPr>
          <w:p w14:paraId="51766CAE"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Ana María Rangel Monreal</w:t>
            </w:r>
          </w:p>
        </w:tc>
      </w:tr>
      <w:tr w:rsidR="00CC60F6" w:rsidRPr="00A0236E" w14:paraId="35622E36" w14:textId="77777777" w:rsidTr="00E114CF">
        <w:trPr>
          <w:trHeight w:val="229"/>
          <w:jc w:val="center"/>
        </w:trPr>
        <w:tc>
          <w:tcPr>
            <w:tcW w:w="0" w:type="auto"/>
            <w:vMerge w:val="restart"/>
            <w:vAlign w:val="center"/>
          </w:tcPr>
          <w:p w14:paraId="38371C76"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lastRenderedPageBreak/>
              <w:t>5°</w:t>
            </w:r>
          </w:p>
        </w:tc>
        <w:tc>
          <w:tcPr>
            <w:tcW w:w="1945" w:type="dxa"/>
            <w:vAlign w:val="center"/>
          </w:tcPr>
          <w:p w14:paraId="354BBE26"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propietario</w:t>
            </w:r>
          </w:p>
        </w:tc>
        <w:tc>
          <w:tcPr>
            <w:tcW w:w="3060" w:type="dxa"/>
            <w:vAlign w:val="center"/>
          </w:tcPr>
          <w:p w14:paraId="35CA8522"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Luis Alberto Niño Zúñiga</w:t>
            </w:r>
          </w:p>
        </w:tc>
      </w:tr>
      <w:tr w:rsidR="00CC60F6" w:rsidRPr="00A0236E" w14:paraId="154A5163" w14:textId="77777777" w:rsidTr="00E114CF">
        <w:trPr>
          <w:trHeight w:val="243"/>
          <w:jc w:val="center"/>
        </w:trPr>
        <w:tc>
          <w:tcPr>
            <w:tcW w:w="0" w:type="auto"/>
            <w:vMerge/>
            <w:vAlign w:val="center"/>
          </w:tcPr>
          <w:p w14:paraId="1293A4B0"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1945" w:type="dxa"/>
            <w:vAlign w:val="center"/>
          </w:tcPr>
          <w:p w14:paraId="4521A9F6"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suplente</w:t>
            </w:r>
          </w:p>
        </w:tc>
        <w:tc>
          <w:tcPr>
            <w:tcW w:w="3060" w:type="dxa"/>
            <w:vAlign w:val="center"/>
          </w:tcPr>
          <w:p w14:paraId="37821AC9"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Jorge Luis Zamora Aguilar</w:t>
            </w:r>
          </w:p>
        </w:tc>
      </w:tr>
      <w:tr w:rsidR="00CC60F6" w:rsidRPr="00A0236E" w14:paraId="0EF606DA" w14:textId="77777777" w:rsidTr="00E114CF">
        <w:trPr>
          <w:trHeight w:val="229"/>
          <w:jc w:val="center"/>
        </w:trPr>
        <w:tc>
          <w:tcPr>
            <w:tcW w:w="0" w:type="auto"/>
            <w:vMerge w:val="restart"/>
            <w:vAlign w:val="center"/>
          </w:tcPr>
          <w:p w14:paraId="5F20F790"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6°</w:t>
            </w:r>
          </w:p>
        </w:tc>
        <w:tc>
          <w:tcPr>
            <w:tcW w:w="1945" w:type="dxa"/>
            <w:vAlign w:val="center"/>
          </w:tcPr>
          <w:p w14:paraId="0EC63CC9"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propietaria</w:t>
            </w:r>
          </w:p>
        </w:tc>
        <w:tc>
          <w:tcPr>
            <w:tcW w:w="3060" w:type="dxa"/>
            <w:vAlign w:val="center"/>
          </w:tcPr>
          <w:p w14:paraId="6616ACF4"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Ma. Lourdes Morales Núñez</w:t>
            </w:r>
          </w:p>
        </w:tc>
      </w:tr>
      <w:tr w:rsidR="00734C54" w:rsidRPr="00A0236E" w14:paraId="0B1C6587" w14:textId="77777777" w:rsidTr="00E114CF">
        <w:trPr>
          <w:trHeight w:val="243"/>
          <w:jc w:val="center"/>
        </w:trPr>
        <w:tc>
          <w:tcPr>
            <w:tcW w:w="0" w:type="auto"/>
            <w:vMerge/>
            <w:vAlign w:val="center"/>
          </w:tcPr>
          <w:p w14:paraId="0F71967D"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p>
        </w:tc>
        <w:tc>
          <w:tcPr>
            <w:tcW w:w="1945" w:type="dxa"/>
            <w:vAlign w:val="center"/>
          </w:tcPr>
          <w:p w14:paraId="13A70338"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suplente</w:t>
            </w:r>
          </w:p>
        </w:tc>
        <w:tc>
          <w:tcPr>
            <w:tcW w:w="3060" w:type="dxa"/>
            <w:vAlign w:val="center"/>
          </w:tcPr>
          <w:p w14:paraId="09332B9A"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Valeria Uresti García</w:t>
            </w:r>
          </w:p>
        </w:tc>
      </w:tr>
    </w:tbl>
    <w:p w14:paraId="7E6B4723" w14:textId="77777777" w:rsidR="003D714D" w:rsidRPr="002D7808" w:rsidRDefault="003D714D" w:rsidP="003D714D">
      <w:pPr>
        <w:spacing w:after="0" w:line="360" w:lineRule="auto"/>
        <w:jc w:val="both"/>
        <w:rPr>
          <w:rFonts w:ascii="Century Gothic" w:hAnsi="Century Gothic" w:cs="Arial"/>
          <w:sz w:val="27"/>
          <w:szCs w:val="27"/>
        </w:rPr>
      </w:pPr>
    </w:p>
    <w:p w14:paraId="5436A585" w14:textId="7494FE27" w:rsidR="00734C54" w:rsidRPr="002D7808" w:rsidRDefault="00734C54" w:rsidP="003D714D">
      <w:pPr>
        <w:spacing w:after="0" w:line="360" w:lineRule="auto"/>
        <w:jc w:val="both"/>
        <w:rPr>
          <w:rFonts w:ascii="Century Gothic" w:hAnsi="Century Gothic" w:cs="Arial"/>
          <w:sz w:val="27"/>
          <w:szCs w:val="27"/>
        </w:rPr>
      </w:pPr>
      <w:r w:rsidRPr="002D7808">
        <w:rPr>
          <w:rFonts w:ascii="Century Gothic" w:hAnsi="Century Gothic" w:cs="Arial"/>
          <w:sz w:val="27"/>
          <w:szCs w:val="27"/>
        </w:rPr>
        <w:t xml:space="preserve">Es decir, la actora ocupó la segunda posición de la lista. </w:t>
      </w:r>
    </w:p>
    <w:p w14:paraId="12E70280" w14:textId="77777777" w:rsidR="003D714D" w:rsidRPr="002D7808" w:rsidRDefault="003D714D" w:rsidP="003D714D">
      <w:pPr>
        <w:spacing w:after="0" w:line="360" w:lineRule="auto"/>
        <w:jc w:val="both"/>
        <w:rPr>
          <w:rFonts w:ascii="Century Gothic" w:hAnsi="Century Gothic" w:cs="Arial"/>
          <w:sz w:val="27"/>
          <w:szCs w:val="27"/>
        </w:rPr>
      </w:pPr>
    </w:p>
    <w:p w14:paraId="7E0AEA2F" w14:textId="1FA6EABF" w:rsidR="00734C54" w:rsidRPr="002D7808" w:rsidRDefault="00734C54" w:rsidP="003D714D">
      <w:pPr>
        <w:spacing w:after="0" w:line="360" w:lineRule="auto"/>
        <w:jc w:val="both"/>
        <w:rPr>
          <w:rFonts w:ascii="Century Gothic" w:hAnsi="Century Gothic" w:cs="Arial"/>
          <w:sz w:val="27"/>
          <w:szCs w:val="27"/>
        </w:rPr>
      </w:pPr>
      <w:r w:rsidRPr="002D7808">
        <w:rPr>
          <w:rFonts w:ascii="Century Gothic" w:hAnsi="Century Gothic" w:cs="Arial"/>
          <w:b/>
          <w:sz w:val="27"/>
          <w:szCs w:val="27"/>
        </w:rPr>
        <w:t xml:space="preserve">h. Juicio ciudadano local. </w:t>
      </w:r>
      <w:r w:rsidRPr="002D7808">
        <w:rPr>
          <w:rFonts w:ascii="Century Gothic" w:hAnsi="Century Gothic" w:cs="Arial"/>
          <w:sz w:val="27"/>
          <w:szCs w:val="27"/>
        </w:rPr>
        <w:t xml:space="preserve">Inconforme con las determinaciones descritas en los dos incisos que anteceden, el treinta de abril la actora María Patricia Álvarez Escobedo promovió juicio ciudadano local ante el Tribunal Electoral del Estado de San </w:t>
      </w:r>
      <w:r w:rsidR="00EB7641" w:rsidRPr="002D7808">
        <w:rPr>
          <w:rFonts w:ascii="Century Gothic" w:hAnsi="Century Gothic" w:cs="Arial"/>
          <w:sz w:val="27"/>
          <w:szCs w:val="27"/>
        </w:rPr>
        <w:t>Luis</w:t>
      </w:r>
      <w:r w:rsidRPr="002D7808">
        <w:rPr>
          <w:rFonts w:ascii="Century Gothic" w:hAnsi="Century Gothic" w:cs="Arial"/>
          <w:sz w:val="27"/>
          <w:szCs w:val="27"/>
        </w:rPr>
        <w:t xml:space="preserve"> Potosí.</w:t>
      </w:r>
    </w:p>
    <w:p w14:paraId="14498903" w14:textId="77777777" w:rsidR="003D714D" w:rsidRPr="002D7808" w:rsidRDefault="003D714D" w:rsidP="003D714D">
      <w:pPr>
        <w:spacing w:after="0" w:line="360" w:lineRule="auto"/>
        <w:jc w:val="both"/>
        <w:rPr>
          <w:rFonts w:ascii="Century Gothic" w:hAnsi="Century Gothic" w:cs="Arial"/>
          <w:sz w:val="27"/>
          <w:szCs w:val="27"/>
        </w:rPr>
      </w:pPr>
    </w:p>
    <w:p w14:paraId="0B705498" w14:textId="6419E9EA" w:rsidR="00734C54" w:rsidRPr="002D7808" w:rsidRDefault="00734C54" w:rsidP="003D714D">
      <w:pPr>
        <w:spacing w:after="0" w:line="360" w:lineRule="auto"/>
        <w:jc w:val="both"/>
        <w:rPr>
          <w:rFonts w:ascii="Century Gothic" w:hAnsi="Century Gothic" w:cs="Arial"/>
          <w:sz w:val="27"/>
          <w:szCs w:val="27"/>
        </w:rPr>
      </w:pPr>
      <w:r w:rsidRPr="002D7808">
        <w:rPr>
          <w:rFonts w:ascii="Century Gothic" w:hAnsi="Century Gothic" w:cs="Arial"/>
          <w:b/>
          <w:sz w:val="27"/>
          <w:szCs w:val="27"/>
        </w:rPr>
        <w:t xml:space="preserve">i. Sentencia del Tribunal local. </w:t>
      </w:r>
      <w:r w:rsidRPr="002D7808">
        <w:rPr>
          <w:rFonts w:ascii="Century Gothic" w:hAnsi="Century Gothic" w:cs="Arial"/>
          <w:sz w:val="27"/>
          <w:szCs w:val="27"/>
        </w:rPr>
        <w:t>El veintitrés de mayo, el referido Tribunal emitió sentencia en la que determinó modificar, en lo que fue materia de impugnación, el acuerdo de registro de candidaturas a las diputaciones de representación proporcional postuladas para el PT, en específico, ajustó el orden de prelación para quedar de la forma siguiente:</w:t>
      </w:r>
    </w:p>
    <w:p w14:paraId="512FAE31" w14:textId="77777777" w:rsidR="003D714D" w:rsidRPr="002D7808" w:rsidRDefault="003D714D" w:rsidP="003D714D">
      <w:pPr>
        <w:spacing w:after="0" w:line="360" w:lineRule="auto"/>
        <w:jc w:val="both"/>
        <w:rPr>
          <w:rFonts w:ascii="Century Gothic" w:hAnsi="Century Gothic" w:cs="Arial"/>
          <w:sz w:val="27"/>
          <w:szCs w:val="27"/>
        </w:rPr>
      </w:pPr>
    </w:p>
    <w:tbl>
      <w:tblPr>
        <w:tblStyle w:val="Tablaconcuadrcula"/>
        <w:tblW w:w="6195" w:type="dxa"/>
        <w:jc w:val="center"/>
        <w:tblLook w:val="04A0" w:firstRow="1" w:lastRow="0" w:firstColumn="1" w:lastColumn="0" w:noHBand="0" w:noVBand="1"/>
      </w:tblPr>
      <w:tblGrid>
        <w:gridCol w:w="1136"/>
        <w:gridCol w:w="2126"/>
        <w:gridCol w:w="2933"/>
      </w:tblGrid>
      <w:tr w:rsidR="00CC60F6" w:rsidRPr="00A0236E" w14:paraId="479F0D71" w14:textId="77777777" w:rsidTr="00E114CF">
        <w:trPr>
          <w:trHeight w:val="395"/>
          <w:tblHeader/>
          <w:jc w:val="center"/>
        </w:trPr>
        <w:tc>
          <w:tcPr>
            <w:tcW w:w="0" w:type="auto"/>
            <w:shd w:val="clear" w:color="auto" w:fill="BFBFBF" w:themeFill="background1" w:themeFillShade="BF"/>
            <w:vAlign w:val="center"/>
          </w:tcPr>
          <w:p w14:paraId="577974D5" w14:textId="77777777" w:rsidR="00734C54" w:rsidRPr="00A0236E" w:rsidRDefault="00734C54" w:rsidP="00E114CF">
            <w:pPr>
              <w:tabs>
                <w:tab w:val="center" w:pos="417"/>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Posición</w:t>
            </w:r>
          </w:p>
        </w:tc>
        <w:tc>
          <w:tcPr>
            <w:tcW w:w="2141" w:type="dxa"/>
            <w:shd w:val="clear" w:color="auto" w:fill="BFBFBF" w:themeFill="background1" w:themeFillShade="BF"/>
            <w:vAlign w:val="center"/>
          </w:tcPr>
          <w:p w14:paraId="6983F474"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Cargo de representación proporcional</w:t>
            </w:r>
          </w:p>
        </w:tc>
        <w:tc>
          <w:tcPr>
            <w:tcW w:w="3028" w:type="dxa"/>
            <w:shd w:val="clear" w:color="auto" w:fill="BFBFBF" w:themeFill="background1" w:themeFillShade="BF"/>
            <w:vAlign w:val="center"/>
          </w:tcPr>
          <w:p w14:paraId="0646079F"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Nombre</w:t>
            </w:r>
          </w:p>
        </w:tc>
      </w:tr>
      <w:tr w:rsidR="00CC60F6" w:rsidRPr="00A0236E" w14:paraId="0F72E5E3" w14:textId="77777777" w:rsidTr="00E114CF">
        <w:trPr>
          <w:trHeight w:val="162"/>
          <w:jc w:val="center"/>
        </w:trPr>
        <w:tc>
          <w:tcPr>
            <w:tcW w:w="0" w:type="auto"/>
            <w:vMerge w:val="restart"/>
            <w:vAlign w:val="center"/>
          </w:tcPr>
          <w:p w14:paraId="3BD3881C"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1°</w:t>
            </w:r>
          </w:p>
        </w:tc>
        <w:tc>
          <w:tcPr>
            <w:tcW w:w="2141" w:type="dxa"/>
            <w:vAlign w:val="center"/>
          </w:tcPr>
          <w:p w14:paraId="3D196EC4"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Diputada propietaria</w:t>
            </w:r>
          </w:p>
        </w:tc>
        <w:tc>
          <w:tcPr>
            <w:tcW w:w="3028" w:type="dxa"/>
            <w:vAlign w:val="center"/>
          </w:tcPr>
          <w:p w14:paraId="13BB31D1"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María Patricia Álvarez Escobedo</w:t>
            </w:r>
          </w:p>
        </w:tc>
      </w:tr>
      <w:tr w:rsidR="00CC60F6" w:rsidRPr="00A0236E" w14:paraId="537441BA" w14:textId="77777777" w:rsidTr="00E114CF">
        <w:trPr>
          <w:trHeight w:val="283"/>
          <w:jc w:val="center"/>
        </w:trPr>
        <w:tc>
          <w:tcPr>
            <w:tcW w:w="0" w:type="auto"/>
            <w:vMerge/>
            <w:vAlign w:val="center"/>
          </w:tcPr>
          <w:p w14:paraId="45E9E977"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2141" w:type="dxa"/>
            <w:vAlign w:val="center"/>
          </w:tcPr>
          <w:p w14:paraId="39AE5651"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suplente</w:t>
            </w:r>
          </w:p>
        </w:tc>
        <w:tc>
          <w:tcPr>
            <w:tcW w:w="3028" w:type="dxa"/>
            <w:vAlign w:val="center"/>
          </w:tcPr>
          <w:p w14:paraId="70324454"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Juana María Aguilar Aguilar</w:t>
            </w:r>
          </w:p>
        </w:tc>
      </w:tr>
      <w:tr w:rsidR="00CC60F6" w:rsidRPr="00A0236E" w14:paraId="673CB2D6" w14:textId="77777777" w:rsidTr="00E114CF">
        <w:trPr>
          <w:trHeight w:val="206"/>
          <w:jc w:val="center"/>
        </w:trPr>
        <w:tc>
          <w:tcPr>
            <w:tcW w:w="0" w:type="auto"/>
            <w:vMerge w:val="restart"/>
            <w:vAlign w:val="center"/>
          </w:tcPr>
          <w:p w14:paraId="2E0A561C"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2°</w:t>
            </w:r>
          </w:p>
        </w:tc>
        <w:tc>
          <w:tcPr>
            <w:tcW w:w="2141" w:type="dxa"/>
            <w:vAlign w:val="center"/>
          </w:tcPr>
          <w:p w14:paraId="5D964C55"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propietario</w:t>
            </w:r>
          </w:p>
        </w:tc>
        <w:tc>
          <w:tcPr>
            <w:tcW w:w="3028" w:type="dxa"/>
            <w:vAlign w:val="center"/>
          </w:tcPr>
          <w:p w14:paraId="69FB42C0"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José Belmarez Herrera</w:t>
            </w:r>
          </w:p>
        </w:tc>
      </w:tr>
      <w:tr w:rsidR="00CC60F6" w:rsidRPr="00A0236E" w14:paraId="2AB4F754" w14:textId="77777777" w:rsidTr="00E114CF">
        <w:trPr>
          <w:trHeight w:val="206"/>
          <w:jc w:val="center"/>
        </w:trPr>
        <w:tc>
          <w:tcPr>
            <w:tcW w:w="0" w:type="auto"/>
            <w:vMerge/>
            <w:vAlign w:val="center"/>
          </w:tcPr>
          <w:p w14:paraId="1EA5BBF2"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2141" w:type="dxa"/>
            <w:vAlign w:val="center"/>
          </w:tcPr>
          <w:p w14:paraId="57280496"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suplente</w:t>
            </w:r>
          </w:p>
        </w:tc>
        <w:tc>
          <w:tcPr>
            <w:tcW w:w="3028" w:type="dxa"/>
            <w:vAlign w:val="center"/>
          </w:tcPr>
          <w:p w14:paraId="3544C7E2"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José Ernesto Torres Maldonado</w:t>
            </w:r>
          </w:p>
        </w:tc>
      </w:tr>
      <w:tr w:rsidR="00CC60F6" w:rsidRPr="00A0236E" w14:paraId="3D8E0600" w14:textId="77777777" w:rsidTr="00E114CF">
        <w:trPr>
          <w:trHeight w:val="265"/>
          <w:jc w:val="center"/>
        </w:trPr>
        <w:tc>
          <w:tcPr>
            <w:tcW w:w="0" w:type="auto"/>
            <w:vMerge w:val="restart"/>
            <w:vAlign w:val="center"/>
          </w:tcPr>
          <w:p w14:paraId="7B811D44"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3°</w:t>
            </w:r>
          </w:p>
        </w:tc>
        <w:tc>
          <w:tcPr>
            <w:tcW w:w="2141" w:type="dxa"/>
            <w:vAlign w:val="center"/>
          </w:tcPr>
          <w:p w14:paraId="234CAC0C"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propietaria</w:t>
            </w:r>
          </w:p>
        </w:tc>
        <w:tc>
          <w:tcPr>
            <w:tcW w:w="3028" w:type="dxa"/>
            <w:vAlign w:val="center"/>
          </w:tcPr>
          <w:p w14:paraId="4F710307"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Juana Rodríguez González</w:t>
            </w:r>
          </w:p>
        </w:tc>
      </w:tr>
      <w:tr w:rsidR="00CC60F6" w:rsidRPr="00A0236E" w14:paraId="09B35938" w14:textId="77777777" w:rsidTr="00E114CF">
        <w:trPr>
          <w:trHeight w:val="284"/>
          <w:jc w:val="center"/>
        </w:trPr>
        <w:tc>
          <w:tcPr>
            <w:tcW w:w="0" w:type="auto"/>
            <w:vMerge/>
            <w:vAlign w:val="center"/>
          </w:tcPr>
          <w:p w14:paraId="0C88FB68"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2141" w:type="dxa"/>
            <w:vAlign w:val="center"/>
          </w:tcPr>
          <w:p w14:paraId="7E216A3E"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suplente</w:t>
            </w:r>
          </w:p>
        </w:tc>
        <w:tc>
          <w:tcPr>
            <w:tcW w:w="3028" w:type="dxa"/>
            <w:vAlign w:val="center"/>
          </w:tcPr>
          <w:p w14:paraId="62F5C5D5"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Ana María Rangel Monreal</w:t>
            </w:r>
          </w:p>
        </w:tc>
      </w:tr>
      <w:tr w:rsidR="00CC60F6" w:rsidRPr="00A0236E" w14:paraId="5F8FE12D" w14:textId="77777777" w:rsidTr="00E114CF">
        <w:trPr>
          <w:trHeight w:val="196"/>
          <w:jc w:val="center"/>
        </w:trPr>
        <w:tc>
          <w:tcPr>
            <w:tcW w:w="0" w:type="auto"/>
            <w:vMerge w:val="restart"/>
            <w:vAlign w:val="center"/>
          </w:tcPr>
          <w:p w14:paraId="40726ED8"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4°</w:t>
            </w:r>
          </w:p>
        </w:tc>
        <w:tc>
          <w:tcPr>
            <w:tcW w:w="2141" w:type="dxa"/>
            <w:vAlign w:val="center"/>
          </w:tcPr>
          <w:p w14:paraId="01132279"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propietario</w:t>
            </w:r>
          </w:p>
        </w:tc>
        <w:tc>
          <w:tcPr>
            <w:tcW w:w="3028" w:type="dxa"/>
            <w:vAlign w:val="center"/>
          </w:tcPr>
          <w:p w14:paraId="561E32CE"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Jaén Castilla Jonguitud</w:t>
            </w:r>
          </w:p>
        </w:tc>
      </w:tr>
      <w:tr w:rsidR="00CC60F6" w:rsidRPr="00A0236E" w14:paraId="612B14A7" w14:textId="77777777" w:rsidTr="00E114CF">
        <w:trPr>
          <w:trHeight w:val="204"/>
          <w:jc w:val="center"/>
        </w:trPr>
        <w:tc>
          <w:tcPr>
            <w:tcW w:w="0" w:type="auto"/>
            <w:vMerge/>
            <w:vAlign w:val="center"/>
          </w:tcPr>
          <w:p w14:paraId="2DBE6692"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2141" w:type="dxa"/>
            <w:vAlign w:val="center"/>
          </w:tcPr>
          <w:p w14:paraId="7C71C61A"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suplente</w:t>
            </w:r>
          </w:p>
        </w:tc>
        <w:tc>
          <w:tcPr>
            <w:tcW w:w="3028" w:type="dxa"/>
            <w:vAlign w:val="center"/>
          </w:tcPr>
          <w:p w14:paraId="33C9D632"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Tomás Gerardo Zúñiga Jiménez</w:t>
            </w:r>
          </w:p>
        </w:tc>
      </w:tr>
      <w:tr w:rsidR="00CC60F6" w:rsidRPr="00A0236E" w14:paraId="2BAC87E0" w14:textId="77777777" w:rsidTr="00E114CF">
        <w:trPr>
          <w:trHeight w:val="266"/>
          <w:jc w:val="center"/>
        </w:trPr>
        <w:tc>
          <w:tcPr>
            <w:tcW w:w="0" w:type="auto"/>
            <w:vMerge w:val="restart"/>
            <w:vAlign w:val="center"/>
          </w:tcPr>
          <w:p w14:paraId="4CC4385D"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5°</w:t>
            </w:r>
          </w:p>
        </w:tc>
        <w:tc>
          <w:tcPr>
            <w:tcW w:w="2141" w:type="dxa"/>
            <w:vAlign w:val="center"/>
          </w:tcPr>
          <w:p w14:paraId="1EB31EA1"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propietaria</w:t>
            </w:r>
          </w:p>
        </w:tc>
        <w:tc>
          <w:tcPr>
            <w:tcW w:w="3028" w:type="dxa"/>
            <w:vAlign w:val="center"/>
          </w:tcPr>
          <w:p w14:paraId="58AACDF8"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Ma. Lourdes Morales Núñez</w:t>
            </w:r>
          </w:p>
        </w:tc>
      </w:tr>
      <w:tr w:rsidR="00CC60F6" w:rsidRPr="00A0236E" w14:paraId="73854AB1" w14:textId="77777777" w:rsidTr="00E114CF">
        <w:trPr>
          <w:trHeight w:val="206"/>
          <w:jc w:val="center"/>
        </w:trPr>
        <w:tc>
          <w:tcPr>
            <w:tcW w:w="0" w:type="auto"/>
            <w:vMerge/>
            <w:vAlign w:val="center"/>
          </w:tcPr>
          <w:p w14:paraId="14E55B9E"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p>
        </w:tc>
        <w:tc>
          <w:tcPr>
            <w:tcW w:w="2141" w:type="dxa"/>
            <w:vAlign w:val="center"/>
          </w:tcPr>
          <w:p w14:paraId="3DF87B90"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Diputada suplente</w:t>
            </w:r>
          </w:p>
        </w:tc>
        <w:tc>
          <w:tcPr>
            <w:tcW w:w="3028" w:type="dxa"/>
            <w:vAlign w:val="center"/>
          </w:tcPr>
          <w:p w14:paraId="00A921E0"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Valeria Uresti García</w:t>
            </w:r>
          </w:p>
        </w:tc>
      </w:tr>
      <w:tr w:rsidR="00CC60F6" w:rsidRPr="00A0236E" w14:paraId="0A5CC062" w14:textId="77777777" w:rsidTr="00E114CF">
        <w:trPr>
          <w:trHeight w:val="206"/>
          <w:jc w:val="center"/>
        </w:trPr>
        <w:tc>
          <w:tcPr>
            <w:tcW w:w="0" w:type="auto"/>
            <w:vMerge w:val="restart"/>
            <w:vAlign w:val="center"/>
          </w:tcPr>
          <w:p w14:paraId="5B8F4A9B" w14:textId="77777777" w:rsidR="00734C54" w:rsidRPr="00A0236E" w:rsidRDefault="00734C54" w:rsidP="00E114CF">
            <w:pPr>
              <w:tabs>
                <w:tab w:val="left" w:pos="7185"/>
              </w:tabs>
              <w:spacing w:before="100" w:beforeAutospacing="1" w:after="100" w:afterAutospacing="1"/>
              <w:jc w:val="center"/>
              <w:rPr>
                <w:rFonts w:ascii="Century Gothic" w:hAnsi="Century Gothic" w:cs="Arial"/>
                <w:b/>
                <w:bCs/>
                <w:sz w:val="23"/>
                <w:szCs w:val="23"/>
              </w:rPr>
            </w:pPr>
            <w:r w:rsidRPr="00A0236E">
              <w:rPr>
                <w:rFonts w:ascii="Century Gothic" w:hAnsi="Century Gothic" w:cs="Arial"/>
                <w:b/>
                <w:bCs/>
                <w:sz w:val="23"/>
                <w:szCs w:val="23"/>
              </w:rPr>
              <w:t>6°</w:t>
            </w:r>
          </w:p>
        </w:tc>
        <w:tc>
          <w:tcPr>
            <w:tcW w:w="2141" w:type="dxa"/>
            <w:vAlign w:val="center"/>
          </w:tcPr>
          <w:p w14:paraId="232E0DAD"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propietario</w:t>
            </w:r>
          </w:p>
        </w:tc>
        <w:tc>
          <w:tcPr>
            <w:tcW w:w="3028" w:type="dxa"/>
            <w:vAlign w:val="center"/>
          </w:tcPr>
          <w:p w14:paraId="38CF78DE"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Luis Alberto Niño Zúñiga</w:t>
            </w:r>
          </w:p>
        </w:tc>
      </w:tr>
      <w:tr w:rsidR="00734C54" w:rsidRPr="00A0236E" w14:paraId="1480A276" w14:textId="77777777" w:rsidTr="00E114CF">
        <w:trPr>
          <w:trHeight w:val="196"/>
          <w:jc w:val="center"/>
        </w:trPr>
        <w:tc>
          <w:tcPr>
            <w:tcW w:w="0" w:type="auto"/>
            <w:vMerge/>
            <w:vAlign w:val="center"/>
          </w:tcPr>
          <w:p w14:paraId="234D1A03"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p>
        </w:tc>
        <w:tc>
          <w:tcPr>
            <w:tcW w:w="2141" w:type="dxa"/>
            <w:vAlign w:val="center"/>
          </w:tcPr>
          <w:p w14:paraId="5FEBB796"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Diputado suplente</w:t>
            </w:r>
          </w:p>
        </w:tc>
        <w:tc>
          <w:tcPr>
            <w:tcW w:w="3028" w:type="dxa"/>
            <w:vAlign w:val="center"/>
          </w:tcPr>
          <w:p w14:paraId="70EECECE" w14:textId="77777777" w:rsidR="00734C54" w:rsidRPr="00A0236E" w:rsidRDefault="00734C54" w:rsidP="00E114CF">
            <w:pPr>
              <w:tabs>
                <w:tab w:val="left" w:pos="7185"/>
              </w:tabs>
              <w:spacing w:before="100" w:beforeAutospacing="1" w:after="100" w:afterAutospacing="1"/>
              <w:jc w:val="center"/>
              <w:rPr>
                <w:rFonts w:ascii="Century Gothic" w:hAnsi="Century Gothic" w:cs="Arial"/>
                <w:bCs/>
                <w:sz w:val="23"/>
                <w:szCs w:val="23"/>
              </w:rPr>
            </w:pPr>
            <w:r w:rsidRPr="00A0236E">
              <w:rPr>
                <w:rFonts w:ascii="Century Gothic" w:hAnsi="Century Gothic" w:cs="Arial"/>
                <w:bCs/>
                <w:sz w:val="23"/>
                <w:szCs w:val="23"/>
              </w:rPr>
              <w:t>Jorge Luis Zamora Aguilar</w:t>
            </w:r>
          </w:p>
        </w:tc>
      </w:tr>
    </w:tbl>
    <w:p w14:paraId="6CC275A8" w14:textId="77777777" w:rsidR="00EC4220" w:rsidRPr="002D7808" w:rsidRDefault="00EC4220" w:rsidP="003D714D">
      <w:pPr>
        <w:spacing w:after="0" w:line="360" w:lineRule="auto"/>
        <w:jc w:val="both"/>
        <w:rPr>
          <w:rFonts w:ascii="Century Gothic" w:hAnsi="Century Gothic" w:cs="Arial"/>
          <w:b/>
          <w:sz w:val="27"/>
          <w:szCs w:val="27"/>
        </w:rPr>
      </w:pPr>
    </w:p>
    <w:p w14:paraId="02B8EC9F" w14:textId="1231A21B" w:rsidR="00734C54" w:rsidRPr="002D7808" w:rsidRDefault="004972DB" w:rsidP="003D714D">
      <w:pPr>
        <w:spacing w:after="0" w:line="360" w:lineRule="auto"/>
        <w:jc w:val="both"/>
        <w:rPr>
          <w:rFonts w:ascii="Century Gothic" w:hAnsi="Century Gothic" w:cs="Arial"/>
          <w:sz w:val="27"/>
          <w:szCs w:val="27"/>
        </w:rPr>
      </w:pPr>
      <w:r w:rsidRPr="002D7808">
        <w:rPr>
          <w:rFonts w:ascii="Century Gothic" w:hAnsi="Century Gothic" w:cs="Arial"/>
          <w:b/>
          <w:sz w:val="27"/>
          <w:szCs w:val="27"/>
        </w:rPr>
        <w:t>j. Juicio de revisión constitucional</w:t>
      </w:r>
      <w:r w:rsidR="00B740FB" w:rsidRPr="002D7808">
        <w:rPr>
          <w:rFonts w:ascii="Century Gothic" w:hAnsi="Century Gothic" w:cs="Arial"/>
          <w:b/>
          <w:sz w:val="27"/>
          <w:szCs w:val="27"/>
        </w:rPr>
        <w:t xml:space="preserve"> electoral</w:t>
      </w:r>
      <w:r w:rsidRPr="002D7808">
        <w:rPr>
          <w:rFonts w:ascii="Century Gothic" w:hAnsi="Century Gothic" w:cs="Arial"/>
          <w:b/>
          <w:sz w:val="27"/>
          <w:szCs w:val="27"/>
        </w:rPr>
        <w:t xml:space="preserve"> SM-JRC-107/2018 y acumulados. </w:t>
      </w:r>
      <w:r w:rsidRPr="002D7808">
        <w:rPr>
          <w:rFonts w:ascii="Century Gothic" w:hAnsi="Century Gothic" w:cs="Arial"/>
          <w:sz w:val="27"/>
          <w:szCs w:val="27"/>
        </w:rPr>
        <w:t>Inconformes con la determinación anterior, el treinta y uno de mayo, el PT y José Belmarez Herrera promovieron el medio de impugnación referido.</w:t>
      </w:r>
    </w:p>
    <w:p w14:paraId="5F444D10" w14:textId="77777777" w:rsidR="00EC4220" w:rsidRPr="002D7808" w:rsidRDefault="00EC4220" w:rsidP="003D714D">
      <w:pPr>
        <w:spacing w:after="0" w:line="360" w:lineRule="auto"/>
        <w:jc w:val="both"/>
        <w:rPr>
          <w:rFonts w:ascii="Century Gothic" w:hAnsi="Century Gothic" w:cs="Arial"/>
          <w:sz w:val="27"/>
          <w:szCs w:val="27"/>
        </w:rPr>
      </w:pPr>
    </w:p>
    <w:p w14:paraId="23CBDF3F" w14:textId="34571F51" w:rsidR="004972DB" w:rsidRDefault="004972DB" w:rsidP="003D714D">
      <w:pPr>
        <w:spacing w:after="0" w:line="360" w:lineRule="auto"/>
        <w:jc w:val="both"/>
        <w:rPr>
          <w:rFonts w:ascii="Century Gothic" w:hAnsi="Century Gothic" w:cs="Arial"/>
          <w:sz w:val="27"/>
          <w:szCs w:val="27"/>
        </w:rPr>
      </w:pPr>
      <w:r w:rsidRPr="002D7808">
        <w:rPr>
          <w:rFonts w:ascii="Century Gothic" w:hAnsi="Century Gothic" w:cs="Arial"/>
          <w:sz w:val="27"/>
          <w:szCs w:val="27"/>
        </w:rPr>
        <w:t xml:space="preserve">En la misma fecha, el mencionado ciudadano y María </w:t>
      </w:r>
      <w:r w:rsidR="00B740FB" w:rsidRPr="002D7808">
        <w:rPr>
          <w:rFonts w:ascii="Century Gothic" w:hAnsi="Century Gothic" w:cs="Arial"/>
          <w:sz w:val="27"/>
          <w:szCs w:val="27"/>
        </w:rPr>
        <w:t>C</w:t>
      </w:r>
      <w:r w:rsidRPr="002D7808">
        <w:rPr>
          <w:rFonts w:ascii="Century Gothic" w:hAnsi="Century Gothic" w:cs="Arial"/>
          <w:sz w:val="27"/>
          <w:szCs w:val="27"/>
        </w:rPr>
        <w:t>onsuelo Muñoz Rivas promovieron juicios ciudadanos, los cuales fueron registrados con las claves SM-JDC-494/2018 y SM-JDC-512/2018, respectivamente.</w:t>
      </w:r>
    </w:p>
    <w:p w14:paraId="0D593674" w14:textId="77777777" w:rsidR="003A4BBC" w:rsidRPr="002D7808" w:rsidRDefault="003A4BBC" w:rsidP="003D714D">
      <w:pPr>
        <w:spacing w:after="0" w:line="360" w:lineRule="auto"/>
        <w:jc w:val="both"/>
        <w:rPr>
          <w:rFonts w:ascii="Century Gothic" w:hAnsi="Century Gothic" w:cs="Arial"/>
          <w:sz w:val="27"/>
          <w:szCs w:val="27"/>
        </w:rPr>
      </w:pPr>
    </w:p>
    <w:p w14:paraId="0B59B777" w14:textId="3975EF8E" w:rsidR="004972DB" w:rsidRPr="002D7808" w:rsidRDefault="004972DB" w:rsidP="003D714D">
      <w:pPr>
        <w:spacing w:after="0" w:line="360" w:lineRule="auto"/>
        <w:jc w:val="both"/>
        <w:rPr>
          <w:rFonts w:ascii="Century Gothic" w:hAnsi="Century Gothic" w:cs="Arial"/>
          <w:sz w:val="27"/>
          <w:szCs w:val="27"/>
        </w:rPr>
      </w:pPr>
      <w:r w:rsidRPr="002D7808">
        <w:rPr>
          <w:rFonts w:ascii="Century Gothic" w:hAnsi="Century Gothic" w:cs="Arial"/>
          <w:b/>
          <w:sz w:val="27"/>
          <w:szCs w:val="27"/>
        </w:rPr>
        <w:lastRenderedPageBreak/>
        <w:t xml:space="preserve">k. Sentencia impugnada. </w:t>
      </w:r>
      <w:r w:rsidRPr="002D7808">
        <w:rPr>
          <w:rFonts w:ascii="Century Gothic" w:hAnsi="Century Gothic" w:cs="Arial"/>
          <w:sz w:val="27"/>
          <w:szCs w:val="27"/>
        </w:rPr>
        <w:t xml:space="preserve">El nueve de junio, la Sala responsable </w:t>
      </w:r>
      <w:r w:rsidR="00B740FB" w:rsidRPr="002D7808">
        <w:rPr>
          <w:rFonts w:ascii="Century Gothic" w:hAnsi="Century Gothic" w:cs="Arial"/>
          <w:sz w:val="27"/>
          <w:szCs w:val="27"/>
        </w:rPr>
        <w:t>emitió</w:t>
      </w:r>
      <w:r w:rsidRPr="002D7808">
        <w:rPr>
          <w:rFonts w:ascii="Century Gothic" w:hAnsi="Century Gothic" w:cs="Arial"/>
          <w:sz w:val="27"/>
          <w:szCs w:val="27"/>
        </w:rPr>
        <w:t xml:space="preserve"> sentencia en el sentido de modificar la sentencia impugnada</w:t>
      </w:r>
      <w:r w:rsidR="007B4DBA" w:rsidRPr="002D7808">
        <w:rPr>
          <w:rFonts w:ascii="Century Gothic" w:hAnsi="Century Gothic" w:cs="Arial"/>
          <w:sz w:val="27"/>
          <w:szCs w:val="27"/>
        </w:rPr>
        <w:t xml:space="preserve">, para efectos de que subsistiera el acuerdo del Consejo General del Instituto local </w:t>
      </w:r>
      <w:r w:rsidRPr="002D7808">
        <w:rPr>
          <w:rFonts w:ascii="Century Gothic" w:hAnsi="Century Gothic" w:cs="Arial"/>
          <w:sz w:val="27"/>
          <w:szCs w:val="27"/>
        </w:rPr>
        <w:t xml:space="preserve">y ordenó al Consejo </w:t>
      </w:r>
      <w:r w:rsidR="007B4DBA" w:rsidRPr="002D7808">
        <w:rPr>
          <w:rFonts w:ascii="Century Gothic" w:hAnsi="Century Gothic" w:cs="Arial"/>
          <w:sz w:val="27"/>
          <w:szCs w:val="27"/>
        </w:rPr>
        <w:t>G</w:t>
      </w:r>
      <w:r w:rsidRPr="002D7808">
        <w:rPr>
          <w:rFonts w:ascii="Century Gothic" w:hAnsi="Century Gothic" w:cs="Arial"/>
          <w:sz w:val="27"/>
          <w:szCs w:val="27"/>
        </w:rPr>
        <w:t xml:space="preserve">eneral del Instituto local, entre otras cuestiones, </w:t>
      </w:r>
      <w:r w:rsidR="007B4DBA" w:rsidRPr="002D7808">
        <w:rPr>
          <w:rFonts w:ascii="Century Gothic" w:hAnsi="Century Gothic" w:cs="Arial"/>
          <w:sz w:val="27"/>
          <w:szCs w:val="27"/>
        </w:rPr>
        <w:t>formular el acuerdo correspondiente en el que se restituyera a José Belmarez Herrera en la primera posición de la lista y a la actora</w:t>
      </w:r>
      <w:r w:rsidR="00220FEB" w:rsidRPr="002D7808">
        <w:rPr>
          <w:rFonts w:ascii="Century Gothic" w:hAnsi="Century Gothic" w:cs="Arial"/>
          <w:sz w:val="27"/>
          <w:szCs w:val="27"/>
        </w:rPr>
        <w:t xml:space="preserve"> María Patricia Álvarez Escobedo</w:t>
      </w:r>
      <w:r w:rsidR="007B4DBA" w:rsidRPr="002D7808">
        <w:rPr>
          <w:rFonts w:ascii="Century Gothic" w:hAnsi="Century Gothic" w:cs="Arial"/>
          <w:sz w:val="27"/>
          <w:szCs w:val="27"/>
        </w:rPr>
        <w:t xml:space="preserve"> en la segunda.</w:t>
      </w:r>
    </w:p>
    <w:p w14:paraId="39799B07" w14:textId="77777777" w:rsidR="00EC4220" w:rsidRPr="002D7808" w:rsidRDefault="00EC4220" w:rsidP="003D714D">
      <w:pPr>
        <w:spacing w:after="0" w:line="360" w:lineRule="auto"/>
        <w:jc w:val="both"/>
        <w:rPr>
          <w:rFonts w:ascii="Century Gothic" w:hAnsi="Century Gothic" w:cs="Arial"/>
          <w:sz w:val="27"/>
          <w:szCs w:val="27"/>
        </w:rPr>
      </w:pPr>
    </w:p>
    <w:p w14:paraId="260D2FAF" w14:textId="62A6AC96" w:rsidR="00734C54" w:rsidRPr="00173F34" w:rsidRDefault="00173F34" w:rsidP="00081774">
      <w:pPr>
        <w:spacing w:after="0" w:line="360" w:lineRule="auto"/>
        <w:jc w:val="center"/>
        <w:rPr>
          <w:rFonts w:ascii="Century Gothic" w:hAnsi="Century Gothic" w:cs="Arial"/>
          <w:b/>
          <w:sz w:val="27"/>
          <w:szCs w:val="27"/>
        </w:rPr>
      </w:pPr>
      <w:r>
        <w:rPr>
          <w:rFonts w:ascii="Century Gothic" w:hAnsi="Century Gothic" w:cs="Arial"/>
          <w:b/>
          <w:sz w:val="27"/>
          <w:szCs w:val="27"/>
        </w:rPr>
        <w:t xml:space="preserve">II. </w:t>
      </w:r>
      <w:r w:rsidR="00EC4220" w:rsidRPr="00173F34">
        <w:rPr>
          <w:rFonts w:ascii="Century Gothic" w:hAnsi="Century Gothic" w:cs="Arial"/>
          <w:b/>
          <w:sz w:val="27"/>
          <w:szCs w:val="27"/>
        </w:rPr>
        <w:t>RECURSO DE RECONSIDERACIÓN.</w:t>
      </w:r>
    </w:p>
    <w:p w14:paraId="0CEDBA00" w14:textId="77777777" w:rsidR="00EC4220" w:rsidRPr="002D7808" w:rsidRDefault="00EC4220" w:rsidP="003D714D">
      <w:pPr>
        <w:spacing w:after="0" w:line="360" w:lineRule="auto"/>
        <w:jc w:val="center"/>
        <w:rPr>
          <w:rFonts w:ascii="Century Gothic" w:hAnsi="Century Gothic" w:cs="Arial"/>
          <w:b/>
          <w:sz w:val="27"/>
          <w:szCs w:val="27"/>
        </w:rPr>
      </w:pPr>
    </w:p>
    <w:p w14:paraId="3DB039CE" w14:textId="58CD6402" w:rsidR="00E4002A" w:rsidRPr="002D7808" w:rsidRDefault="00220FEB" w:rsidP="003D714D">
      <w:pPr>
        <w:spacing w:after="0" w:line="360" w:lineRule="auto"/>
        <w:jc w:val="both"/>
        <w:rPr>
          <w:rFonts w:ascii="Century Gothic" w:eastAsia="Times New Roman" w:hAnsi="Century Gothic" w:cs="Arial"/>
          <w:bCs/>
          <w:sz w:val="27"/>
          <w:szCs w:val="27"/>
        </w:rPr>
      </w:pPr>
      <w:r w:rsidRPr="002D7808">
        <w:rPr>
          <w:rFonts w:ascii="Century Gothic" w:hAnsi="Century Gothic" w:cs="Arial"/>
          <w:b/>
          <w:sz w:val="27"/>
          <w:szCs w:val="27"/>
        </w:rPr>
        <w:t xml:space="preserve">a. presentación. </w:t>
      </w:r>
      <w:r w:rsidRPr="002D7808">
        <w:rPr>
          <w:rFonts w:ascii="Century Gothic" w:hAnsi="Century Gothic" w:cs="Arial"/>
          <w:sz w:val="27"/>
          <w:szCs w:val="27"/>
        </w:rPr>
        <w:t xml:space="preserve">El </w:t>
      </w:r>
      <w:r w:rsidR="009804ED" w:rsidRPr="002D7808">
        <w:rPr>
          <w:rFonts w:ascii="Century Gothic" w:eastAsia="Times New Roman" w:hAnsi="Century Gothic" w:cs="Arial"/>
          <w:bCs/>
          <w:sz w:val="27"/>
          <w:szCs w:val="27"/>
        </w:rPr>
        <w:t>doce</w:t>
      </w:r>
      <w:r w:rsidR="00E4002A" w:rsidRPr="002D7808">
        <w:rPr>
          <w:rFonts w:ascii="Century Gothic" w:eastAsia="Times New Roman" w:hAnsi="Century Gothic" w:cs="Arial"/>
          <w:bCs/>
          <w:sz w:val="27"/>
          <w:szCs w:val="27"/>
        </w:rPr>
        <w:t xml:space="preserve"> de junio, </w:t>
      </w:r>
      <w:r w:rsidRPr="002D7808">
        <w:rPr>
          <w:rFonts w:ascii="Century Gothic" w:eastAsia="Times New Roman" w:hAnsi="Century Gothic" w:cs="Arial"/>
          <w:bCs/>
          <w:sz w:val="27"/>
          <w:szCs w:val="27"/>
        </w:rPr>
        <w:t>la citada ciudadana</w:t>
      </w:r>
      <w:r w:rsidR="00E4002A" w:rsidRPr="002D7808">
        <w:rPr>
          <w:rFonts w:ascii="Century Gothic" w:eastAsia="Times New Roman" w:hAnsi="Century Gothic" w:cs="Arial"/>
          <w:bCs/>
          <w:sz w:val="27"/>
          <w:szCs w:val="27"/>
        </w:rPr>
        <w:t xml:space="preserve"> interpuso ante la Sala </w:t>
      </w:r>
      <w:r w:rsidRPr="002D7808">
        <w:rPr>
          <w:rFonts w:ascii="Century Gothic" w:eastAsia="Times New Roman" w:hAnsi="Century Gothic" w:cs="Arial"/>
          <w:bCs/>
          <w:sz w:val="27"/>
          <w:szCs w:val="27"/>
        </w:rPr>
        <w:t>r</w:t>
      </w:r>
      <w:r w:rsidR="00CD7483" w:rsidRPr="002D7808">
        <w:rPr>
          <w:rFonts w:ascii="Century Gothic" w:eastAsia="Times New Roman" w:hAnsi="Century Gothic" w:cs="Arial"/>
          <w:bCs/>
          <w:sz w:val="27"/>
          <w:szCs w:val="27"/>
        </w:rPr>
        <w:t>esponsable</w:t>
      </w:r>
      <w:r w:rsidR="00E4002A" w:rsidRPr="002D7808">
        <w:rPr>
          <w:rFonts w:ascii="Century Gothic" w:eastAsia="Times New Roman" w:hAnsi="Century Gothic" w:cs="Arial"/>
          <w:bCs/>
          <w:sz w:val="27"/>
          <w:szCs w:val="27"/>
        </w:rPr>
        <w:t xml:space="preserve"> recurso de reconsideración contra la sentencia </w:t>
      </w:r>
      <w:r w:rsidRPr="002D7808">
        <w:rPr>
          <w:rFonts w:ascii="Century Gothic" w:eastAsia="Times New Roman" w:hAnsi="Century Gothic" w:cs="Arial"/>
          <w:bCs/>
          <w:sz w:val="27"/>
          <w:szCs w:val="27"/>
        </w:rPr>
        <w:t>descrita en el inciso que antecede.</w:t>
      </w:r>
    </w:p>
    <w:p w14:paraId="005F4AFF" w14:textId="77777777" w:rsidR="00EC4220" w:rsidRPr="002D7808" w:rsidRDefault="00EC4220" w:rsidP="003D714D">
      <w:pPr>
        <w:spacing w:after="0" w:line="360" w:lineRule="auto"/>
        <w:jc w:val="both"/>
        <w:rPr>
          <w:rFonts w:ascii="Century Gothic" w:eastAsia="Times New Roman" w:hAnsi="Century Gothic" w:cs="Arial"/>
          <w:bCs/>
          <w:sz w:val="27"/>
          <w:szCs w:val="27"/>
        </w:rPr>
      </w:pPr>
    </w:p>
    <w:p w14:paraId="7E238E00" w14:textId="1F00FB5B" w:rsidR="00307C74" w:rsidRPr="002D7808" w:rsidRDefault="00220FEB" w:rsidP="003D714D">
      <w:pPr>
        <w:spacing w:after="0" w:line="360" w:lineRule="auto"/>
        <w:jc w:val="both"/>
        <w:rPr>
          <w:rFonts w:ascii="Century Gothic" w:hAnsi="Century Gothic" w:cs="Arial"/>
          <w:sz w:val="27"/>
          <w:szCs w:val="27"/>
          <w:lang w:eastAsia="es-MX"/>
        </w:rPr>
      </w:pPr>
      <w:r w:rsidRPr="002D7808">
        <w:rPr>
          <w:rFonts w:ascii="Century Gothic" w:eastAsia="Times New Roman" w:hAnsi="Century Gothic" w:cs="Arial"/>
          <w:b/>
          <w:bCs/>
          <w:sz w:val="27"/>
          <w:szCs w:val="27"/>
        </w:rPr>
        <w:t>b. Recepción y turno.</w:t>
      </w:r>
      <w:r w:rsidR="00307C74" w:rsidRPr="002D7808">
        <w:rPr>
          <w:rFonts w:ascii="Century Gothic" w:eastAsia="Times New Roman" w:hAnsi="Century Gothic" w:cs="Arial"/>
          <w:b/>
          <w:bCs/>
          <w:sz w:val="27"/>
          <w:szCs w:val="27"/>
        </w:rPr>
        <w:t xml:space="preserve"> </w:t>
      </w:r>
      <w:r w:rsidR="00307C74" w:rsidRPr="002D7808">
        <w:rPr>
          <w:rFonts w:ascii="Century Gothic" w:eastAsia="Times New Roman" w:hAnsi="Century Gothic" w:cs="Arial"/>
          <w:bCs/>
          <w:sz w:val="27"/>
          <w:szCs w:val="27"/>
        </w:rPr>
        <w:t xml:space="preserve">El doce de junio se </w:t>
      </w:r>
      <w:r w:rsidR="00E4002A" w:rsidRPr="002D7808">
        <w:rPr>
          <w:rFonts w:ascii="Century Gothic" w:eastAsia="Times New Roman" w:hAnsi="Century Gothic" w:cs="Arial"/>
          <w:bCs/>
          <w:sz w:val="27"/>
          <w:szCs w:val="27"/>
        </w:rPr>
        <w:t>recibió el expediente en esta Sala Superior y mediante acuerdo de la misma fecha, la Magistrada Presidenta ordenó integrar el expediente SUP-REC-</w:t>
      </w:r>
      <w:r w:rsidR="00307C74" w:rsidRPr="002D7808">
        <w:rPr>
          <w:rFonts w:ascii="Century Gothic" w:eastAsia="Times New Roman" w:hAnsi="Century Gothic" w:cs="Arial"/>
          <w:bCs/>
          <w:sz w:val="27"/>
          <w:szCs w:val="27"/>
        </w:rPr>
        <w:t>454</w:t>
      </w:r>
      <w:r w:rsidR="00E4002A" w:rsidRPr="002D7808">
        <w:rPr>
          <w:rFonts w:ascii="Century Gothic" w:eastAsia="Times New Roman" w:hAnsi="Century Gothic" w:cs="Arial"/>
          <w:bCs/>
          <w:sz w:val="27"/>
          <w:szCs w:val="27"/>
        </w:rPr>
        <w:t xml:space="preserve">/2018 y turnarlo </w:t>
      </w:r>
      <w:r w:rsidR="00307C74" w:rsidRPr="002D7808">
        <w:rPr>
          <w:rFonts w:ascii="Century Gothic" w:eastAsia="Times New Roman" w:hAnsi="Century Gothic" w:cs="Arial"/>
          <w:bCs/>
          <w:sz w:val="27"/>
          <w:szCs w:val="27"/>
        </w:rPr>
        <w:t>a</w:t>
      </w:r>
      <w:r w:rsidR="00307C74" w:rsidRPr="002D7808">
        <w:rPr>
          <w:rFonts w:ascii="Century Gothic" w:hAnsi="Century Gothic" w:cs="Arial"/>
          <w:sz w:val="27"/>
          <w:szCs w:val="27"/>
          <w:lang w:eastAsia="es-MX"/>
        </w:rPr>
        <w:t xml:space="preserve"> la ponencia de la Magistrada Mónica Aralí Soto Fregoso, para los efectos previstos en el artículo 19 de la Ley General del Sistema de Medios de Impugnación en Materia Electoral.</w:t>
      </w:r>
    </w:p>
    <w:p w14:paraId="03B7956C" w14:textId="77777777" w:rsidR="00EC4220" w:rsidRPr="002D7808" w:rsidRDefault="00EC4220" w:rsidP="003D714D">
      <w:pPr>
        <w:spacing w:after="0" w:line="360" w:lineRule="auto"/>
        <w:jc w:val="both"/>
        <w:rPr>
          <w:rFonts w:ascii="Century Gothic" w:hAnsi="Century Gothic" w:cs="Arial"/>
          <w:sz w:val="27"/>
          <w:szCs w:val="27"/>
          <w:lang w:eastAsia="es-MX"/>
        </w:rPr>
      </w:pPr>
    </w:p>
    <w:p w14:paraId="07DE769E" w14:textId="1776AEA6" w:rsidR="00EE3862" w:rsidRDefault="00E114CF" w:rsidP="003D714D">
      <w:pPr>
        <w:widowControl w:val="0"/>
        <w:shd w:val="clear" w:color="auto" w:fill="FFFFFF" w:themeFill="background1"/>
        <w:tabs>
          <w:tab w:val="left" w:pos="933"/>
        </w:tabs>
        <w:spacing w:after="0" w:line="360" w:lineRule="auto"/>
        <w:jc w:val="both"/>
        <w:rPr>
          <w:rFonts w:ascii="Century Gothic" w:eastAsia="Times New Roman" w:hAnsi="Century Gothic" w:cs="Arial"/>
          <w:bCs/>
          <w:sz w:val="27"/>
          <w:szCs w:val="27"/>
        </w:rPr>
      </w:pPr>
      <w:r w:rsidRPr="002D7808">
        <w:rPr>
          <w:rFonts w:ascii="Century Gothic" w:eastAsia="Times New Roman" w:hAnsi="Century Gothic" w:cs="Arial"/>
          <w:b/>
          <w:bCs/>
          <w:sz w:val="27"/>
          <w:szCs w:val="27"/>
        </w:rPr>
        <w:t>c</w:t>
      </w:r>
      <w:r w:rsidR="00E4002A" w:rsidRPr="002D7808">
        <w:rPr>
          <w:rFonts w:ascii="Century Gothic" w:eastAsia="Times New Roman" w:hAnsi="Century Gothic" w:cs="Arial"/>
          <w:b/>
          <w:bCs/>
          <w:sz w:val="27"/>
          <w:szCs w:val="27"/>
        </w:rPr>
        <w:t>. Radicación, admisión y cierre de instrucción.</w:t>
      </w:r>
      <w:r w:rsidR="00E4002A" w:rsidRPr="002D7808">
        <w:rPr>
          <w:rFonts w:ascii="Century Gothic" w:eastAsia="Times New Roman" w:hAnsi="Century Gothic" w:cs="Arial"/>
          <w:bCs/>
          <w:sz w:val="27"/>
          <w:szCs w:val="27"/>
        </w:rPr>
        <w:t xml:space="preserve"> En su oportunidad, </w:t>
      </w:r>
      <w:r w:rsidRPr="002D7808">
        <w:rPr>
          <w:rFonts w:ascii="Century Gothic" w:eastAsia="Times New Roman" w:hAnsi="Century Gothic" w:cs="Arial"/>
          <w:bCs/>
          <w:sz w:val="27"/>
          <w:szCs w:val="27"/>
        </w:rPr>
        <w:t>la</w:t>
      </w:r>
      <w:r w:rsidR="00E4002A" w:rsidRPr="002D7808">
        <w:rPr>
          <w:rFonts w:ascii="Century Gothic" w:eastAsia="Times New Roman" w:hAnsi="Century Gothic" w:cs="Arial"/>
          <w:bCs/>
          <w:sz w:val="27"/>
          <w:szCs w:val="27"/>
        </w:rPr>
        <w:t xml:space="preserve"> Magistrad</w:t>
      </w:r>
      <w:r w:rsidRPr="002D7808">
        <w:rPr>
          <w:rFonts w:ascii="Century Gothic" w:eastAsia="Times New Roman" w:hAnsi="Century Gothic" w:cs="Arial"/>
          <w:bCs/>
          <w:sz w:val="27"/>
          <w:szCs w:val="27"/>
        </w:rPr>
        <w:t>a</w:t>
      </w:r>
      <w:r w:rsidR="00E4002A" w:rsidRPr="002D7808">
        <w:rPr>
          <w:rFonts w:ascii="Century Gothic" w:eastAsia="Times New Roman" w:hAnsi="Century Gothic" w:cs="Arial"/>
          <w:bCs/>
          <w:sz w:val="27"/>
          <w:szCs w:val="27"/>
        </w:rPr>
        <w:t xml:space="preserve"> Instructor</w:t>
      </w:r>
      <w:r w:rsidRPr="002D7808">
        <w:rPr>
          <w:rFonts w:ascii="Century Gothic" w:eastAsia="Times New Roman" w:hAnsi="Century Gothic" w:cs="Arial"/>
          <w:bCs/>
          <w:sz w:val="27"/>
          <w:szCs w:val="27"/>
        </w:rPr>
        <w:t>a</w:t>
      </w:r>
      <w:r w:rsidR="00E4002A" w:rsidRPr="002D7808">
        <w:rPr>
          <w:rFonts w:ascii="Century Gothic" w:eastAsia="Times New Roman" w:hAnsi="Century Gothic" w:cs="Arial"/>
          <w:bCs/>
          <w:sz w:val="27"/>
          <w:szCs w:val="27"/>
        </w:rPr>
        <w:t xml:space="preserve"> radicó, admitió </w:t>
      </w:r>
      <w:r w:rsidRPr="002D7808">
        <w:rPr>
          <w:rFonts w:ascii="Century Gothic" w:eastAsia="Times New Roman" w:hAnsi="Century Gothic" w:cs="Arial"/>
          <w:bCs/>
          <w:sz w:val="27"/>
          <w:szCs w:val="27"/>
        </w:rPr>
        <w:t xml:space="preserve">el medio de impugnación </w:t>
      </w:r>
      <w:r w:rsidR="00E4002A" w:rsidRPr="002D7808">
        <w:rPr>
          <w:rFonts w:ascii="Century Gothic" w:eastAsia="Times New Roman" w:hAnsi="Century Gothic" w:cs="Arial"/>
          <w:bCs/>
          <w:sz w:val="27"/>
          <w:szCs w:val="27"/>
        </w:rPr>
        <w:t xml:space="preserve">que se resuelve y, al no existir </w:t>
      </w:r>
      <w:r w:rsidR="00E4002A" w:rsidRPr="002D7808">
        <w:rPr>
          <w:rFonts w:ascii="Century Gothic" w:eastAsia="Times New Roman" w:hAnsi="Century Gothic" w:cs="Arial"/>
          <w:bCs/>
          <w:sz w:val="27"/>
          <w:szCs w:val="27"/>
        </w:rPr>
        <w:lastRenderedPageBreak/>
        <w:t>diligencia pendiente por desahogar, declaró cerrada la instrucción.</w:t>
      </w:r>
    </w:p>
    <w:p w14:paraId="0E0E0697" w14:textId="77777777" w:rsidR="003A4BBC" w:rsidRDefault="003A4BBC" w:rsidP="003D714D">
      <w:pPr>
        <w:widowControl w:val="0"/>
        <w:shd w:val="clear" w:color="auto" w:fill="FFFFFF" w:themeFill="background1"/>
        <w:tabs>
          <w:tab w:val="left" w:pos="933"/>
        </w:tabs>
        <w:spacing w:after="0" w:line="360" w:lineRule="auto"/>
        <w:jc w:val="both"/>
        <w:rPr>
          <w:rFonts w:ascii="Century Gothic" w:eastAsia="Times New Roman" w:hAnsi="Century Gothic" w:cs="Arial"/>
          <w:bCs/>
          <w:sz w:val="27"/>
          <w:szCs w:val="27"/>
        </w:rPr>
      </w:pPr>
    </w:p>
    <w:p w14:paraId="44172735" w14:textId="5C2FA58E" w:rsidR="00E114CF" w:rsidRPr="00173F34" w:rsidRDefault="00173F34" w:rsidP="00081774">
      <w:pPr>
        <w:tabs>
          <w:tab w:val="left" w:pos="426"/>
        </w:tabs>
        <w:spacing w:after="0" w:line="360" w:lineRule="auto"/>
        <w:jc w:val="center"/>
        <w:rPr>
          <w:rFonts w:ascii="Century Gothic" w:hAnsi="Century Gothic" w:cs="Arial"/>
          <w:b/>
          <w:sz w:val="27"/>
          <w:szCs w:val="27"/>
        </w:rPr>
      </w:pPr>
      <w:bookmarkStart w:id="1" w:name="_Toc390263640"/>
      <w:r>
        <w:rPr>
          <w:rFonts w:ascii="Century Gothic" w:hAnsi="Century Gothic" w:cs="Arial"/>
          <w:b/>
          <w:sz w:val="27"/>
          <w:szCs w:val="27"/>
        </w:rPr>
        <w:t xml:space="preserve">III. </w:t>
      </w:r>
      <w:r w:rsidR="00E114CF" w:rsidRPr="00173F34">
        <w:rPr>
          <w:rFonts w:ascii="Century Gothic" w:hAnsi="Century Gothic" w:cs="Arial"/>
          <w:b/>
          <w:sz w:val="27"/>
          <w:szCs w:val="27"/>
        </w:rPr>
        <w:t>RAZONES Y FUNDAMENTOS DE LA DECISIÓN.</w:t>
      </w:r>
    </w:p>
    <w:p w14:paraId="56B54E54" w14:textId="77777777" w:rsidR="00EC4220" w:rsidRPr="002D7808" w:rsidRDefault="00EC4220" w:rsidP="00EC4220">
      <w:pPr>
        <w:tabs>
          <w:tab w:val="left" w:pos="426"/>
        </w:tabs>
        <w:spacing w:after="0" w:line="360" w:lineRule="auto"/>
        <w:ind w:left="360"/>
        <w:jc w:val="center"/>
        <w:rPr>
          <w:rFonts w:ascii="Century Gothic" w:hAnsi="Century Gothic" w:cs="Arial"/>
          <w:b/>
          <w:sz w:val="27"/>
          <w:szCs w:val="27"/>
        </w:rPr>
      </w:pPr>
    </w:p>
    <w:p w14:paraId="56E1C93D" w14:textId="048AD8CA" w:rsidR="00E114CF" w:rsidRPr="002D7808" w:rsidRDefault="00E114CF" w:rsidP="003D714D">
      <w:pPr>
        <w:pStyle w:val="Prrafodelista"/>
        <w:widowControl w:val="0"/>
        <w:spacing w:after="0" w:line="360" w:lineRule="auto"/>
        <w:ind w:left="0"/>
        <w:jc w:val="both"/>
        <w:rPr>
          <w:rFonts w:ascii="Century Gothic" w:hAnsi="Century Gothic"/>
          <w:bCs/>
          <w:sz w:val="27"/>
          <w:szCs w:val="27"/>
        </w:rPr>
      </w:pPr>
      <w:r w:rsidRPr="002D7808">
        <w:rPr>
          <w:rFonts w:ascii="Century Gothic" w:hAnsi="Century Gothic"/>
          <w:b/>
          <w:bCs/>
          <w:sz w:val="27"/>
          <w:szCs w:val="27"/>
        </w:rPr>
        <w:t>PRIMERO. Jurisdicción y competencia.</w:t>
      </w:r>
      <w:r w:rsidR="00E615DB" w:rsidRPr="002D7808">
        <w:rPr>
          <w:rFonts w:ascii="Century Gothic" w:hAnsi="Century Gothic"/>
          <w:b/>
          <w:bCs/>
          <w:sz w:val="27"/>
          <w:szCs w:val="27"/>
        </w:rPr>
        <w:t xml:space="preserve"> </w:t>
      </w:r>
      <w:r w:rsidRPr="002D7808">
        <w:rPr>
          <w:rFonts w:ascii="Century Gothic" w:hAnsi="Century Gothic"/>
          <w:bCs/>
          <w:sz w:val="27"/>
          <w:szCs w:val="27"/>
        </w:rPr>
        <w:t>El Tribunal Electoral del Poder Judicial de la Federación ejerce jurisdicción y la Sala Superior es competente para conocer del presente medio de impugnación</w:t>
      </w:r>
      <w:r w:rsidRPr="002D7808">
        <w:rPr>
          <w:rStyle w:val="Refdenotaalpie"/>
          <w:rFonts w:ascii="Century Gothic" w:hAnsi="Century Gothic" w:cs="Arial"/>
          <w:sz w:val="27"/>
          <w:szCs w:val="27"/>
          <w:lang w:eastAsia="es-MX"/>
        </w:rPr>
        <w:footnoteReference w:id="7"/>
      </w:r>
      <w:r w:rsidRPr="002D7808">
        <w:rPr>
          <w:rFonts w:ascii="Century Gothic" w:hAnsi="Century Gothic"/>
          <w:bCs/>
          <w:sz w:val="27"/>
          <w:szCs w:val="27"/>
        </w:rPr>
        <w:t>, por tratarse de un recurso de reconsideración promovido en contra de una sentencia de fondo</w:t>
      </w:r>
      <w:r w:rsidRPr="002D7808">
        <w:rPr>
          <w:rStyle w:val="Refdenotaalpie"/>
          <w:rFonts w:ascii="Century Gothic" w:hAnsi="Century Gothic"/>
          <w:b/>
          <w:bCs/>
          <w:sz w:val="27"/>
          <w:szCs w:val="27"/>
        </w:rPr>
        <w:footnoteReference w:id="8"/>
      </w:r>
      <w:r w:rsidRPr="002D7808">
        <w:rPr>
          <w:rFonts w:ascii="Century Gothic" w:hAnsi="Century Gothic"/>
          <w:bCs/>
          <w:sz w:val="27"/>
          <w:szCs w:val="27"/>
        </w:rPr>
        <w:t xml:space="preserve"> dictada por la Sala Regional </w:t>
      </w:r>
      <w:r w:rsidR="009804ED" w:rsidRPr="002D7808">
        <w:rPr>
          <w:rFonts w:ascii="Century Gothic" w:hAnsi="Century Gothic"/>
          <w:bCs/>
          <w:sz w:val="27"/>
          <w:szCs w:val="27"/>
        </w:rPr>
        <w:t>Monterrey</w:t>
      </w:r>
      <w:r w:rsidRPr="002D7808">
        <w:rPr>
          <w:rFonts w:ascii="Century Gothic" w:hAnsi="Century Gothic"/>
          <w:bCs/>
          <w:sz w:val="27"/>
          <w:szCs w:val="27"/>
        </w:rPr>
        <w:t xml:space="preserve"> de este Tribunal, respecto del cual corresponde a esta autoridad jurisdiccional, en forma exclusiva, la competencia para resolverlo.</w:t>
      </w:r>
    </w:p>
    <w:p w14:paraId="5DAB82EA" w14:textId="77777777" w:rsidR="00EC4220" w:rsidRPr="002D7808" w:rsidRDefault="00EC4220" w:rsidP="003D714D">
      <w:pPr>
        <w:pStyle w:val="Prrafodelista"/>
        <w:widowControl w:val="0"/>
        <w:spacing w:after="0" w:line="360" w:lineRule="auto"/>
        <w:ind w:left="0"/>
        <w:jc w:val="both"/>
        <w:rPr>
          <w:rFonts w:ascii="Century Gothic" w:hAnsi="Century Gothic"/>
          <w:bCs/>
          <w:sz w:val="27"/>
          <w:szCs w:val="27"/>
        </w:rPr>
      </w:pPr>
    </w:p>
    <w:bookmarkEnd w:id="1"/>
    <w:p w14:paraId="7259D8B8" w14:textId="2029D5DD" w:rsidR="000B20F1" w:rsidRPr="002D7808" w:rsidRDefault="009804ED" w:rsidP="003D714D">
      <w:pPr>
        <w:tabs>
          <w:tab w:val="left" w:pos="3228"/>
          <w:tab w:val="left" w:pos="7512"/>
        </w:tabs>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 xml:space="preserve">SEGUNDO. Requisitos de procedencia. </w:t>
      </w:r>
      <w:r w:rsidR="000B20F1" w:rsidRPr="002D7808">
        <w:rPr>
          <w:rFonts w:ascii="Century Gothic" w:hAnsi="Century Gothic" w:cs="Arial"/>
          <w:sz w:val="27"/>
          <w:szCs w:val="27"/>
          <w:lang w:val="es-ES_tradnl"/>
        </w:rPr>
        <w:t xml:space="preserve">El recurso es procedente porque reúne los requisitos formales, generales y especiales de procedencia que están previstos en los artículos 9, 13, párrafo 1, inciso b), 61, párrafo 1, inciso b), 62, párrafo 1, inciso a), fracción IV; 63, 65 y 66 de la Ley de Medios. </w:t>
      </w:r>
    </w:p>
    <w:p w14:paraId="7FFE4411" w14:textId="77777777" w:rsidR="00EC4220" w:rsidRPr="002D7808" w:rsidRDefault="00EC4220" w:rsidP="003D714D">
      <w:pPr>
        <w:tabs>
          <w:tab w:val="left" w:pos="3228"/>
          <w:tab w:val="left" w:pos="7512"/>
        </w:tabs>
        <w:spacing w:after="0" w:line="360" w:lineRule="auto"/>
        <w:jc w:val="both"/>
        <w:rPr>
          <w:rFonts w:ascii="Century Gothic" w:hAnsi="Century Gothic" w:cs="Arial"/>
          <w:sz w:val="27"/>
          <w:szCs w:val="27"/>
          <w:lang w:val="es-ES_tradnl"/>
        </w:rPr>
      </w:pPr>
    </w:p>
    <w:p w14:paraId="781BA1F8" w14:textId="6264D01E" w:rsidR="009804ED" w:rsidRPr="002D7808" w:rsidRDefault="009804ED" w:rsidP="003D714D">
      <w:pPr>
        <w:spacing w:after="0" w:line="360" w:lineRule="auto"/>
        <w:jc w:val="both"/>
        <w:rPr>
          <w:rFonts w:ascii="Century Gothic" w:hAnsi="Century Gothic" w:cs="Arial"/>
          <w:bCs/>
          <w:sz w:val="27"/>
          <w:szCs w:val="27"/>
        </w:rPr>
      </w:pPr>
      <w:r w:rsidRPr="002D7808">
        <w:rPr>
          <w:rFonts w:ascii="Century Gothic" w:hAnsi="Century Gothic" w:cs="Arial"/>
          <w:b/>
          <w:sz w:val="27"/>
          <w:szCs w:val="27"/>
          <w:lang w:val="es-ES_tradnl"/>
        </w:rPr>
        <w:lastRenderedPageBreak/>
        <w:t>1</w:t>
      </w:r>
      <w:r w:rsidR="000B20F1" w:rsidRPr="002D7808">
        <w:rPr>
          <w:rFonts w:ascii="Century Gothic" w:hAnsi="Century Gothic" w:cs="Arial"/>
          <w:b/>
          <w:sz w:val="27"/>
          <w:szCs w:val="27"/>
          <w:lang w:val="es-ES_tradnl"/>
        </w:rPr>
        <w:t>. Forma.</w:t>
      </w:r>
      <w:r w:rsidR="000B20F1" w:rsidRPr="002D7808">
        <w:rPr>
          <w:rFonts w:ascii="Century Gothic" w:hAnsi="Century Gothic" w:cs="Arial"/>
          <w:sz w:val="27"/>
          <w:szCs w:val="27"/>
          <w:lang w:val="es-ES_tradnl"/>
        </w:rPr>
        <w:t xml:space="preserve"> </w:t>
      </w:r>
      <w:r w:rsidRPr="002D7808">
        <w:rPr>
          <w:rFonts w:ascii="Century Gothic" w:hAnsi="Century Gothic" w:cs="Arial"/>
          <w:bCs/>
          <w:sz w:val="27"/>
          <w:szCs w:val="27"/>
        </w:rPr>
        <w:t xml:space="preserve">El recurso se presentó por escrito ante la Sala responsable y, en él, se hace constar el nombre de la promovente, así como su firma autógrafa. Se identifica el acto impugnado, se enuncian los hechos y agravios, así como los preceptos presuntamente violados. </w:t>
      </w:r>
    </w:p>
    <w:p w14:paraId="5090F506" w14:textId="77777777" w:rsidR="00EC4220" w:rsidRPr="002D7808" w:rsidRDefault="00EC4220" w:rsidP="003D714D">
      <w:pPr>
        <w:spacing w:after="0" w:line="360" w:lineRule="auto"/>
        <w:jc w:val="both"/>
        <w:rPr>
          <w:rFonts w:ascii="Century Gothic" w:hAnsi="Century Gothic" w:cs="Arial"/>
          <w:bCs/>
          <w:sz w:val="27"/>
          <w:szCs w:val="27"/>
        </w:rPr>
      </w:pPr>
    </w:p>
    <w:p w14:paraId="6B5D2545" w14:textId="4C5B80ED" w:rsidR="000B20F1" w:rsidRPr="002D7808" w:rsidRDefault="009804ED" w:rsidP="003D714D">
      <w:pPr>
        <w:tabs>
          <w:tab w:val="left" w:pos="3228"/>
          <w:tab w:val="left" w:pos="7512"/>
        </w:tabs>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2.</w:t>
      </w:r>
      <w:r w:rsidR="000B20F1" w:rsidRPr="002D7808">
        <w:rPr>
          <w:rFonts w:ascii="Century Gothic" w:hAnsi="Century Gothic" w:cs="Arial"/>
          <w:b/>
          <w:sz w:val="27"/>
          <w:szCs w:val="27"/>
          <w:lang w:val="es-ES_tradnl"/>
        </w:rPr>
        <w:t xml:space="preserve"> Oportunidad</w:t>
      </w:r>
      <w:r w:rsidR="000B20F1" w:rsidRPr="002D7808">
        <w:rPr>
          <w:rFonts w:ascii="Century Gothic" w:hAnsi="Century Gothic" w:cs="Arial"/>
          <w:sz w:val="27"/>
          <w:szCs w:val="27"/>
          <w:lang w:val="es-ES_tradnl"/>
        </w:rPr>
        <w:t>. El recurso se interpuso dentro del plazo de tres días que establece el artículo 66, párrafo 1, inciso a) la Ley de Medios</w:t>
      </w:r>
      <w:r w:rsidRPr="002D7808">
        <w:rPr>
          <w:rFonts w:ascii="Century Gothic" w:hAnsi="Century Gothic" w:cs="Arial"/>
          <w:sz w:val="27"/>
          <w:szCs w:val="27"/>
          <w:lang w:val="es-ES_tradnl"/>
        </w:rPr>
        <w:t xml:space="preserve">, porque </w:t>
      </w:r>
      <w:r w:rsidR="000B20F1" w:rsidRPr="002D7808">
        <w:rPr>
          <w:rFonts w:ascii="Century Gothic" w:hAnsi="Century Gothic" w:cs="Arial"/>
          <w:sz w:val="27"/>
          <w:szCs w:val="27"/>
          <w:lang w:val="es-ES_tradnl"/>
        </w:rPr>
        <w:t>la sentencia recurrida le fue notificada</w:t>
      </w:r>
      <w:r w:rsidRPr="002D7808">
        <w:rPr>
          <w:rFonts w:ascii="Century Gothic" w:hAnsi="Century Gothic" w:cs="Arial"/>
          <w:sz w:val="27"/>
          <w:szCs w:val="27"/>
          <w:lang w:val="es-ES_tradnl"/>
        </w:rPr>
        <w:t xml:space="preserve"> personalmente</w:t>
      </w:r>
      <w:r w:rsidR="000B20F1"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a la actora</w:t>
      </w:r>
      <w:r w:rsidR="000B20F1"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el</w:t>
      </w:r>
      <w:r w:rsidR="000B20F1"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nueve</w:t>
      </w:r>
      <w:r w:rsidR="000B20F1" w:rsidRPr="002D7808">
        <w:rPr>
          <w:rFonts w:ascii="Century Gothic" w:hAnsi="Century Gothic" w:cs="Arial"/>
          <w:sz w:val="27"/>
          <w:szCs w:val="27"/>
          <w:lang w:val="es-ES_tradnl"/>
        </w:rPr>
        <w:t xml:space="preserve"> de junio </w:t>
      </w:r>
      <w:r w:rsidRPr="002D7808">
        <w:rPr>
          <w:rFonts w:ascii="Century Gothic" w:hAnsi="Century Gothic" w:cs="Arial"/>
          <w:sz w:val="27"/>
          <w:szCs w:val="27"/>
          <w:lang w:val="es-ES_tradnl"/>
        </w:rPr>
        <w:t>pasado</w:t>
      </w:r>
      <w:r w:rsidR="000B20F1" w:rsidRPr="002D7808">
        <w:rPr>
          <w:rFonts w:ascii="Century Gothic" w:hAnsi="Century Gothic" w:cs="Arial"/>
          <w:sz w:val="27"/>
          <w:szCs w:val="27"/>
          <w:lang w:val="es-ES_tradnl"/>
        </w:rPr>
        <w:t xml:space="preserve"> y el recurso de reconsideración se interpuso el </w:t>
      </w:r>
      <w:r w:rsidRPr="002D7808">
        <w:rPr>
          <w:rFonts w:ascii="Century Gothic" w:hAnsi="Century Gothic" w:cs="Arial"/>
          <w:sz w:val="27"/>
          <w:szCs w:val="27"/>
          <w:lang w:val="es-ES_tradnl"/>
        </w:rPr>
        <w:t>doce de</w:t>
      </w:r>
      <w:r w:rsidR="000B20F1" w:rsidRPr="002D7808">
        <w:rPr>
          <w:rFonts w:ascii="Century Gothic" w:hAnsi="Century Gothic" w:cs="Arial"/>
          <w:sz w:val="27"/>
          <w:szCs w:val="27"/>
          <w:lang w:val="es-ES_tradnl"/>
        </w:rPr>
        <w:t xml:space="preserve"> junio siguiente, </w:t>
      </w:r>
      <w:r w:rsidRPr="002D7808">
        <w:rPr>
          <w:rFonts w:ascii="Century Gothic" w:hAnsi="Century Gothic" w:cs="Arial"/>
          <w:sz w:val="27"/>
          <w:szCs w:val="27"/>
          <w:lang w:val="es-ES_tradnl"/>
        </w:rPr>
        <w:t>es decir, dentro del plazo previsto legalmente.</w:t>
      </w:r>
    </w:p>
    <w:p w14:paraId="6D6DDF95" w14:textId="77777777" w:rsidR="00EC4220" w:rsidRPr="002D7808" w:rsidRDefault="00EC4220" w:rsidP="003D714D">
      <w:pPr>
        <w:tabs>
          <w:tab w:val="left" w:pos="3228"/>
          <w:tab w:val="left" w:pos="7512"/>
        </w:tabs>
        <w:spacing w:after="0" w:line="360" w:lineRule="auto"/>
        <w:jc w:val="both"/>
        <w:rPr>
          <w:rFonts w:ascii="Century Gothic" w:hAnsi="Century Gothic" w:cs="Arial"/>
          <w:sz w:val="27"/>
          <w:szCs w:val="27"/>
          <w:lang w:val="es-ES_tradnl"/>
        </w:rPr>
      </w:pPr>
    </w:p>
    <w:p w14:paraId="16892650" w14:textId="6E0C6F62" w:rsidR="000B20F1" w:rsidRPr="002D7808" w:rsidRDefault="000B20F1" w:rsidP="003D714D">
      <w:pPr>
        <w:tabs>
          <w:tab w:val="left" w:pos="3228"/>
          <w:tab w:val="left" w:pos="7512"/>
        </w:tabs>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3. Legitimación</w:t>
      </w:r>
      <w:r w:rsidRPr="002D7808">
        <w:rPr>
          <w:rFonts w:ascii="Century Gothic" w:hAnsi="Century Gothic" w:cs="Arial"/>
          <w:sz w:val="27"/>
          <w:szCs w:val="27"/>
          <w:lang w:val="es-ES_tradnl"/>
        </w:rPr>
        <w:t xml:space="preserve">. </w:t>
      </w:r>
      <w:r w:rsidR="009804ED" w:rsidRPr="002D7808">
        <w:rPr>
          <w:rFonts w:ascii="Century Gothic" w:hAnsi="Century Gothic" w:cs="Arial"/>
          <w:sz w:val="27"/>
          <w:szCs w:val="27"/>
          <w:lang w:val="es-ES_tradnl"/>
        </w:rPr>
        <w:t xml:space="preserve">La </w:t>
      </w:r>
      <w:r w:rsidR="007D5735" w:rsidRPr="002D7808">
        <w:rPr>
          <w:rFonts w:ascii="Century Gothic" w:hAnsi="Century Gothic" w:cs="Arial"/>
          <w:sz w:val="27"/>
          <w:szCs w:val="27"/>
          <w:lang w:val="es-ES_tradnl"/>
        </w:rPr>
        <w:t>accionante</w:t>
      </w:r>
      <w:r w:rsidR="009804ED" w:rsidRPr="002D7808">
        <w:rPr>
          <w:rFonts w:ascii="Century Gothic" w:hAnsi="Century Gothic" w:cs="Arial"/>
          <w:sz w:val="27"/>
          <w:szCs w:val="27"/>
          <w:lang w:val="es-ES_tradnl"/>
        </w:rPr>
        <w:t xml:space="preserve"> cuenta con legitimación</w:t>
      </w:r>
      <w:r w:rsidR="007D5735" w:rsidRPr="002D7808">
        <w:rPr>
          <w:rFonts w:ascii="Century Gothic" w:hAnsi="Century Gothic" w:cs="Arial"/>
          <w:sz w:val="27"/>
          <w:szCs w:val="27"/>
          <w:lang w:val="es-ES_tradnl"/>
        </w:rPr>
        <w:t xml:space="preserve">, </w:t>
      </w:r>
      <w:r w:rsidR="009804ED" w:rsidRPr="002D7808">
        <w:rPr>
          <w:rFonts w:ascii="Century Gothic" w:hAnsi="Century Gothic" w:cs="Arial"/>
          <w:sz w:val="27"/>
          <w:szCs w:val="27"/>
          <w:lang w:val="es-ES_tradnl"/>
        </w:rPr>
        <w:t xml:space="preserve">debido a que fue ella quien dio origen a la </w:t>
      </w:r>
      <w:r w:rsidR="007D5735" w:rsidRPr="002D7808">
        <w:rPr>
          <w:rFonts w:ascii="Century Gothic" w:hAnsi="Century Gothic" w:cs="Arial"/>
          <w:sz w:val="27"/>
          <w:szCs w:val="27"/>
          <w:lang w:val="es-ES_tradnl"/>
        </w:rPr>
        <w:t xml:space="preserve">presente </w:t>
      </w:r>
      <w:r w:rsidR="009804ED" w:rsidRPr="002D7808">
        <w:rPr>
          <w:rFonts w:ascii="Century Gothic" w:hAnsi="Century Gothic" w:cs="Arial"/>
          <w:sz w:val="27"/>
          <w:szCs w:val="27"/>
          <w:lang w:val="es-ES_tradnl"/>
        </w:rPr>
        <w:t xml:space="preserve">cadena </w:t>
      </w:r>
      <w:r w:rsidR="007D5735" w:rsidRPr="002D7808">
        <w:rPr>
          <w:rFonts w:ascii="Century Gothic" w:hAnsi="Century Gothic" w:cs="Arial"/>
          <w:sz w:val="27"/>
          <w:szCs w:val="27"/>
          <w:lang w:val="es-ES_tradnl"/>
        </w:rPr>
        <w:t xml:space="preserve">impugnativa, además de tener la calidad de candidata a diputada local por el principio de representación proporcional para el </w:t>
      </w:r>
      <w:r w:rsidR="00B740FB" w:rsidRPr="002D7808">
        <w:rPr>
          <w:rFonts w:ascii="Century Gothic" w:hAnsi="Century Gothic" w:cs="Arial"/>
          <w:sz w:val="27"/>
          <w:szCs w:val="27"/>
          <w:lang w:val="es-ES_tradnl"/>
        </w:rPr>
        <w:t>E</w:t>
      </w:r>
      <w:r w:rsidR="007D5735" w:rsidRPr="002D7808">
        <w:rPr>
          <w:rFonts w:ascii="Century Gothic" w:hAnsi="Century Gothic" w:cs="Arial"/>
          <w:sz w:val="27"/>
          <w:szCs w:val="27"/>
          <w:lang w:val="es-ES_tradnl"/>
        </w:rPr>
        <w:t>stado de San Lu</w:t>
      </w:r>
      <w:r w:rsidR="00EB7641" w:rsidRPr="002D7808">
        <w:rPr>
          <w:rFonts w:ascii="Century Gothic" w:hAnsi="Century Gothic" w:cs="Arial"/>
          <w:sz w:val="27"/>
          <w:szCs w:val="27"/>
          <w:lang w:val="es-ES_tradnl"/>
        </w:rPr>
        <w:t>is</w:t>
      </w:r>
      <w:r w:rsidR="007D5735" w:rsidRPr="002D7808">
        <w:rPr>
          <w:rFonts w:ascii="Century Gothic" w:hAnsi="Century Gothic" w:cs="Arial"/>
          <w:sz w:val="27"/>
          <w:szCs w:val="27"/>
          <w:lang w:val="es-ES_tradnl"/>
        </w:rPr>
        <w:t xml:space="preserve"> Potosí, como se advierte de la lista postulada por el PT.</w:t>
      </w:r>
      <w:r w:rsidR="007D5735" w:rsidRPr="002D7808">
        <w:rPr>
          <w:rStyle w:val="Refdenotaalpie"/>
          <w:rFonts w:ascii="Century Gothic" w:hAnsi="Century Gothic" w:cs="Arial"/>
          <w:sz w:val="27"/>
          <w:szCs w:val="27"/>
          <w:lang w:val="es-ES_tradnl"/>
        </w:rPr>
        <w:footnoteReference w:id="9"/>
      </w:r>
    </w:p>
    <w:p w14:paraId="39483ED0" w14:textId="77777777" w:rsidR="007D5735" w:rsidRPr="002D7808" w:rsidRDefault="007D5735" w:rsidP="003D714D">
      <w:pPr>
        <w:tabs>
          <w:tab w:val="left" w:pos="3228"/>
          <w:tab w:val="left" w:pos="7512"/>
        </w:tabs>
        <w:spacing w:after="0" w:line="360" w:lineRule="auto"/>
        <w:jc w:val="both"/>
        <w:rPr>
          <w:rFonts w:ascii="Century Gothic" w:hAnsi="Century Gothic" w:cs="Arial"/>
          <w:sz w:val="27"/>
          <w:szCs w:val="27"/>
          <w:lang w:val="es-ES_tradnl"/>
        </w:rPr>
      </w:pPr>
    </w:p>
    <w:p w14:paraId="2CAF2E96" w14:textId="31828064" w:rsidR="000B20F1" w:rsidRDefault="000B20F1" w:rsidP="003D714D">
      <w:pPr>
        <w:tabs>
          <w:tab w:val="left" w:pos="3228"/>
          <w:tab w:val="left" w:pos="7512"/>
        </w:tabs>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4. Interés jurídico.</w:t>
      </w:r>
      <w:r w:rsidRPr="002D7808">
        <w:rPr>
          <w:rFonts w:ascii="Century Gothic" w:hAnsi="Century Gothic" w:cs="Arial"/>
          <w:sz w:val="27"/>
          <w:szCs w:val="27"/>
          <w:lang w:val="es-ES_tradnl"/>
        </w:rPr>
        <w:t xml:space="preserve"> </w:t>
      </w:r>
      <w:r w:rsidR="007D5735" w:rsidRPr="002D7808">
        <w:rPr>
          <w:rFonts w:ascii="Century Gothic" w:hAnsi="Century Gothic" w:cs="Arial"/>
          <w:sz w:val="27"/>
          <w:szCs w:val="27"/>
          <w:lang w:val="es-ES_tradnl"/>
        </w:rPr>
        <w:t>La actora</w:t>
      </w:r>
      <w:r w:rsidRPr="002D7808">
        <w:rPr>
          <w:rFonts w:ascii="Century Gothic" w:hAnsi="Century Gothic" w:cs="Arial"/>
          <w:sz w:val="27"/>
          <w:szCs w:val="27"/>
          <w:lang w:val="es-ES_tradnl"/>
        </w:rPr>
        <w:t xml:space="preserve"> cuenta con interés jurídico por</w:t>
      </w:r>
      <w:r w:rsidR="007D5735" w:rsidRPr="002D7808">
        <w:rPr>
          <w:rFonts w:ascii="Century Gothic" w:hAnsi="Century Gothic" w:cs="Arial"/>
          <w:sz w:val="27"/>
          <w:szCs w:val="27"/>
          <w:lang w:val="es-ES_tradnl"/>
        </w:rPr>
        <w:t>que</w:t>
      </w:r>
      <w:r w:rsidRPr="002D7808">
        <w:rPr>
          <w:rFonts w:ascii="Century Gothic" w:hAnsi="Century Gothic" w:cs="Arial"/>
          <w:sz w:val="27"/>
          <w:szCs w:val="27"/>
          <w:lang w:val="es-ES_tradnl"/>
        </w:rPr>
        <w:t xml:space="preserve"> </w:t>
      </w:r>
      <w:r w:rsidR="007D5735" w:rsidRPr="002D7808">
        <w:rPr>
          <w:rFonts w:ascii="Century Gothic" w:hAnsi="Century Gothic" w:cs="Arial"/>
          <w:sz w:val="27"/>
          <w:szCs w:val="27"/>
          <w:lang w:val="es-ES_tradnl"/>
        </w:rPr>
        <w:t xml:space="preserve">la sentencia de la Sala responsable le fue adversa a </w:t>
      </w:r>
      <w:r w:rsidR="007D5735" w:rsidRPr="002D7808">
        <w:rPr>
          <w:rFonts w:ascii="Century Gothic" w:hAnsi="Century Gothic" w:cs="Arial"/>
          <w:sz w:val="27"/>
          <w:szCs w:val="27"/>
          <w:lang w:val="es-ES_tradnl"/>
        </w:rPr>
        <w:lastRenderedPageBreak/>
        <w:t>sus intereses, pues pretende ocupar el lugar uno de la referida lista de postulación.</w:t>
      </w:r>
    </w:p>
    <w:p w14:paraId="76844515" w14:textId="77777777" w:rsidR="003A4BBC" w:rsidRDefault="003A4BBC" w:rsidP="003D714D">
      <w:pPr>
        <w:tabs>
          <w:tab w:val="left" w:pos="3228"/>
          <w:tab w:val="left" w:pos="7512"/>
        </w:tabs>
        <w:spacing w:after="0" w:line="360" w:lineRule="auto"/>
        <w:jc w:val="both"/>
        <w:rPr>
          <w:rFonts w:ascii="Century Gothic" w:hAnsi="Century Gothic" w:cs="Arial"/>
          <w:sz w:val="27"/>
          <w:szCs w:val="27"/>
          <w:lang w:val="es-ES_tradnl"/>
        </w:rPr>
      </w:pPr>
    </w:p>
    <w:p w14:paraId="6B4D4A33" w14:textId="7C20941D" w:rsidR="00C64CBF" w:rsidRPr="002D7808" w:rsidRDefault="000B20F1" w:rsidP="003D714D">
      <w:pPr>
        <w:tabs>
          <w:tab w:val="left" w:pos="3228"/>
          <w:tab w:val="left" w:pos="7512"/>
        </w:tabs>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5. Definitividad.</w:t>
      </w:r>
      <w:r w:rsidRPr="002D7808">
        <w:rPr>
          <w:rFonts w:ascii="Century Gothic" w:hAnsi="Century Gothic" w:cs="Arial"/>
          <w:sz w:val="27"/>
          <w:szCs w:val="27"/>
          <w:lang w:val="es-ES_tradnl"/>
        </w:rPr>
        <w:t xml:space="preserve"> Se cumple este requisito porque no existe otro medio de impugnación que permita controvertir las sentencias de las </w:t>
      </w:r>
      <w:r w:rsidR="007D5735" w:rsidRPr="002D7808">
        <w:rPr>
          <w:rFonts w:ascii="Century Gothic" w:hAnsi="Century Gothic" w:cs="Arial"/>
          <w:sz w:val="27"/>
          <w:szCs w:val="27"/>
          <w:lang w:val="es-ES_tradnl"/>
        </w:rPr>
        <w:t>S</w:t>
      </w:r>
      <w:r w:rsidRPr="002D7808">
        <w:rPr>
          <w:rFonts w:ascii="Century Gothic" w:hAnsi="Century Gothic" w:cs="Arial"/>
          <w:sz w:val="27"/>
          <w:szCs w:val="27"/>
          <w:lang w:val="es-ES_tradnl"/>
        </w:rPr>
        <w:t xml:space="preserve">alas </w:t>
      </w:r>
      <w:r w:rsidR="007D5735" w:rsidRPr="002D7808">
        <w:rPr>
          <w:rFonts w:ascii="Century Gothic" w:hAnsi="Century Gothic" w:cs="Arial"/>
          <w:sz w:val="27"/>
          <w:szCs w:val="27"/>
          <w:lang w:val="es-ES_tradnl"/>
        </w:rPr>
        <w:t>R</w:t>
      </w:r>
      <w:r w:rsidRPr="002D7808">
        <w:rPr>
          <w:rFonts w:ascii="Century Gothic" w:hAnsi="Century Gothic" w:cs="Arial"/>
          <w:sz w:val="27"/>
          <w:szCs w:val="27"/>
          <w:lang w:val="es-ES_tradnl"/>
        </w:rPr>
        <w:t>egionales.</w:t>
      </w:r>
    </w:p>
    <w:p w14:paraId="732491C0" w14:textId="77777777" w:rsidR="00EC4220" w:rsidRPr="002D7808" w:rsidRDefault="00EC4220" w:rsidP="003D714D">
      <w:pPr>
        <w:tabs>
          <w:tab w:val="left" w:pos="3228"/>
          <w:tab w:val="left" w:pos="7512"/>
        </w:tabs>
        <w:spacing w:after="0" w:line="360" w:lineRule="auto"/>
        <w:jc w:val="both"/>
        <w:rPr>
          <w:rFonts w:ascii="Century Gothic" w:hAnsi="Century Gothic" w:cs="Arial"/>
          <w:sz w:val="27"/>
          <w:szCs w:val="27"/>
          <w:lang w:val="es-ES_tradnl"/>
        </w:rPr>
      </w:pPr>
    </w:p>
    <w:p w14:paraId="09B74450" w14:textId="7B7D4887" w:rsidR="000B20F1" w:rsidRPr="002D7808" w:rsidRDefault="000B20F1" w:rsidP="003D714D">
      <w:pPr>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 xml:space="preserve">6. Requisito específico de procedencia. </w:t>
      </w:r>
      <w:r w:rsidRPr="002D7808">
        <w:rPr>
          <w:rFonts w:ascii="Century Gothic" w:hAnsi="Century Gothic" w:cs="Arial"/>
          <w:sz w:val="27"/>
          <w:szCs w:val="27"/>
          <w:lang w:val="es-ES_tradnl"/>
        </w:rPr>
        <w:t xml:space="preserve">De conformidad con los artículos 61, párrafo 1, inciso b), y 62, párrafo 1, inciso a), fracción IV, de la Ley de Medios, el recurso de reconsideración procede contra las sentencias de las </w:t>
      </w:r>
      <w:r w:rsidR="00717CBC" w:rsidRPr="002D7808">
        <w:rPr>
          <w:rFonts w:ascii="Century Gothic" w:hAnsi="Century Gothic" w:cs="Arial"/>
          <w:sz w:val="27"/>
          <w:szCs w:val="27"/>
          <w:lang w:val="es-ES_tradnl"/>
        </w:rPr>
        <w:t>S</w:t>
      </w:r>
      <w:r w:rsidRPr="002D7808">
        <w:rPr>
          <w:rFonts w:ascii="Century Gothic" w:hAnsi="Century Gothic" w:cs="Arial"/>
          <w:sz w:val="27"/>
          <w:szCs w:val="27"/>
          <w:lang w:val="es-ES_tradnl"/>
        </w:rPr>
        <w:t xml:space="preserve">alas </w:t>
      </w:r>
      <w:r w:rsidR="00717CBC" w:rsidRPr="002D7808">
        <w:rPr>
          <w:rFonts w:ascii="Century Gothic" w:hAnsi="Century Gothic" w:cs="Arial"/>
          <w:sz w:val="27"/>
          <w:szCs w:val="27"/>
          <w:lang w:val="es-ES_tradnl"/>
        </w:rPr>
        <w:t>R</w:t>
      </w:r>
      <w:r w:rsidRPr="002D7808">
        <w:rPr>
          <w:rFonts w:ascii="Century Gothic" w:hAnsi="Century Gothic" w:cs="Arial"/>
          <w:sz w:val="27"/>
          <w:szCs w:val="27"/>
          <w:lang w:val="es-ES_tradnl"/>
        </w:rPr>
        <w:t>egionales que se haya</w:t>
      </w:r>
      <w:r w:rsidR="00253A87" w:rsidRPr="002D7808">
        <w:rPr>
          <w:rFonts w:ascii="Century Gothic" w:hAnsi="Century Gothic" w:cs="Arial"/>
          <w:sz w:val="27"/>
          <w:szCs w:val="27"/>
          <w:lang w:val="es-ES_tradnl"/>
        </w:rPr>
        <w:t>n</w:t>
      </w:r>
      <w:r w:rsidRPr="002D7808">
        <w:rPr>
          <w:rFonts w:ascii="Century Gothic" w:hAnsi="Century Gothic" w:cs="Arial"/>
          <w:sz w:val="27"/>
          <w:szCs w:val="27"/>
          <w:lang w:val="es-ES_tradnl"/>
        </w:rPr>
        <w:t xml:space="preserve"> resuelto la no aplicación de una norma electoral por considerarla contraria a la Constitución General.</w:t>
      </w:r>
    </w:p>
    <w:p w14:paraId="41593815"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56C46570" w14:textId="0B284FA4" w:rsidR="000B20F1" w:rsidRDefault="000B20F1"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Una lectura funcional de esos preceptos ha llevado a que esta Sala Superior sostenga que el recurso de reconsideración procede contra las sentencias en que se resuelvan –u omitan resolver– cuestiones propiamente constitucionales. Entre los casos que pueden ser objeto de revisión se han identificado las sentencias en donde haya un pronunciamiento sobre la constitucionalidad de una norma electoral, cuando se defina la interpretación directa de una disposición de la Constitución General, o bien, cuando se </w:t>
      </w:r>
      <w:r w:rsidRPr="002D7808">
        <w:rPr>
          <w:rFonts w:ascii="Century Gothic" w:hAnsi="Century Gothic" w:cs="Arial"/>
          <w:sz w:val="27"/>
          <w:szCs w:val="27"/>
          <w:lang w:val="es-ES_tradnl"/>
        </w:rPr>
        <w:lastRenderedPageBreak/>
        <w:t>hubie</w:t>
      </w:r>
      <w:r w:rsidR="00717CBC" w:rsidRPr="002D7808">
        <w:rPr>
          <w:rFonts w:ascii="Century Gothic" w:hAnsi="Century Gothic" w:cs="Arial"/>
          <w:sz w:val="27"/>
          <w:szCs w:val="27"/>
          <w:lang w:val="es-ES_tradnl"/>
        </w:rPr>
        <w:t>ra</w:t>
      </w:r>
      <w:r w:rsidRPr="002D7808">
        <w:rPr>
          <w:rFonts w:ascii="Century Gothic" w:hAnsi="Century Gothic" w:cs="Arial"/>
          <w:sz w:val="27"/>
          <w:szCs w:val="27"/>
          <w:lang w:val="es-ES_tradnl"/>
        </w:rPr>
        <w:t xml:space="preserve"> planteado alguna de esas cuestiones y una </w:t>
      </w:r>
      <w:r w:rsidR="00717CBC" w:rsidRPr="002D7808">
        <w:rPr>
          <w:rFonts w:ascii="Century Gothic" w:hAnsi="Century Gothic" w:cs="Arial"/>
          <w:sz w:val="27"/>
          <w:szCs w:val="27"/>
          <w:lang w:val="es-ES_tradnl"/>
        </w:rPr>
        <w:t>S</w:t>
      </w:r>
      <w:r w:rsidRPr="002D7808">
        <w:rPr>
          <w:rFonts w:ascii="Century Gothic" w:hAnsi="Century Gothic" w:cs="Arial"/>
          <w:sz w:val="27"/>
          <w:szCs w:val="27"/>
          <w:lang w:val="es-ES_tradnl"/>
        </w:rPr>
        <w:t xml:space="preserve">ala </w:t>
      </w:r>
      <w:r w:rsidR="00717CBC" w:rsidRPr="002D7808">
        <w:rPr>
          <w:rFonts w:ascii="Century Gothic" w:hAnsi="Century Gothic" w:cs="Arial"/>
          <w:sz w:val="27"/>
          <w:szCs w:val="27"/>
          <w:lang w:val="es-ES_tradnl"/>
        </w:rPr>
        <w:t>R</w:t>
      </w:r>
      <w:r w:rsidRPr="002D7808">
        <w:rPr>
          <w:rFonts w:ascii="Century Gothic" w:hAnsi="Century Gothic" w:cs="Arial"/>
          <w:sz w:val="27"/>
          <w:szCs w:val="27"/>
          <w:lang w:val="es-ES_tradnl"/>
        </w:rPr>
        <w:t>egional omita su estudio</w:t>
      </w:r>
      <w:r w:rsidRPr="002D7808">
        <w:rPr>
          <w:rStyle w:val="Refdenotaalpie"/>
          <w:rFonts w:ascii="Century Gothic" w:hAnsi="Century Gothic" w:cs="Arial"/>
          <w:sz w:val="27"/>
          <w:szCs w:val="27"/>
          <w:lang w:val="es-ES_tradnl"/>
        </w:rPr>
        <w:footnoteReference w:id="10"/>
      </w:r>
      <w:r w:rsidRPr="002D7808">
        <w:rPr>
          <w:rFonts w:ascii="Century Gothic" w:hAnsi="Century Gothic" w:cs="Arial"/>
          <w:sz w:val="27"/>
          <w:szCs w:val="27"/>
          <w:lang w:val="es-ES_tradnl"/>
        </w:rPr>
        <w:t>.</w:t>
      </w:r>
    </w:p>
    <w:p w14:paraId="24840D16" w14:textId="77777777" w:rsidR="00A51E52" w:rsidRDefault="00A51E52" w:rsidP="003D714D">
      <w:pPr>
        <w:spacing w:after="0" w:line="360" w:lineRule="auto"/>
        <w:jc w:val="both"/>
        <w:rPr>
          <w:rFonts w:ascii="Century Gothic" w:hAnsi="Century Gothic" w:cs="Arial"/>
          <w:sz w:val="27"/>
          <w:szCs w:val="27"/>
          <w:lang w:val="es-ES_tradnl"/>
        </w:rPr>
      </w:pPr>
    </w:p>
    <w:p w14:paraId="2F78636A" w14:textId="16C94E68" w:rsidR="00C17473" w:rsidRPr="002D7808" w:rsidRDefault="00C17473"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En el caso, se cumple con el requisito especial de procedencia por las razones siguientes:</w:t>
      </w:r>
    </w:p>
    <w:p w14:paraId="43D197EA"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47BA04DE" w14:textId="5C4A9978" w:rsidR="00C17473" w:rsidRPr="002D7808" w:rsidRDefault="00C17473"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Desde la </w:t>
      </w:r>
      <w:r w:rsidR="00B740FB" w:rsidRPr="002D7808">
        <w:rPr>
          <w:rFonts w:ascii="Century Gothic" w:hAnsi="Century Gothic" w:cs="Arial"/>
          <w:sz w:val="27"/>
          <w:szCs w:val="27"/>
          <w:lang w:val="es-ES_tradnl"/>
        </w:rPr>
        <w:t>gé</w:t>
      </w:r>
      <w:r w:rsidRPr="002D7808">
        <w:rPr>
          <w:rFonts w:ascii="Century Gothic" w:hAnsi="Century Gothic" w:cs="Arial"/>
          <w:sz w:val="27"/>
          <w:szCs w:val="27"/>
          <w:lang w:val="es-ES_tradnl"/>
        </w:rPr>
        <w:t xml:space="preserve">nesis de la cadena impugnativa la actora planteó, entre otras cuestiones, que de conformidad con el artículo 17 de los Lineamientos para el cumplimiento del principio de paridad de género en las candidaturas, quien debía encabezar la lista de las relativas a las diputaciones por el principio de representación proporcional era una mujer, </w:t>
      </w:r>
      <w:r w:rsidR="00AD2DE7" w:rsidRPr="002D7808">
        <w:rPr>
          <w:rFonts w:ascii="Century Gothic" w:hAnsi="Century Gothic" w:cs="Arial"/>
          <w:sz w:val="27"/>
          <w:szCs w:val="27"/>
          <w:lang w:val="es-ES_tradnl"/>
        </w:rPr>
        <w:t>debido a</w:t>
      </w:r>
      <w:r w:rsidRPr="002D7808">
        <w:rPr>
          <w:rFonts w:ascii="Century Gothic" w:hAnsi="Century Gothic" w:cs="Arial"/>
          <w:sz w:val="27"/>
          <w:szCs w:val="27"/>
          <w:lang w:val="es-ES_tradnl"/>
        </w:rPr>
        <w:t xml:space="preserve"> que el PT </w:t>
      </w:r>
      <w:r w:rsidR="00AD2DE7" w:rsidRPr="002D7808">
        <w:rPr>
          <w:rFonts w:ascii="Century Gothic" w:hAnsi="Century Gothic" w:cs="Arial"/>
          <w:sz w:val="27"/>
          <w:szCs w:val="27"/>
          <w:lang w:val="es-ES_tradnl"/>
        </w:rPr>
        <w:t xml:space="preserve">en las de mayoría relativa </w:t>
      </w:r>
      <w:r w:rsidRPr="002D7808">
        <w:rPr>
          <w:rFonts w:ascii="Century Gothic" w:hAnsi="Century Gothic" w:cs="Arial"/>
          <w:sz w:val="27"/>
          <w:szCs w:val="27"/>
          <w:lang w:val="es-ES_tradnl"/>
        </w:rPr>
        <w:t>había postulado en lo individual a tres hombres y una mujer</w:t>
      </w:r>
      <w:r w:rsidR="00AD2DE7" w:rsidRPr="002D7808">
        <w:rPr>
          <w:rFonts w:ascii="Century Gothic" w:hAnsi="Century Gothic" w:cs="Arial"/>
          <w:sz w:val="27"/>
          <w:szCs w:val="27"/>
          <w:lang w:val="es-ES_tradnl"/>
        </w:rPr>
        <w:t>.</w:t>
      </w:r>
      <w:r w:rsidRPr="002D7808">
        <w:rPr>
          <w:rFonts w:ascii="Century Gothic" w:hAnsi="Century Gothic" w:cs="Arial"/>
          <w:sz w:val="27"/>
          <w:szCs w:val="27"/>
          <w:lang w:val="es-ES_tradnl"/>
        </w:rPr>
        <w:t xml:space="preserve">  </w:t>
      </w:r>
    </w:p>
    <w:p w14:paraId="3D47C869"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2D58C00C" w14:textId="6A197382" w:rsidR="00AD2DE7" w:rsidRPr="002D7808" w:rsidRDefault="00AD2DE7"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Tanto el Tribunal local y la Sala responsable coincidieron en que las candidaturas que registren los partidos políticos en lo individual no serán acumulables a las postuladas en coalición</w:t>
      </w:r>
      <w:r w:rsidR="00544886"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a partir de la interpretación de los numerales 16 y 17 de los Lineamientos, así como de</w:t>
      </w:r>
      <w:r w:rsidR="00544886" w:rsidRPr="002D7808">
        <w:rPr>
          <w:rFonts w:ascii="Century Gothic" w:hAnsi="Century Gothic" w:cs="Arial"/>
          <w:sz w:val="27"/>
          <w:szCs w:val="27"/>
          <w:lang w:val="es-ES_tradnl"/>
        </w:rPr>
        <w:t xml:space="preserve">l acuerdo de doce de diciembre de año pasado, por el que se modificaron los </w:t>
      </w:r>
      <w:r w:rsidR="00544886" w:rsidRPr="002D7808">
        <w:rPr>
          <w:rFonts w:ascii="Century Gothic" w:hAnsi="Century Gothic" w:cs="Arial"/>
          <w:sz w:val="27"/>
          <w:szCs w:val="27"/>
          <w:lang w:val="es-ES_tradnl"/>
        </w:rPr>
        <w:lastRenderedPageBreak/>
        <w:t>citados Lineamientos, para dar cumplimiento al artículo 278 del reglamento de Elecciones del Instituto Nacional Electoral.</w:t>
      </w:r>
    </w:p>
    <w:p w14:paraId="1B50644C" w14:textId="5B65AEE6" w:rsidR="004169A4" w:rsidRPr="002D7808" w:rsidRDefault="004169A4"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Es decir, para afectos de integrar la lista por el principio de representación proporcional del PT, las candidaturas de los partidos políticos coaligados no podrían ser acumuladas a las de la coalición para efectos de verificar e</w:t>
      </w:r>
      <w:r w:rsidR="00B740FB" w:rsidRPr="002D7808">
        <w:rPr>
          <w:rFonts w:ascii="Century Gothic" w:hAnsi="Century Gothic" w:cs="Arial"/>
          <w:sz w:val="27"/>
          <w:szCs w:val="27"/>
          <w:lang w:val="es-ES_tradnl"/>
        </w:rPr>
        <w:t>l cumplimiento de</w:t>
      </w:r>
      <w:r w:rsidRPr="002D7808">
        <w:rPr>
          <w:rFonts w:ascii="Century Gothic" w:hAnsi="Century Gothic" w:cs="Arial"/>
          <w:sz w:val="27"/>
          <w:szCs w:val="27"/>
          <w:lang w:val="es-ES_tradnl"/>
        </w:rPr>
        <w:t>l principio de paridad de género.</w:t>
      </w:r>
    </w:p>
    <w:p w14:paraId="2CB2C2ED" w14:textId="77777777" w:rsidR="00E05DAC" w:rsidRPr="002D7808" w:rsidRDefault="00E05DAC" w:rsidP="003D714D">
      <w:pPr>
        <w:spacing w:after="0" w:line="360" w:lineRule="auto"/>
        <w:jc w:val="both"/>
        <w:rPr>
          <w:rFonts w:ascii="Century Gothic" w:hAnsi="Century Gothic" w:cs="Arial"/>
          <w:sz w:val="27"/>
          <w:szCs w:val="27"/>
          <w:lang w:val="es-ES_tradnl"/>
        </w:rPr>
      </w:pPr>
    </w:p>
    <w:p w14:paraId="71ADA6D8" w14:textId="583C33C9" w:rsidR="004169A4" w:rsidRPr="002D7808" w:rsidRDefault="004169A4"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Así, sostuvo que el PT no postuló candidaturas en lo individual a diputaciones por el principio de mayoría relativa, pero que tal circunstancia no lo excluía </w:t>
      </w:r>
      <w:r w:rsidR="00125C58" w:rsidRPr="002D7808">
        <w:rPr>
          <w:rFonts w:ascii="Century Gothic" w:hAnsi="Century Gothic" w:cs="Arial"/>
          <w:sz w:val="27"/>
          <w:szCs w:val="27"/>
          <w:lang w:val="es-ES_tradnl"/>
        </w:rPr>
        <w:t xml:space="preserve">a la regla establecida en el </w:t>
      </w:r>
      <w:r w:rsidR="000C62A2" w:rsidRPr="002D7808">
        <w:rPr>
          <w:rFonts w:ascii="Century Gothic" w:hAnsi="Century Gothic" w:cs="Arial"/>
          <w:sz w:val="27"/>
          <w:szCs w:val="27"/>
          <w:lang w:val="es-ES_tradnl"/>
        </w:rPr>
        <w:t>R</w:t>
      </w:r>
      <w:r w:rsidR="00125C58" w:rsidRPr="002D7808">
        <w:rPr>
          <w:rFonts w:ascii="Century Gothic" w:hAnsi="Century Gothic" w:cs="Arial"/>
          <w:sz w:val="27"/>
          <w:szCs w:val="27"/>
          <w:lang w:val="es-ES_tradnl"/>
        </w:rPr>
        <w:t>eglamento de Elecciones, pues en todo caso debía prevalecer el derecho de auto organización de los partidos para establecer la prelación en la integración de la lista para postular las candidaturas a diputaciones de representación proporcional.</w:t>
      </w:r>
    </w:p>
    <w:p w14:paraId="05386F6C"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4A331563" w14:textId="1442E2FA" w:rsidR="00125C58" w:rsidRDefault="00125C5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Derivado de esa interpretación, determinó que la medida compensatoria implementada por el Tribunal local</w:t>
      </w:r>
      <w:r w:rsidR="00690720" w:rsidRPr="002D7808">
        <w:rPr>
          <w:rFonts w:ascii="Century Gothic" w:hAnsi="Century Gothic" w:cs="Arial"/>
          <w:sz w:val="27"/>
          <w:szCs w:val="27"/>
          <w:lang w:val="es-ES_tradnl"/>
        </w:rPr>
        <w:t xml:space="preserve"> de modificar el orden de prelación de la lista</w:t>
      </w:r>
      <w:r w:rsidRPr="002D7808">
        <w:rPr>
          <w:rFonts w:ascii="Century Gothic" w:hAnsi="Century Gothic" w:cs="Arial"/>
          <w:sz w:val="27"/>
          <w:szCs w:val="27"/>
          <w:lang w:val="es-ES_tradnl"/>
        </w:rPr>
        <w:t xml:space="preserve"> era innecesaria, </w:t>
      </w:r>
      <w:r w:rsidR="00690720" w:rsidRPr="002D7808">
        <w:rPr>
          <w:rFonts w:ascii="Century Gothic" w:hAnsi="Century Gothic" w:cs="Arial"/>
          <w:sz w:val="27"/>
          <w:szCs w:val="27"/>
          <w:lang w:val="es-ES_tradnl"/>
        </w:rPr>
        <w:t xml:space="preserve">pues resultó correcto que atendiendo a las postulaciones en las que participó el PT únicamente fueron a través de la coalición, por lo que no aplicaba algún criterio para compensar una posible subrepresentación con motivo del género, máxime cuando la Ley Electoral Local, los Lineamientos y el Reglamento de Elecciones, no exigen que las listas que postulen los partidos deban ser encabezados </w:t>
      </w:r>
      <w:r w:rsidR="00690720" w:rsidRPr="002D7808">
        <w:rPr>
          <w:rFonts w:ascii="Century Gothic" w:hAnsi="Century Gothic" w:cs="Arial"/>
          <w:sz w:val="27"/>
          <w:szCs w:val="27"/>
          <w:lang w:val="es-ES_tradnl"/>
        </w:rPr>
        <w:lastRenderedPageBreak/>
        <w:t>por mujeres, por lo que la postulación corresponde a un ejercicio de autodeterminación del partido.</w:t>
      </w:r>
    </w:p>
    <w:p w14:paraId="650A40B3" w14:textId="77777777" w:rsidR="00A51E52" w:rsidRDefault="00A51E52" w:rsidP="003D714D">
      <w:pPr>
        <w:spacing w:after="0" w:line="360" w:lineRule="auto"/>
        <w:jc w:val="both"/>
        <w:rPr>
          <w:rFonts w:ascii="Century Gothic" w:hAnsi="Century Gothic" w:cs="Arial"/>
          <w:sz w:val="27"/>
          <w:szCs w:val="27"/>
          <w:lang w:val="es-ES_tradnl"/>
        </w:rPr>
      </w:pPr>
    </w:p>
    <w:p w14:paraId="548455EA" w14:textId="79302D56" w:rsidR="000B20F1" w:rsidRPr="002D7808" w:rsidRDefault="00125C5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 ese sentido, </w:t>
      </w:r>
      <w:r w:rsidR="000B20F1" w:rsidRPr="002D7808">
        <w:rPr>
          <w:rFonts w:ascii="Century Gothic" w:hAnsi="Century Gothic" w:cs="Arial"/>
          <w:sz w:val="27"/>
          <w:szCs w:val="27"/>
          <w:lang w:val="es-ES_tradnl"/>
        </w:rPr>
        <w:t xml:space="preserve">se observa que en la sentencia controvertida la Sala Monterrey se centró en revisar si las postulaciones </w:t>
      </w:r>
      <w:r w:rsidRPr="002D7808">
        <w:rPr>
          <w:rFonts w:ascii="Century Gothic" w:hAnsi="Century Gothic" w:cs="Arial"/>
          <w:sz w:val="27"/>
          <w:szCs w:val="27"/>
          <w:lang w:val="es-ES_tradnl"/>
        </w:rPr>
        <w:t>de candidaturas a las diputaciones locales por el principio de representación proporcional postuladas por el PT</w:t>
      </w:r>
      <w:r w:rsidR="000B20F1" w:rsidRPr="002D7808">
        <w:rPr>
          <w:rFonts w:ascii="Century Gothic" w:hAnsi="Century Gothic" w:cs="Arial"/>
          <w:sz w:val="27"/>
          <w:szCs w:val="27"/>
          <w:lang w:val="es-ES_tradnl"/>
        </w:rPr>
        <w:t xml:space="preserve"> se ajustaron a las disposiciones legales y reglamentarias en las que se establece la manera como se debe verificar el cumplimiento del mandato de postulación paritaria de mujeres y hombres.</w:t>
      </w:r>
    </w:p>
    <w:p w14:paraId="6D713FE1" w14:textId="77777777" w:rsidR="009D7E5E" w:rsidRPr="002D7808" w:rsidRDefault="009D7E5E" w:rsidP="003D714D">
      <w:pPr>
        <w:spacing w:after="0" w:line="360" w:lineRule="auto"/>
        <w:jc w:val="both"/>
        <w:rPr>
          <w:rFonts w:ascii="Century Gothic" w:hAnsi="Century Gothic" w:cs="Arial"/>
          <w:sz w:val="27"/>
          <w:szCs w:val="27"/>
          <w:lang w:val="es-ES_tradnl"/>
        </w:rPr>
      </w:pPr>
    </w:p>
    <w:p w14:paraId="10E801CB" w14:textId="10D01377" w:rsidR="000B20F1" w:rsidRPr="002D7808" w:rsidRDefault="00D55E09"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 partir de lo anterior, e</w:t>
      </w:r>
      <w:r w:rsidR="000B20F1" w:rsidRPr="002D7808">
        <w:rPr>
          <w:rFonts w:ascii="Century Gothic" w:hAnsi="Century Gothic" w:cs="Arial"/>
          <w:sz w:val="27"/>
          <w:szCs w:val="27"/>
          <w:lang w:val="es-ES_tradnl"/>
        </w:rPr>
        <w:t xml:space="preserve">sta Sala Superior considera que en el reclamo </w:t>
      </w:r>
      <w:r w:rsidRPr="002D7808">
        <w:rPr>
          <w:rFonts w:ascii="Century Gothic" w:hAnsi="Century Gothic" w:cs="Arial"/>
          <w:sz w:val="27"/>
          <w:szCs w:val="27"/>
          <w:lang w:val="es-ES_tradnl"/>
        </w:rPr>
        <w:t>de la actora</w:t>
      </w:r>
      <w:r w:rsidR="000B20F1" w:rsidRPr="002D7808">
        <w:rPr>
          <w:rFonts w:ascii="Century Gothic" w:hAnsi="Century Gothic" w:cs="Arial"/>
          <w:sz w:val="27"/>
          <w:szCs w:val="27"/>
          <w:lang w:val="es-ES_tradnl"/>
        </w:rPr>
        <w:t xml:space="preserve"> subsiste una cuestión de constitucionalidad, porque implica determinar si fue adecuado lo determinado por la Sala </w:t>
      </w:r>
      <w:r w:rsidRPr="002D7808">
        <w:rPr>
          <w:rFonts w:ascii="Century Gothic" w:eastAsia="Times New Roman" w:hAnsi="Century Gothic" w:cs="Arial"/>
          <w:bCs/>
          <w:sz w:val="27"/>
          <w:szCs w:val="27"/>
        </w:rPr>
        <w:t>r</w:t>
      </w:r>
      <w:r w:rsidR="00CD7483" w:rsidRPr="002D7808">
        <w:rPr>
          <w:rFonts w:ascii="Century Gothic" w:eastAsia="Times New Roman" w:hAnsi="Century Gothic" w:cs="Arial"/>
          <w:bCs/>
          <w:sz w:val="27"/>
          <w:szCs w:val="27"/>
        </w:rPr>
        <w:t xml:space="preserve">esponsable </w:t>
      </w:r>
      <w:r w:rsidR="000B20F1" w:rsidRPr="002D7808">
        <w:rPr>
          <w:rFonts w:ascii="Century Gothic" w:hAnsi="Century Gothic" w:cs="Arial"/>
          <w:sz w:val="27"/>
          <w:szCs w:val="27"/>
          <w:lang w:val="es-ES_tradnl"/>
        </w:rPr>
        <w:t>en cuanto al sentido y alcance de las reglas de postulación de candidaturas a la luz del mandato constitucional de postulación paritaria por razón de género y del derecho fundamental de las mujeres al acceso a</w:t>
      </w:r>
      <w:r w:rsidR="009D7E5E" w:rsidRPr="002D7808">
        <w:rPr>
          <w:rFonts w:ascii="Century Gothic" w:hAnsi="Century Gothic" w:cs="Arial"/>
          <w:sz w:val="27"/>
          <w:szCs w:val="27"/>
          <w:lang w:val="es-ES_tradnl"/>
        </w:rPr>
        <w:t xml:space="preserve"> cargos públicos</w:t>
      </w:r>
      <w:r w:rsidR="000B20F1" w:rsidRPr="002D7808">
        <w:rPr>
          <w:rFonts w:ascii="Century Gothic" w:hAnsi="Century Gothic" w:cs="Arial"/>
          <w:sz w:val="27"/>
          <w:szCs w:val="27"/>
          <w:lang w:val="es-ES_tradnl"/>
        </w:rPr>
        <w:t xml:space="preserve"> en condiciones de igualdad frente a los hombres</w:t>
      </w:r>
      <w:r w:rsidRPr="002D7808">
        <w:rPr>
          <w:rFonts w:ascii="Century Gothic" w:hAnsi="Century Gothic" w:cs="Arial"/>
          <w:sz w:val="27"/>
          <w:szCs w:val="27"/>
          <w:lang w:val="es-ES_tradnl"/>
        </w:rPr>
        <w:t>.</w:t>
      </w:r>
    </w:p>
    <w:p w14:paraId="7BA1A4BE"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555DF46B" w14:textId="408D1012" w:rsidR="000B20F1" w:rsidRDefault="00D55E09"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Lo anterior, porque</w:t>
      </w:r>
      <w:r w:rsidR="00B740FB" w:rsidRPr="002D7808">
        <w:rPr>
          <w:rFonts w:ascii="Century Gothic" w:hAnsi="Century Gothic" w:cs="Arial"/>
          <w:sz w:val="27"/>
          <w:szCs w:val="27"/>
          <w:lang w:val="es-ES_tradnl"/>
        </w:rPr>
        <w:t xml:space="preserve"> en el fallo de</w:t>
      </w:r>
      <w:r w:rsidRPr="002D7808">
        <w:rPr>
          <w:rFonts w:ascii="Century Gothic" w:hAnsi="Century Gothic" w:cs="Arial"/>
          <w:sz w:val="27"/>
          <w:szCs w:val="27"/>
          <w:lang w:val="es-ES_tradnl"/>
        </w:rPr>
        <w:t xml:space="preserve"> la </w:t>
      </w:r>
      <w:r w:rsidR="000B20F1" w:rsidRPr="002D7808">
        <w:rPr>
          <w:rFonts w:ascii="Century Gothic" w:hAnsi="Century Gothic" w:cs="Arial"/>
          <w:sz w:val="27"/>
          <w:szCs w:val="27"/>
          <w:lang w:val="es-ES_tradnl"/>
        </w:rPr>
        <w:t xml:space="preserve">Sala Monterrey está inmerso un pronunciamiento en el sentido de que las </w:t>
      </w:r>
      <w:r w:rsidRPr="002D7808">
        <w:rPr>
          <w:rFonts w:ascii="Century Gothic" w:hAnsi="Century Gothic" w:cs="Arial"/>
          <w:sz w:val="27"/>
          <w:szCs w:val="27"/>
          <w:lang w:val="es-ES_tradnl"/>
        </w:rPr>
        <w:t>disposiciones</w:t>
      </w:r>
      <w:r w:rsidR="000B20F1" w:rsidRPr="002D7808">
        <w:rPr>
          <w:rFonts w:ascii="Century Gothic" w:hAnsi="Century Gothic" w:cs="Arial"/>
          <w:sz w:val="27"/>
          <w:szCs w:val="27"/>
          <w:lang w:val="es-ES_tradnl"/>
        </w:rPr>
        <w:t xml:space="preserve"> legales y reglamentarias en el </w:t>
      </w:r>
      <w:r w:rsidR="00B740FB" w:rsidRPr="002D7808">
        <w:rPr>
          <w:rFonts w:ascii="Century Gothic" w:hAnsi="Century Gothic" w:cs="Arial"/>
          <w:sz w:val="27"/>
          <w:szCs w:val="27"/>
          <w:lang w:val="es-ES_tradnl"/>
        </w:rPr>
        <w:t>E</w:t>
      </w:r>
      <w:r w:rsidR="000B20F1" w:rsidRPr="002D7808">
        <w:rPr>
          <w:rFonts w:ascii="Century Gothic" w:hAnsi="Century Gothic" w:cs="Arial"/>
          <w:sz w:val="27"/>
          <w:szCs w:val="27"/>
          <w:lang w:val="es-ES_tradnl"/>
        </w:rPr>
        <w:t xml:space="preserve">stado de </w:t>
      </w:r>
      <w:r w:rsidRPr="002D7808">
        <w:rPr>
          <w:rFonts w:ascii="Century Gothic" w:hAnsi="Century Gothic" w:cs="Arial"/>
          <w:sz w:val="27"/>
          <w:szCs w:val="27"/>
          <w:lang w:val="es-ES_tradnl"/>
        </w:rPr>
        <w:t>San Lu</w:t>
      </w:r>
      <w:r w:rsidR="00EB7641" w:rsidRPr="002D7808">
        <w:rPr>
          <w:rFonts w:ascii="Century Gothic" w:hAnsi="Century Gothic" w:cs="Arial"/>
          <w:sz w:val="27"/>
          <w:szCs w:val="27"/>
          <w:lang w:val="es-ES_tradnl"/>
        </w:rPr>
        <w:t>i</w:t>
      </w:r>
      <w:r w:rsidRPr="002D7808">
        <w:rPr>
          <w:rFonts w:ascii="Century Gothic" w:hAnsi="Century Gothic" w:cs="Arial"/>
          <w:sz w:val="27"/>
          <w:szCs w:val="27"/>
          <w:lang w:val="es-ES_tradnl"/>
        </w:rPr>
        <w:t>s Potosí</w:t>
      </w:r>
      <w:r w:rsidR="000B20F1" w:rsidRPr="002D7808">
        <w:rPr>
          <w:rFonts w:ascii="Century Gothic" w:hAnsi="Century Gothic" w:cs="Arial"/>
          <w:sz w:val="27"/>
          <w:szCs w:val="27"/>
          <w:lang w:val="es-ES_tradnl"/>
        </w:rPr>
        <w:t xml:space="preserve"> son adecuadas para garantizar el mandato constitucional de paridad de género; en tanto, </w:t>
      </w:r>
      <w:r w:rsidRPr="002D7808">
        <w:rPr>
          <w:rFonts w:ascii="Century Gothic" w:hAnsi="Century Gothic" w:cs="Arial"/>
          <w:sz w:val="27"/>
          <w:szCs w:val="27"/>
          <w:lang w:val="es-ES_tradnl"/>
        </w:rPr>
        <w:t>la actora</w:t>
      </w:r>
      <w:r w:rsidR="000B20F1"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lastRenderedPageBreak/>
        <w:t>hace hincapié</w:t>
      </w:r>
      <w:r w:rsidR="000B20F1" w:rsidRPr="002D7808">
        <w:rPr>
          <w:rFonts w:ascii="Century Gothic" w:hAnsi="Century Gothic" w:cs="Arial"/>
          <w:sz w:val="27"/>
          <w:szCs w:val="27"/>
          <w:lang w:val="es-ES_tradnl"/>
        </w:rPr>
        <w:t xml:space="preserve"> en que la interpretación </w:t>
      </w:r>
      <w:r w:rsidRPr="002D7808">
        <w:rPr>
          <w:rFonts w:ascii="Century Gothic" w:hAnsi="Century Gothic" w:cs="Arial"/>
          <w:sz w:val="27"/>
          <w:szCs w:val="27"/>
          <w:lang w:val="es-ES_tradnl"/>
        </w:rPr>
        <w:t>de la referida Sala</w:t>
      </w:r>
      <w:r w:rsidR="00B740FB" w:rsidRPr="002D7808">
        <w:rPr>
          <w:rFonts w:ascii="Century Gothic" w:hAnsi="Century Gothic" w:cs="Arial"/>
          <w:sz w:val="27"/>
          <w:szCs w:val="27"/>
          <w:lang w:val="es-ES_tradnl"/>
        </w:rPr>
        <w:t xml:space="preserve"> sobre la regla de cumplimiento de paridad</w:t>
      </w:r>
      <w:r w:rsidR="000B20F1" w:rsidRPr="002D7808">
        <w:rPr>
          <w:rFonts w:ascii="Century Gothic" w:hAnsi="Century Gothic" w:cs="Arial"/>
          <w:sz w:val="27"/>
          <w:szCs w:val="27"/>
          <w:lang w:val="es-ES_tradnl"/>
        </w:rPr>
        <w:t xml:space="preserve"> es insuficiente para ese efecto.</w:t>
      </w:r>
    </w:p>
    <w:p w14:paraId="7EAE5F39" w14:textId="77777777" w:rsidR="00A0236E" w:rsidRDefault="00A0236E" w:rsidP="003D714D">
      <w:pPr>
        <w:spacing w:after="0" w:line="360" w:lineRule="auto"/>
        <w:jc w:val="both"/>
        <w:rPr>
          <w:rFonts w:ascii="Century Gothic" w:hAnsi="Century Gothic" w:cs="Arial"/>
          <w:sz w:val="27"/>
          <w:szCs w:val="27"/>
          <w:lang w:val="es-ES_tradnl"/>
        </w:rPr>
      </w:pPr>
    </w:p>
    <w:p w14:paraId="797CC00D" w14:textId="3CB6FCCD" w:rsidR="000B20F1" w:rsidRPr="002D7808" w:rsidRDefault="00E85C63"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Entonces, </w:t>
      </w:r>
      <w:r w:rsidR="000B20F1" w:rsidRPr="002D7808">
        <w:rPr>
          <w:rFonts w:ascii="Century Gothic" w:hAnsi="Century Gothic" w:cs="Arial"/>
          <w:sz w:val="27"/>
          <w:szCs w:val="27"/>
          <w:lang w:val="es-ES_tradnl"/>
        </w:rPr>
        <w:t xml:space="preserve">se confirma que la definición de la manera como se deben interpretar y aplicar las reglas adoptadas –en el ámbito legal o reglamentario– para el cumplimiento del principio de paridad de género es un tema de naturaleza constitucional. Las reglas en virtud de las cuales se concreta o reglamenta la paridad de género deben analizarse a partir de la definición del alcance </w:t>
      </w:r>
      <w:r w:rsidR="00594EF0" w:rsidRPr="002D7808">
        <w:rPr>
          <w:rFonts w:ascii="Century Gothic" w:hAnsi="Century Gothic" w:cs="Arial"/>
          <w:sz w:val="27"/>
          <w:szCs w:val="27"/>
          <w:lang w:val="es-ES_tradnl"/>
        </w:rPr>
        <w:t xml:space="preserve">de </w:t>
      </w:r>
      <w:r w:rsidR="000B20F1" w:rsidRPr="002D7808">
        <w:rPr>
          <w:rFonts w:ascii="Century Gothic" w:hAnsi="Century Gothic" w:cs="Arial"/>
          <w:sz w:val="27"/>
          <w:szCs w:val="27"/>
          <w:lang w:val="es-ES_tradnl"/>
        </w:rPr>
        <w:t>este último, con el objeto de valorar si no son contrarias al propio mandato que pretenden salvaguardar.</w:t>
      </w:r>
    </w:p>
    <w:p w14:paraId="530D147F"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37C0A2B1" w14:textId="37D825AD" w:rsidR="005C4BB3" w:rsidRPr="002D7808" w:rsidRDefault="005C4BB3"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Similar criterio sostuvo esta Sala Superior al resolver el expediente SUP-REC-420/2018.</w:t>
      </w:r>
    </w:p>
    <w:p w14:paraId="7A2A3A02"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03564766" w14:textId="4100489A" w:rsidR="00CC4339" w:rsidRPr="002D7808" w:rsidRDefault="005C4BB3" w:rsidP="003D714D">
      <w:pPr>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 xml:space="preserve">TERCERO. Pruebas supervenientes. </w:t>
      </w:r>
      <w:r w:rsidR="00C23A81" w:rsidRPr="002D7808">
        <w:rPr>
          <w:rFonts w:ascii="Century Gothic" w:hAnsi="Century Gothic" w:cs="Arial"/>
          <w:sz w:val="27"/>
          <w:szCs w:val="27"/>
          <w:lang w:val="es-ES_tradnl"/>
        </w:rPr>
        <w:t xml:space="preserve">La actora </w:t>
      </w:r>
      <w:r w:rsidR="00CC4339" w:rsidRPr="002D7808">
        <w:rPr>
          <w:rFonts w:ascii="Century Gothic" w:hAnsi="Century Gothic" w:cs="Arial"/>
          <w:sz w:val="27"/>
          <w:szCs w:val="27"/>
          <w:lang w:val="es-ES_tradnl"/>
        </w:rPr>
        <w:t>pretende que se admitan las pruebas que ofrece como supervinientes el oficio suscrito por el Comisionado Político Nacional de Asuntos Electorales del PT, por el que solicitó la copia simple del anexo del convenio de coalición, así como los acuses de las solicitudes de registros de las diputaciones locales</w:t>
      </w:r>
      <w:r w:rsidR="00462008" w:rsidRPr="002D7808">
        <w:rPr>
          <w:rFonts w:ascii="Century Gothic" w:hAnsi="Century Gothic" w:cs="Arial"/>
          <w:sz w:val="27"/>
          <w:szCs w:val="27"/>
          <w:lang w:val="es-ES_tradnl"/>
        </w:rPr>
        <w:t xml:space="preserve"> de mayoría relativa</w:t>
      </w:r>
      <w:r w:rsidR="00CC4339" w:rsidRPr="002D7808">
        <w:rPr>
          <w:rFonts w:ascii="Century Gothic" w:hAnsi="Century Gothic" w:cs="Arial"/>
          <w:sz w:val="27"/>
          <w:szCs w:val="27"/>
          <w:lang w:val="es-ES_tradnl"/>
        </w:rPr>
        <w:t xml:space="preserve"> postuladas por dicho partido.</w:t>
      </w:r>
    </w:p>
    <w:p w14:paraId="42EE08BF"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3BEEE377" w14:textId="40D26832" w:rsidR="00CC4339" w:rsidRPr="002D7808" w:rsidRDefault="00CC4339"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Al respecto, esta Sala considera que dichas pruebas deben tenerse como no admitidas, porque de conformidad con el </w:t>
      </w:r>
      <w:r w:rsidRPr="002D7808">
        <w:rPr>
          <w:rFonts w:ascii="Century Gothic" w:hAnsi="Century Gothic" w:cs="Arial"/>
          <w:sz w:val="27"/>
          <w:szCs w:val="27"/>
          <w:lang w:val="es-ES_tradnl"/>
        </w:rPr>
        <w:lastRenderedPageBreak/>
        <w:t>artículo 63, párrafo 2, de la Ley general del Sistema de Medios de Impugnación en Materia Electoral, en el recurso de reconsideración no se podrá ofrecer o aportar prueba alguna, salvo en los casos extraordinarios de pruebas supervenientes, cuando éstas sean determinantes para que se acredite alguno de los presupuestos señalados en el artículo 62 de esta ley, sin que se cumpla para este caso alguna de los hipótesis que señala en este último artículo.</w:t>
      </w:r>
    </w:p>
    <w:p w14:paraId="525D98A5" w14:textId="48A52D3F" w:rsidR="00CC4339" w:rsidRPr="002D7808" w:rsidRDefault="0046200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 mayor abundamiento, la promovente tampoco justifica algún impedimento que impidiera haberlas ofrecido durante la cadena impugnativa que originó este recurso.</w:t>
      </w:r>
    </w:p>
    <w:p w14:paraId="03C59498"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00BA4BE6" w14:textId="6CF2BA00" w:rsidR="00E449B1" w:rsidRPr="002D7808" w:rsidRDefault="00DC2C2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 xml:space="preserve">CUARTO. Cuestión previa. </w:t>
      </w:r>
      <w:r w:rsidRPr="002D7808">
        <w:rPr>
          <w:rFonts w:ascii="Century Gothic" w:hAnsi="Century Gothic" w:cs="Arial"/>
          <w:sz w:val="27"/>
          <w:szCs w:val="27"/>
          <w:lang w:val="es-ES_tradnl"/>
        </w:rPr>
        <w:t>Antes de pronunciarse del fondo de la controversia es necesario dejar claro cuáles fueron los posicionamientos desde la Instancia administrativa</w:t>
      </w:r>
      <w:r w:rsidR="00CC60F6" w:rsidRPr="002D7808">
        <w:rPr>
          <w:rFonts w:ascii="Century Gothic" w:hAnsi="Century Gothic" w:cs="Arial"/>
          <w:sz w:val="27"/>
          <w:szCs w:val="27"/>
          <w:lang w:val="es-ES_tradnl"/>
        </w:rPr>
        <w:t xml:space="preserve"> electoral</w:t>
      </w:r>
      <w:r w:rsidRPr="002D7808">
        <w:rPr>
          <w:rFonts w:ascii="Century Gothic" w:hAnsi="Century Gothic" w:cs="Arial"/>
          <w:sz w:val="27"/>
          <w:szCs w:val="27"/>
          <w:lang w:val="es-ES_tradnl"/>
        </w:rPr>
        <w:t xml:space="preserve"> hasta la Sala </w:t>
      </w:r>
      <w:r w:rsidR="007F6CC3">
        <w:rPr>
          <w:rFonts w:ascii="Century Gothic" w:hAnsi="Century Gothic" w:cs="Arial"/>
          <w:sz w:val="27"/>
          <w:szCs w:val="27"/>
          <w:lang w:val="es-ES_tradnl"/>
        </w:rPr>
        <w:t>r</w:t>
      </w:r>
      <w:r w:rsidRPr="002D7808">
        <w:rPr>
          <w:rFonts w:ascii="Century Gothic" w:hAnsi="Century Gothic" w:cs="Arial"/>
          <w:sz w:val="27"/>
          <w:szCs w:val="27"/>
          <w:lang w:val="es-ES_tradnl"/>
        </w:rPr>
        <w:t>esponsable.</w:t>
      </w:r>
    </w:p>
    <w:p w14:paraId="0A2B5E1F" w14:textId="77777777" w:rsidR="00E449B1" w:rsidRPr="002D7808" w:rsidRDefault="00E449B1" w:rsidP="003D714D">
      <w:pPr>
        <w:spacing w:after="0" w:line="360" w:lineRule="auto"/>
        <w:jc w:val="both"/>
        <w:rPr>
          <w:rFonts w:ascii="Century Gothic" w:hAnsi="Century Gothic" w:cs="Arial"/>
          <w:sz w:val="27"/>
          <w:szCs w:val="27"/>
          <w:lang w:val="es-ES_tradnl"/>
        </w:rPr>
      </w:pPr>
    </w:p>
    <w:p w14:paraId="04C6E265" w14:textId="06A14DCA" w:rsidR="00DC2C28" w:rsidRPr="002D7808" w:rsidRDefault="00E449B1" w:rsidP="003D714D">
      <w:pPr>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Instituto Electoral local.</w:t>
      </w:r>
      <w:r w:rsidR="00DC2C28" w:rsidRPr="002D7808">
        <w:rPr>
          <w:rFonts w:ascii="Century Gothic" w:hAnsi="Century Gothic" w:cs="Arial"/>
          <w:sz w:val="27"/>
          <w:szCs w:val="27"/>
          <w:lang w:val="es-ES_tradnl"/>
        </w:rPr>
        <w:t xml:space="preserve"> </w:t>
      </w:r>
    </w:p>
    <w:p w14:paraId="7531F41A" w14:textId="186E92B7" w:rsidR="00AA6F77" w:rsidRPr="002D7808" w:rsidRDefault="00AA6F77" w:rsidP="003D714D">
      <w:pPr>
        <w:spacing w:after="0" w:line="360" w:lineRule="auto"/>
        <w:jc w:val="both"/>
        <w:rPr>
          <w:rFonts w:ascii="Century Gothic" w:hAnsi="Century Gothic" w:cs="Arial"/>
          <w:sz w:val="27"/>
          <w:szCs w:val="27"/>
          <w:lang w:val="es-ES_tradnl"/>
        </w:rPr>
      </w:pPr>
    </w:p>
    <w:p w14:paraId="64FF4753" w14:textId="075CDE00" w:rsidR="00AA6F77" w:rsidRDefault="001821A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Dicho Instituto razonó que </w:t>
      </w:r>
      <w:r w:rsidR="00DF5C84" w:rsidRPr="002D7808">
        <w:rPr>
          <w:rFonts w:ascii="Century Gothic" w:hAnsi="Century Gothic" w:cs="Arial"/>
          <w:sz w:val="27"/>
          <w:szCs w:val="27"/>
          <w:lang w:val="es-ES_tradnl"/>
        </w:rPr>
        <w:t xml:space="preserve">el </w:t>
      </w:r>
      <w:r w:rsidRPr="002D7808">
        <w:rPr>
          <w:rFonts w:ascii="Century Gothic" w:hAnsi="Century Gothic" w:cs="Arial"/>
          <w:sz w:val="27"/>
          <w:szCs w:val="27"/>
          <w:lang w:val="es-ES_tradnl"/>
        </w:rPr>
        <w:t xml:space="preserve">seis de abril pasado se resolvió sobre el cumplimiento de paridad de género de manera horizontal por parte del PT en las postulaciones de candidaturas a diputaciones locales de mayoría relativa, </w:t>
      </w:r>
      <w:proofErr w:type="gramStart"/>
      <w:r w:rsidRPr="002D7808">
        <w:rPr>
          <w:rFonts w:ascii="Century Gothic" w:hAnsi="Century Gothic" w:cs="Arial"/>
          <w:sz w:val="27"/>
          <w:szCs w:val="27"/>
          <w:lang w:val="es-ES_tradnl"/>
        </w:rPr>
        <w:t>en razón de</w:t>
      </w:r>
      <w:proofErr w:type="gramEnd"/>
      <w:r w:rsidRPr="002D7808">
        <w:rPr>
          <w:rFonts w:ascii="Century Gothic" w:hAnsi="Century Gothic" w:cs="Arial"/>
          <w:sz w:val="27"/>
          <w:szCs w:val="27"/>
          <w:lang w:val="es-ES_tradnl"/>
        </w:rPr>
        <w:t xml:space="preserve"> que </w:t>
      </w:r>
      <w:r w:rsidR="009D69A4" w:rsidRPr="002D7808">
        <w:rPr>
          <w:rFonts w:ascii="Century Gothic" w:hAnsi="Century Gothic" w:cs="Arial"/>
          <w:sz w:val="27"/>
          <w:szCs w:val="27"/>
          <w:lang w:val="es-ES_tradnl"/>
        </w:rPr>
        <w:t>de la suma de los bloques y listado se advirtieron siete hombres y siete mujeres.</w:t>
      </w:r>
      <w:r w:rsidR="00CC60F6" w:rsidRPr="002D7808">
        <w:rPr>
          <w:rFonts w:ascii="Century Gothic" w:hAnsi="Century Gothic" w:cs="Arial"/>
          <w:sz w:val="27"/>
          <w:szCs w:val="27"/>
          <w:lang w:val="es-ES_tradnl"/>
        </w:rPr>
        <w:t xml:space="preserve"> Es decir, consideró las que presentaron los tres partidos de la coalición de manera conjunta.</w:t>
      </w:r>
    </w:p>
    <w:p w14:paraId="4A8D69E5" w14:textId="0C6451F1" w:rsidR="00570E71" w:rsidRDefault="00570E71"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lastRenderedPageBreak/>
        <w:t>A partir de lo anterior, se procedió al análisis del cumplimiento del referido principio</w:t>
      </w:r>
      <w:r w:rsidR="000D7A96" w:rsidRPr="002D7808">
        <w:rPr>
          <w:rFonts w:ascii="Century Gothic" w:hAnsi="Century Gothic" w:cs="Arial"/>
          <w:sz w:val="27"/>
          <w:szCs w:val="27"/>
          <w:lang w:val="es-ES_tradnl"/>
        </w:rPr>
        <w:t xml:space="preserve"> de paridad</w:t>
      </w:r>
      <w:r w:rsidRPr="002D7808">
        <w:rPr>
          <w:rFonts w:ascii="Century Gothic" w:hAnsi="Century Gothic" w:cs="Arial"/>
          <w:sz w:val="27"/>
          <w:szCs w:val="27"/>
          <w:lang w:val="es-ES_tradnl"/>
        </w:rPr>
        <w:t xml:space="preserve"> en la lista de representación proporcional</w:t>
      </w:r>
      <w:r w:rsidR="00CC60F6" w:rsidRPr="002D7808">
        <w:rPr>
          <w:rFonts w:ascii="Century Gothic" w:hAnsi="Century Gothic" w:cs="Arial"/>
          <w:sz w:val="27"/>
          <w:szCs w:val="27"/>
          <w:lang w:val="es-ES_tradnl"/>
        </w:rPr>
        <w:t xml:space="preserve">, </w:t>
      </w:r>
      <w:r w:rsidR="000D7A96" w:rsidRPr="002D7808">
        <w:rPr>
          <w:rFonts w:ascii="Century Gothic" w:hAnsi="Century Gothic" w:cs="Arial"/>
          <w:sz w:val="27"/>
          <w:szCs w:val="27"/>
          <w:lang w:val="es-ES_tradnl"/>
        </w:rPr>
        <w:t xml:space="preserve">y se verificó que dicho partido si cumplía, </w:t>
      </w:r>
      <w:r w:rsidR="003A4BBC" w:rsidRPr="002D7808">
        <w:rPr>
          <w:rFonts w:ascii="Century Gothic" w:hAnsi="Century Gothic" w:cs="Arial"/>
          <w:sz w:val="27"/>
          <w:szCs w:val="27"/>
          <w:lang w:val="es-ES_tradnl"/>
        </w:rPr>
        <w:t>pues postuló</w:t>
      </w:r>
      <w:r w:rsidR="0037402F" w:rsidRPr="002D7808">
        <w:rPr>
          <w:rFonts w:ascii="Century Gothic" w:hAnsi="Century Gothic" w:cs="Arial"/>
          <w:sz w:val="27"/>
          <w:szCs w:val="27"/>
          <w:lang w:val="es-ES_tradnl"/>
        </w:rPr>
        <w:t xml:space="preserve"> a tres hombres y tres mujeres de manera alternada.</w:t>
      </w:r>
    </w:p>
    <w:p w14:paraId="09B467F4" w14:textId="77777777" w:rsidR="003A4BBC" w:rsidRPr="002D7808" w:rsidRDefault="003A4BBC" w:rsidP="003D714D">
      <w:pPr>
        <w:spacing w:after="0" w:line="360" w:lineRule="auto"/>
        <w:jc w:val="both"/>
        <w:rPr>
          <w:rFonts w:ascii="Century Gothic" w:hAnsi="Century Gothic" w:cs="Arial"/>
          <w:sz w:val="27"/>
          <w:szCs w:val="27"/>
          <w:lang w:val="es-ES_tradnl"/>
        </w:rPr>
      </w:pPr>
    </w:p>
    <w:p w14:paraId="317B83FB" w14:textId="768AA537" w:rsidR="00094DAD" w:rsidRDefault="00094DAD" w:rsidP="00094DA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Cabe mencionar que la lista de representación proporcional fue encabezada por un hombre.</w:t>
      </w:r>
    </w:p>
    <w:p w14:paraId="3FF11EC6" w14:textId="77777777" w:rsidR="00173F34" w:rsidRPr="002D7808" w:rsidRDefault="00173F34" w:rsidP="00094DAD">
      <w:pPr>
        <w:spacing w:after="0" w:line="360" w:lineRule="auto"/>
        <w:jc w:val="both"/>
        <w:rPr>
          <w:rFonts w:ascii="Century Gothic" w:hAnsi="Century Gothic" w:cs="Arial"/>
          <w:sz w:val="27"/>
          <w:szCs w:val="27"/>
          <w:lang w:val="es-ES_tradnl"/>
        </w:rPr>
      </w:pPr>
    </w:p>
    <w:p w14:paraId="4311C697" w14:textId="54D17E44" w:rsidR="0037402F" w:rsidRPr="002D7808" w:rsidRDefault="0037402F" w:rsidP="003D714D">
      <w:pPr>
        <w:spacing w:after="0" w:line="360" w:lineRule="auto"/>
        <w:jc w:val="both"/>
        <w:rPr>
          <w:rFonts w:ascii="Century Gothic" w:hAnsi="Century Gothic" w:cs="Arial"/>
          <w:b/>
          <w:sz w:val="27"/>
          <w:szCs w:val="27"/>
          <w:lang w:val="es-ES_tradnl"/>
        </w:rPr>
      </w:pPr>
      <w:r w:rsidRPr="002D7808">
        <w:rPr>
          <w:rFonts w:ascii="Century Gothic" w:hAnsi="Century Gothic" w:cs="Arial"/>
          <w:b/>
          <w:sz w:val="27"/>
          <w:szCs w:val="27"/>
          <w:lang w:val="es-ES_tradnl"/>
        </w:rPr>
        <w:t>Tribunal Electoral local.</w:t>
      </w:r>
    </w:p>
    <w:p w14:paraId="03E5C827" w14:textId="213C44A8" w:rsidR="0037402F" w:rsidRPr="002D7808" w:rsidRDefault="0037402F" w:rsidP="003D714D">
      <w:pPr>
        <w:spacing w:after="0" w:line="360" w:lineRule="auto"/>
        <w:jc w:val="both"/>
        <w:rPr>
          <w:rFonts w:ascii="Century Gothic" w:hAnsi="Century Gothic" w:cs="Arial"/>
          <w:b/>
          <w:sz w:val="27"/>
          <w:szCs w:val="27"/>
          <w:lang w:val="es-ES_tradnl"/>
        </w:rPr>
      </w:pPr>
    </w:p>
    <w:p w14:paraId="20229542" w14:textId="67A24F42" w:rsidR="0037402F" w:rsidRPr="002D7808" w:rsidRDefault="0037402F"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El Tribunal local determinó que fue incorrecta la </w:t>
      </w:r>
      <w:r w:rsidR="00A3613B" w:rsidRPr="002D7808">
        <w:rPr>
          <w:rFonts w:ascii="Century Gothic" w:hAnsi="Century Gothic" w:cs="Arial"/>
          <w:sz w:val="27"/>
          <w:szCs w:val="27"/>
          <w:lang w:val="es-ES_tradnl"/>
        </w:rPr>
        <w:t>determinación de la autoridad administrativa, debido a que de conformidad con los numerales</w:t>
      </w:r>
      <w:r w:rsidR="002C169E" w:rsidRPr="002D7808">
        <w:rPr>
          <w:rFonts w:ascii="Century Gothic" w:hAnsi="Century Gothic" w:cs="Arial"/>
          <w:sz w:val="27"/>
          <w:szCs w:val="27"/>
          <w:lang w:val="es-ES_tradnl"/>
        </w:rPr>
        <w:t xml:space="preserve"> 16 y 17 de los </w:t>
      </w:r>
      <w:r w:rsidR="00FA1F94" w:rsidRPr="002D7808">
        <w:rPr>
          <w:rFonts w:ascii="Century Gothic" w:hAnsi="Century Gothic" w:cs="Arial"/>
          <w:sz w:val="27"/>
          <w:szCs w:val="27"/>
          <w:lang w:val="es-ES_tradnl"/>
        </w:rPr>
        <w:t>Lineamientos, las</w:t>
      </w:r>
      <w:r w:rsidR="002C169E" w:rsidRPr="002D7808">
        <w:rPr>
          <w:rFonts w:ascii="Century Gothic" w:hAnsi="Century Gothic" w:cs="Arial"/>
          <w:sz w:val="27"/>
          <w:szCs w:val="27"/>
          <w:lang w:val="es-ES_tradnl"/>
        </w:rPr>
        <w:t xml:space="preserve"> candidaturas postuladas por los partidos en coalición y de manera individual no son acumulables, es decir, deben tomarse de manera separada.</w:t>
      </w:r>
    </w:p>
    <w:p w14:paraId="09A703F0" w14:textId="674EBF1D" w:rsidR="002C169E" w:rsidRPr="002D7808" w:rsidRDefault="002C169E" w:rsidP="003D714D">
      <w:pPr>
        <w:spacing w:after="0" w:line="360" w:lineRule="auto"/>
        <w:jc w:val="both"/>
        <w:rPr>
          <w:rFonts w:ascii="Century Gothic" w:hAnsi="Century Gothic" w:cs="Arial"/>
          <w:sz w:val="27"/>
          <w:szCs w:val="27"/>
          <w:lang w:val="es-ES_tradnl"/>
        </w:rPr>
      </w:pPr>
    </w:p>
    <w:p w14:paraId="50884309" w14:textId="77777777" w:rsidR="00A51E52" w:rsidRDefault="002C169E"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 ese sentido, </w:t>
      </w:r>
      <w:r w:rsidR="00FA1F94" w:rsidRPr="002D7808">
        <w:rPr>
          <w:rFonts w:ascii="Century Gothic" w:hAnsi="Century Gothic" w:cs="Arial"/>
          <w:sz w:val="27"/>
          <w:szCs w:val="27"/>
          <w:lang w:val="es-ES_tradnl"/>
        </w:rPr>
        <w:t xml:space="preserve">procedió a realizar </w:t>
      </w:r>
      <w:r w:rsidR="00C35AED" w:rsidRPr="002D7808">
        <w:rPr>
          <w:rFonts w:ascii="Century Gothic" w:hAnsi="Century Gothic" w:cs="Arial"/>
          <w:sz w:val="27"/>
          <w:szCs w:val="27"/>
          <w:lang w:val="es-ES_tradnl"/>
        </w:rPr>
        <w:t xml:space="preserve">el estudio en plenitud de jurisdicción y determinó que la lista de representación proporcional debía ser encabezada por una mujer, </w:t>
      </w:r>
      <w:proofErr w:type="gramStart"/>
      <w:r w:rsidR="00C35AED" w:rsidRPr="002D7808">
        <w:rPr>
          <w:rFonts w:ascii="Century Gothic" w:hAnsi="Century Gothic" w:cs="Arial"/>
          <w:sz w:val="27"/>
          <w:szCs w:val="27"/>
          <w:lang w:val="es-ES_tradnl"/>
        </w:rPr>
        <w:t>en razón de</w:t>
      </w:r>
      <w:proofErr w:type="gramEnd"/>
      <w:r w:rsidR="00C35AED" w:rsidRPr="002D7808">
        <w:rPr>
          <w:rFonts w:ascii="Century Gothic" w:hAnsi="Century Gothic" w:cs="Arial"/>
          <w:sz w:val="27"/>
          <w:szCs w:val="27"/>
          <w:lang w:val="es-ES_tradnl"/>
        </w:rPr>
        <w:t xml:space="preserve"> que, atendiendo al contexto histórico, el PT había postulado hombres en la primera posición</w:t>
      </w:r>
      <w:r w:rsidR="00CC60F6" w:rsidRPr="002D7808">
        <w:rPr>
          <w:rFonts w:ascii="Century Gothic" w:hAnsi="Century Gothic" w:cs="Arial"/>
          <w:sz w:val="27"/>
          <w:szCs w:val="27"/>
          <w:lang w:val="es-ES_tradnl"/>
        </w:rPr>
        <w:t>, al menos en las últimas cinco elecciones</w:t>
      </w:r>
      <w:r w:rsidR="00C35AED" w:rsidRPr="002D7808">
        <w:rPr>
          <w:rFonts w:ascii="Century Gothic" w:hAnsi="Century Gothic" w:cs="Arial"/>
          <w:sz w:val="27"/>
          <w:szCs w:val="27"/>
          <w:lang w:val="es-ES_tradnl"/>
        </w:rPr>
        <w:t xml:space="preserve">, por lo </w:t>
      </w:r>
      <w:r w:rsidR="00DF5C84" w:rsidRPr="002D7808">
        <w:rPr>
          <w:rFonts w:ascii="Century Gothic" w:hAnsi="Century Gothic" w:cs="Arial"/>
          <w:sz w:val="27"/>
          <w:szCs w:val="27"/>
          <w:lang w:val="es-ES_tradnl"/>
        </w:rPr>
        <w:t>que</w:t>
      </w:r>
      <w:r w:rsidR="00CC60F6" w:rsidRPr="002D7808">
        <w:rPr>
          <w:rFonts w:ascii="Century Gothic" w:hAnsi="Century Gothic" w:cs="Arial"/>
          <w:sz w:val="27"/>
          <w:szCs w:val="27"/>
          <w:lang w:val="es-ES_tradnl"/>
        </w:rPr>
        <w:t xml:space="preserve"> determinó modificar</w:t>
      </w:r>
      <w:r w:rsidR="00C35AED" w:rsidRPr="002D7808">
        <w:rPr>
          <w:rFonts w:ascii="Century Gothic" w:hAnsi="Century Gothic" w:cs="Arial"/>
          <w:sz w:val="27"/>
          <w:szCs w:val="27"/>
          <w:lang w:val="es-ES_tradnl"/>
        </w:rPr>
        <w:t xml:space="preserve"> el orden de prelación,</w:t>
      </w:r>
      <w:r w:rsidR="00CC60F6" w:rsidRPr="002D7808">
        <w:rPr>
          <w:rFonts w:ascii="Century Gothic" w:hAnsi="Century Gothic" w:cs="Arial"/>
          <w:sz w:val="27"/>
          <w:szCs w:val="27"/>
          <w:lang w:val="es-ES_tradnl"/>
        </w:rPr>
        <w:t xml:space="preserve"> pues de esa forma</w:t>
      </w:r>
      <w:r w:rsidR="00C35AED" w:rsidRPr="002D7808">
        <w:rPr>
          <w:rFonts w:ascii="Century Gothic" w:hAnsi="Century Gothic" w:cs="Arial"/>
          <w:sz w:val="27"/>
          <w:szCs w:val="27"/>
          <w:lang w:val="es-ES_tradnl"/>
        </w:rPr>
        <w:t xml:space="preserve"> las mujeres tendrían posibilidades reales de acceder al cargo.</w:t>
      </w:r>
    </w:p>
    <w:p w14:paraId="192A2F29" w14:textId="77777777" w:rsidR="00A51D1B" w:rsidRDefault="00A51D1B" w:rsidP="003D714D">
      <w:pPr>
        <w:spacing w:after="0" w:line="360" w:lineRule="auto"/>
        <w:jc w:val="both"/>
        <w:rPr>
          <w:rFonts w:ascii="Century Gothic" w:hAnsi="Century Gothic" w:cs="Arial"/>
          <w:b/>
          <w:sz w:val="27"/>
          <w:szCs w:val="27"/>
          <w:lang w:val="es-ES_tradnl"/>
        </w:rPr>
      </w:pPr>
    </w:p>
    <w:p w14:paraId="334A9A87" w14:textId="4D6790C8" w:rsidR="00C35AED" w:rsidRPr="002D7808" w:rsidRDefault="00C35AED" w:rsidP="003D714D">
      <w:pPr>
        <w:spacing w:after="0" w:line="360" w:lineRule="auto"/>
        <w:jc w:val="both"/>
        <w:rPr>
          <w:rFonts w:ascii="Century Gothic" w:hAnsi="Century Gothic" w:cs="Arial"/>
          <w:b/>
          <w:sz w:val="27"/>
          <w:szCs w:val="27"/>
          <w:lang w:val="es-ES_tradnl"/>
        </w:rPr>
      </w:pPr>
      <w:r w:rsidRPr="002D7808">
        <w:rPr>
          <w:rFonts w:ascii="Century Gothic" w:hAnsi="Century Gothic" w:cs="Arial"/>
          <w:b/>
          <w:sz w:val="27"/>
          <w:szCs w:val="27"/>
          <w:lang w:val="es-ES_tradnl"/>
        </w:rPr>
        <w:lastRenderedPageBreak/>
        <w:t>Sala responsable.</w:t>
      </w:r>
    </w:p>
    <w:p w14:paraId="7F08C65A" w14:textId="0EAE6668" w:rsidR="00C35AED" w:rsidRPr="002D7808" w:rsidRDefault="00C35AED" w:rsidP="003D714D">
      <w:pPr>
        <w:spacing w:after="0" w:line="360" w:lineRule="auto"/>
        <w:jc w:val="both"/>
        <w:rPr>
          <w:rFonts w:ascii="Century Gothic" w:hAnsi="Century Gothic" w:cs="Arial"/>
          <w:b/>
          <w:sz w:val="27"/>
          <w:szCs w:val="27"/>
          <w:lang w:val="es-ES_tradnl"/>
        </w:rPr>
      </w:pPr>
    </w:p>
    <w:p w14:paraId="539B530F" w14:textId="22C751A6" w:rsidR="00C35AED" w:rsidRPr="002D7808" w:rsidRDefault="00C35AED"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Por su parte, la Sala Regional Monterrey </w:t>
      </w:r>
      <w:r w:rsidR="00DF5C84" w:rsidRPr="002D7808">
        <w:rPr>
          <w:rFonts w:ascii="Century Gothic" w:hAnsi="Century Gothic" w:cs="Arial"/>
          <w:sz w:val="27"/>
          <w:szCs w:val="27"/>
          <w:lang w:val="es-ES_tradnl"/>
        </w:rPr>
        <w:t>coincidió con la interpretación del Tribunal local en el sentido de que las candidaturas postuladas por los partidos en coalición y de forma individual no son acumulables</w:t>
      </w:r>
      <w:r w:rsidR="00094DAD" w:rsidRPr="002D7808">
        <w:rPr>
          <w:rFonts w:ascii="Century Gothic" w:hAnsi="Century Gothic" w:cs="Arial"/>
          <w:sz w:val="27"/>
          <w:szCs w:val="27"/>
          <w:lang w:val="es-ES_tradnl"/>
        </w:rPr>
        <w:t>;</w:t>
      </w:r>
      <w:r w:rsidR="00DF5C84" w:rsidRPr="002D7808">
        <w:rPr>
          <w:rFonts w:ascii="Century Gothic" w:hAnsi="Century Gothic" w:cs="Arial"/>
          <w:sz w:val="27"/>
          <w:szCs w:val="27"/>
          <w:lang w:val="es-ES_tradnl"/>
        </w:rPr>
        <w:t xml:space="preserve"> empero </w:t>
      </w:r>
      <w:r w:rsidR="00094DAD" w:rsidRPr="002D7808">
        <w:rPr>
          <w:rFonts w:ascii="Century Gothic" w:hAnsi="Century Gothic" w:cs="Arial"/>
          <w:sz w:val="27"/>
          <w:szCs w:val="27"/>
          <w:lang w:val="es-ES_tradnl"/>
        </w:rPr>
        <w:t>estimó que la medida compensatoria que implementó era innecesaria.</w:t>
      </w:r>
    </w:p>
    <w:p w14:paraId="0C439B6E" w14:textId="18AE7FF0" w:rsidR="00094DAD" w:rsidRPr="002D7808" w:rsidRDefault="00094DAD" w:rsidP="003D714D">
      <w:pPr>
        <w:spacing w:after="0" w:line="360" w:lineRule="auto"/>
        <w:jc w:val="both"/>
        <w:rPr>
          <w:rFonts w:ascii="Century Gothic" w:hAnsi="Century Gothic" w:cs="Arial"/>
          <w:sz w:val="27"/>
          <w:szCs w:val="27"/>
          <w:lang w:val="es-ES_tradnl"/>
        </w:rPr>
      </w:pPr>
    </w:p>
    <w:p w14:paraId="3C5AAF4F" w14:textId="33A7D7BF" w:rsidR="00E05DAC" w:rsidRPr="002D7808" w:rsidRDefault="00094DAD" w:rsidP="00E05DAC">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Ello, porque</w:t>
      </w:r>
      <w:r w:rsidR="00E05DAC" w:rsidRPr="002D7808">
        <w:rPr>
          <w:rFonts w:ascii="Century Gothic" w:hAnsi="Century Gothic" w:cs="Arial"/>
          <w:sz w:val="27"/>
          <w:szCs w:val="27"/>
          <w:lang w:val="es-ES_tradnl"/>
        </w:rPr>
        <w:t xml:space="preserve"> si el PT postuló para mayoría relativa únicamente en coalición y no en lo individual, </w:t>
      </w:r>
      <w:r w:rsidR="00650B55" w:rsidRPr="002D7808">
        <w:rPr>
          <w:rFonts w:ascii="Century Gothic" w:hAnsi="Century Gothic" w:cs="Arial"/>
          <w:sz w:val="27"/>
          <w:szCs w:val="27"/>
          <w:lang w:val="es-ES_tradnl"/>
        </w:rPr>
        <w:t>era innecesario aplicar</w:t>
      </w:r>
      <w:r w:rsidR="00E05DAC" w:rsidRPr="002D7808">
        <w:rPr>
          <w:rFonts w:ascii="Century Gothic" w:hAnsi="Century Gothic" w:cs="Arial"/>
          <w:sz w:val="27"/>
          <w:szCs w:val="27"/>
          <w:lang w:val="es-ES_tradnl"/>
        </w:rPr>
        <w:t xml:space="preserve"> algún criterio para compensar una posible subrepresentación con motivo del género, máxime </w:t>
      </w:r>
      <w:r w:rsidR="00650B55" w:rsidRPr="002D7808">
        <w:rPr>
          <w:rFonts w:ascii="Century Gothic" w:hAnsi="Century Gothic" w:cs="Arial"/>
          <w:sz w:val="27"/>
          <w:szCs w:val="27"/>
          <w:lang w:val="es-ES_tradnl"/>
        </w:rPr>
        <w:t>cuando la</w:t>
      </w:r>
      <w:r w:rsidR="00E05DAC" w:rsidRPr="002D7808">
        <w:rPr>
          <w:rFonts w:ascii="Century Gothic" w:hAnsi="Century Gothic" w:cs="Arial"/>
          <w:sz w:val="27"/>
          <w:szCs w:val="27"/>
          <w:lang w:val="es-ES_tradnl"/>
        </w:rPr>
        <w:t xml:space="preserve"> Ley Electoral Local, los Lineamientos y el Reglamento de Elecciones no exigen que las listas que postulen los partidos deban ser encabezados por mujeres, por lo que la postulación corresponde a un ejercicio de autodeterminación del partido.</w:t>
      </w:r>
    </w:p>
    <w:p w14:paraId="0C9D9B36" w14:textId="77777777" w:rsidR="00DC2C28" w:rsidRPr="002D7808" w:rsidRDefault="00DC2C28" w:rsidP="003D714D">
      <w:pPr>
        <w:spacing w:after="0" w:line="360" w:lineRule="auto"/>
        <w:jc w:val="both"/>
        <w:rPr>
          <w:rFonts w:ascii="Century Gothic" w:hAnsi="Century Gothic" w:cs="Arial"/>
          <w:b/>
          <w:sz w:val="27"/>
          <w:szCs w:val="27"/>
          <w:lang w:val="es-ES_tradnl"/>
        </w:rPr>
      </w:pPr>
    </w:p>
    <w:p w14:paraId="4AB2FEE9" w14:textId="191CF926" w:rsidR="00462008" w:rsidRPr="002D7808" w:rsidRDefault="00DC2C2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b/>
          <w:sz w:val="27"/>
          <w:szCs w:val="27"/>
          <w:lang w:val="es-ES_tradnl"/>
        </w:rPr>
        <w:t>QUINTO</w:t>
      </w:r>
      <w:r w:rsidR="00462008" w:rsidRPr="002D7808">
        <w:rPr>
          <w:rFonts w:ascii="Century Gothic" w:hAnsi="Century Gothic" w:cs="Arial"/>
          <w:b/>
          <w:sz w:val="27"/>
          <w:szCs w:val="27"/>
          <w:lang w:val="es-ES_tradnl"/>
        </w:rPr>
        <w:t xml:space="preserve">. Estudio de fondo. </w:t>
      </w:r>
      <w:r w:rsidR="00462008" w:rsidRPr="002D7808">
        <w:rPr>
          <w:rFonts w:ascii="Century Gothic" w:hAnsi="Century Gothic" w:cs="Arial"/>
          <w:sz w:val="27"/>
          <w:szCs w:val="27"/>
          <w:lang w:val="es-ES_tradnl"/>
        </w:rPr>
        <w:t xml:space="preserve">La actora pretende que se revoque la sentencia impugnada, se confirme la diversa emitida por el Tribunal </w:t>
      </w:r>
      <w:r w:rsidR="000C62A2" w:rsidRPr="002D7808">
        <w:rPr>
          <w:rFonts w:ascii="Century Gothic" w:hAnsi="Century Gothic" w:cs="Arial"/>
          <w:sz w:val="27"/>
          <w:szCs w:val="27"/>
          <w:lang w:val="es-ES_tradnl"/>
        </w:rPr>
        <w:t>local</w:t>
      </w:r>
      <w:r w:rsidR="008E25F1" w:rsidRPr="002D7808">
        <w:rPr>
          <w:rFonts w:ascii="Century Gothic" w:hAnsi="Century Gothic" w:cs="Arial"/>
          <w:sz w:val="27"/>
          <w:szCs w:val="27"/>
          <w:lang w:val="es-ES_tradnl"/>
        </w:rPr>
        <w:t>,</w:t>
      </w:r>
      <w:r w:rsidR="00462008" w:rsidRPr="002D7808">
        <w:rPr>
          <w:rFonts w:ascii="Century Gothic" w:hAnsi="Century Gothic" w:cs="Arial"/>
          <w:sz w:val="27"/>
          <w:szCs w:val="27"/>
          <w:lang w:val="es-ES_tradnl"/>
        </w:rPr>
        <w:t xml:space="preserve"> y se le designe en la primera posición de la lista de candidaturas a diputaciones locales por el principio de representación proporcional postuladas por el PT.</w:t>
      </w:r>
    </w:p>
    <w:p w14:paraId="7C18DDFF"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585FB680" w14:textId="49479064" w:rsidR="00462008" w:rsidRPr="002D7808" w:rsidRDefault="0046200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Su causa de pedir radica en los planteamientos siguientes:</w:t>
      </w:r>
    </w:p>
    <w:p w14:paraId="597B2411" w14:textId="77777777" w:rsidR="008E25F1" w:rsidRPr="002D7808" w:rsidRDefault="008E25F1" w:rsidP="003D714D">
      <w:pPr>
        <w:spacing w:after="0" w:line="360" w:lineRule="auto"/>
        <w:jc w:val="both"/>
        <w:rPr>
          <w:rFonts w:ascii="Century Gothic" w:hAnsi="Century Gothic" w:cs="Arial"/>
          <w:sz w:val="27"/>
          <w:szCs w:val="27"/>
          <w:lang w:val="es-ES_tradnl"/>
        </w:rPr>
      </w:pPr>
    </w:p>
    <w:p w14:paraId="34A3CEDA" w14:textId="499FF219" w:rsidR="00462008" w:rsidRDefault="0046200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lastRenderedPageBreak/>
        <w:t xml:space="preserve">- </w:t>
      </w:r>
      <w:r w:rsidR="00AA35C8" w:rsidRPr="002D7808">
        <w:rPr>
          <w:rFonts w:ascii="Century Gothic" w:hAnsi="Century Gothic" w:cs="Arial"/>
          <w:sz w:val="27"/>
          <w:szCs w:val="27"/>
          <w:lang w:val="es-ES_tradnl"/>
        </w:rPr>
        <w:t>La demanda</w:t>
      </w:r>
      <w:bookmarkStart w:id="2" w:name="_GoBack"/>
      <w:bookmarkEnd w:id="2"/>
      <w:r w:rsidR="00AA35C8" w:rsidRPr="002D7808">
        <w:rPr>
          <w:rFonts w:ascii="Century Gothic" w:hAnsi="Century Gothic" w:cs="Arial"/>
          <w:sz w:val="27"/>
          <w:szCs w:val="27"/>
          <w:lang w:val="es-ES_tradnl"/>
        </w:rPr>
        <w:t xml:space="preserve"> de juicio ciudadano de José </w:t>
      </w:r>
      <w:proofErr w:type="spellStart"/>
      <w:r w:rsidR="00AA35C8" w:rsidRPr="002D7808">
        <w:rPr>
          <w:rFonts w:ascii="Century Gothic" w:hAnsi="Century Gothic" w:cs="Arial"/>
          <w:sz w:val="27"/>
          <w:szCs w:val="27"/>
          <w:lang w:val="es-ES_tradnl"/>
        </w:rPr>
        <w:t>Belmarez</w:t>
      </w:r>
      <w:proofErr w:type="spellEnd"/>
      <w:r w:rsidR="00AA35C8" w:rsidRPr="002D7808">
        <w:rPr>
          <w:rFonts w:ascii="Century Gothic" w:hAnsi="Century Gothic" w:cs="Arial"/>
          <w:sz w:val="27"/>
          <w:szCs w:val="27"/>
          <w:lang w:val="es-ES_tradnl"/>
        </w:rPr>
        <w:t xml:space="preserve"> Herrera promovida ante la Sala responsable debió desecharse, </w:t>
      </w:r>
      <w:proofErr w:type="gramStart"/>
      <w:r w:rsidR="00AA35C8" w:rsidRPr="002D7808">
        <w:rPr>
          <w:rFonts w:ascii="Century Gothic" w:hAnsi="Century Gothic" w:cs="Arial"/>
          <w:sz w:val="27"/>
          <w:szCs w:val="27"/>
          <w:lang w:val="es-ES_tradnl"/>
        </w:rPr>
        <w:t>en razón de</w:t>
      </w:r>
      <w:proofErr w:type="gramEnd"/>
      <w:r w:rsidR="00AA35C8" w:rsidRPr="002D7808">
        <w:rPr>
          <w:rFonts w:ascii="Century Gothic" w:hAnsi="Century Gothic" w:cs="Arial"/>
          <w:sz w:val="27"/>
          <w:szCs w:val="27"/>
          <w:lang w:val="es-ES_tradnl"/>
        </w:rPr>
        <w:t xml:space="preserve"> que dicho ciudadano había accionado en una demanda previa de juicio de revisión constitucional electoral de manera conjunta con el PT.</w:t>
      </w:r>
    </w:p>
    <w:p w14:paraId="18178E03" w14:textId="77777777" w:rsidR="003A4BBC" w:rsidRDefault="003A4BBC" w:rsidP="003D714D">
      <w:pPr>
        <w:spacing w:after="0" w:line="360" w:lineRule="auto"/>
        <w:jc w:val="both"/>
        <w:rPr>
          <w:rFonts w:ascii="Century Gothic" w:hAnsi="Century Gothic" w:cs="Arial"/>
          <w:sz w:val="27"/>
          <w:szCs w:val="27"/>
          <w:lang w:val="es-ES_tradnl"/>
        </w:rPr>
      </w:pPr>
    </w:p>
    <w:p w14:paraId="0FEAE5F6" w14:textId="02724DB9" w:rsidR="00AA35C8" w:rsidRPr="002D7808" w:rsidRDefault="00AA35C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 Indebida suplencia del agravio en el juicio de revisión constitucional electoral en cuanto a la presunta vulneración al derecho de autodeterminación del PT, además de que el referido derecho debe </w:t>
      </w:r>
      <w:r w:rsidR="009E65D3" w:rsidRPr="002D7808">
        <w:rPr>
          <w:rFonts w:ascii="Century Gothic" w:hAnsi="Century Gothic" w:cs="Arial"/>
          <w:sz w:val="27"/>
          <w:szCs w:val="27"/>
          <w:lang w:val="es-ES_tradnl"/>
        </w:rPr>
        <w:t>armonizarse</w:t>
      </w:r>
      <w:r w:rsidRPr="002D7808">
        <w:rPr>
          <w:rFonts w:ascii="Century Gothic" w:hAnsi="Century Gothic" w:cs="Arial"/>
          <w:sz w:val="27"/>
          <w:szCs w:val="27"/>
          <w:lang w:val="es-ES_tradnl"/>
        </w:rPr>
        <w:t xml:space="preserve"> con el principio de paridad de género. </w:t>
      </w:r>
    </w:p>
    <w:p w14:paraId="24F659FE"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501ADE09" w14:textId="4BB2B045" w:rsidR="00AA35C8" w:rsidRPr="002D7808" w:rsidRDefault="00AA35C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 </w:t>
      </w:r>
      <w:r w:rsidR="00FD43F9" w:rsidRPr="002D7808">
        <w:rPr>
          <w:rFonts w:ascii="Century Gothic" w:hAnsi="Century Gothic" w:cs="Arial"/>
          <w:sz w:val="27"/>
          <w:szCs w:val="27"/>
          <w:lang w:val="es-ES_tradnl"/>
        </w:rPr>
        <w:t>Indebida interpretación al ubicar el derecho de autodeterminación de los partidos por encima del principio de paridad de género, cuando para las candidaturas a diputaciones de mayoría relativa, el PT postuló tres hombres y una mujer.</w:t>
      </w:r>
    </w:p>
    <w:p w14:paraId="551A07FA"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61BA031E" w14:textId="02880200" w:rsidR="00FD43F9" w:rsidRDefault="00FD43F9"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Es decir, de este último planteamiento se advierte que la actora, en concreto, insiste en que, al haber postulado el PT para mayoría relativa a tres hombres, </w:t>
      </w:r>
      <w:r w:rsidR="008A27F6" w:rsidRPr="002D7808">
        <w:rPr>
          <w:rFonts w:ascii="Century Gothic" w:hAnsi="Century Gothic" w:cs="Arial"/>
          <w:sz w:val="27"/>
          <w:szCs w:val="27"/>
          <w:lang w:val="es-ES_tradnl"/>
        </w:rPr>
        <w:t>las mujeres quedaron subrepresentadas</w:t>
      </w:r>
      <w:r w:rsidRPr="002D7808">
        <w:rPr>
          <w:rFonts w:ascii="Century Gothic" w:hAnsi="Century Gothic" w:cs="Arial"/>
          <w:sz w:val="27"/>
          <w:szCs w:val="27"/>
          <w:lang w:val="es-ES_tradnl"/>
        </w:rPr>
        <w:t xml:space="preserve">, por lo que </w:t>
      </w:r>
      <w:r w:rsidR="008E25F1" w:rsidRPr="002D7808">
        <w:rPr>
          <w:rFonts w:ascii="Century Gothic" w:hAnsi="Century Gothic" w:cs="Arial"/>
          <w:sz w:val="27"/>
          <w:szCs w:val="27"/>
          <w:lang w:val="es-ES_tradnl"/>
        </w:rPr>
        <w:t>de acuerdo con</w:t>
      </w:r>
      <w:r w:rsidR="00CF4A5B" w:rsidRPr="002D7808">
        <w:rPr>
          <w:rFonts w:ascii="Century Gothic" w:hAnsi="Century Gothic" w:cs="Arial"/>
          <w:sz w:val="27"/>
          <w:szCs w:val="27"/>
          <w:lang w:val="es-ES_tradnl"/>
        </w:rPr>
        <w:t xml:space="preserve"> los Lineamientos </w:t>
      </w:r>
      <w:r w:rsidRPr="002D7808">
        <w:rPr>
          <w:rFonts w:ascii="Century Gothic" w:hAnsi="Century Gothic" w:cs="Arial"/>
          <w:sz w:val="27"/>
          <w:szCs w:val="27"/>
          <w:lang w:val="es-ES_tradnl"/>
        </w:rPr>
        <w:t xml:space="preserve">a quien correspondía encabezar la lista de diputaciones de representación proporcional era a una mujer, lo cual es congruente con lo planteado desde su demanda inicial </w:t>
      </w:r>
      <w:r w:rsidR="00D76CC2" w:rsidRPr="002D7808">
        <w:rPr>
          <w:rFonts w:ascii="Century Gothic" w:hAnsi="Century Gothic" w:cs="Arial"/>
          <w:sz w:val="27"/>
          <w:szCs w:val="27"/>
          <w:lang w:val="es-ES_tradnl"/>
        </w:rPr>
        <w:t>ante el Tribunal Electoral de</w:t>
      </w:r>
      <w:r w:rsidR="000F69AA" w:rsidRPr="002D7808">
        <w:rPr>
          <w:rFonts w:ascii="Century Gothic" w:hAnsi="Century Gothic" w:cs="Arial"/>
          <w:sz w:val="27"/>
          <w:szCs w:val="27"/>
          <w:lang w:val="es-ES_tradnl"/>
        </w:rPr>
        <w:t>l Estado de</w:t>
      </w:r>
      <w:r w:rsidR="00D76CC2" w:rsidRPr="002D7808">
        <w:rPr>
          <w:rFonts w:ascii="Century Gothic" w:hAnsi="Century Gothic" w:cs="Arial"/>
          <w:sz w:val="27"/>
          <w:szCs w:val="27"/>
          <w:lang w:val="es-ES_tradnl"/>
        </w:rPr>
        <w:t xml:space="preserve"> San Luis Potosí.</w:t>
      </w:r>
    </w:p>
    <w:p w14:paraId="2B310D28" w14:textId="2561E28C" w:rsidR="00D76CC2" w:rsidRPr="002D7808" w:rsidRDefault="00D76CC2"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lastRenderedPageBreak/>
        <w:t>Así, por cuestión de método esta Sala analizará</w:t>
      </w:r>
      <w:r w:rsidR="008E25F1"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en primer término</w:t>
      </w:r>
      <w:r w:rsidR="008E25F1"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 xml:space="preserve">el último agravio, porque desde el origen de la cadena impugnativa la controversia estriba en cómo deben aplicarse las reglas respecto </w:t>
      </w:r>
      <w:r w:rsidR="008E25F1" w:rsidRPr="002D7808">
        <w:rPr>
          <w:rFonts w:ascii="Century Gothic" w:hAnsi="Century Gothic" w:cs="Arial"/>
          <w:sz w:val="27"/>
          <w:szCs w:val="27"/>
          <w:lang w:val="es-ES_tradnl"/>
        </w:rPr>
        <w:t>al</w:t>
      </w:r>
      <w:r w:rsidRPr="002D7808">
        <w:rPr>
          <w:rFonts w:ascii="Century Gothic" w:hAnsi="Century Gothic" w:cs="Arial"/>
          <w:sz w:val="27"/>
          <w:szCs w:val="27"/>
          <w:lang w:val="es-ES_tradnl"/>
        </w:rPr>
        <w:t xml:space="preserve"> género </w:t>
      </w:r>
      <w:r w:rsidR="008E25F1" w:rsidRPr="002D7808">
        <w:rPr>
          <w:rFonts w:ascii="Century Gothic" w:hAnsi="Century Gothic" w:cs="Arial"/>
          <w:sz w:val="27"/>
          <w:szCs w:val="27"/>
          <w:lang w:val="es-ES_tradnl"/>
        </w:rPr>
        <w:t xml:space="preserve">que </w:t>
      </w:r>
      <w:r w:rsidRPr="002D7808">
        <w:rPr>
          <w:rFonts w:ascii="Century Gothic" w:hAnsi="Century Gothic" w:cs="Arial"/>
          <w:sz w:val="27"/>
          <w:szCs w:val="27"/>
          <w:lang w:val="es-ES_tradnl"/>
        </w:rPr>
        <w:t>debe encabezar la lista de diputaciones por el principio de representación proporcional</w:t>
      </w:r>
      <w:r w:rsidR="00791C8E" w:rsidRPr="002D7808">
        <w:rPr>
          <w:rFonts w:ascii="Century Gothic" w:hAnsi="Century Gothic" w:cs="Arial"/>
          <w:sz w:val="27"/>
          <w:szCs w:val="27"/>
          <w:lang w:val="es-ES_tradnl"/>
        </w:rPr>
        <w:t>,</w:t>
      </w:r>
      <w:r w:rsidRPr="002D7808">
        <w:rPr>
          <w:rFonts w:ascii="Century Gothic" w:hAnsi="Century Gothic" w:cs="Arial"/>
          <w:sz w:val="27"/>
          <w:szCs w:val="27"/>
          <w:lang w:val="es-ES_tradnl"/>
        </w:rPr>
        <w:t xml:space="preserve"> a partir de las postulaciones de mayoría que hubiesen realizado los partidos en lo individual </w:t>
      </w:r>
      <w:r w:rsidR="003351B1" w:rsidRPr="002D7808">
        <w:rPr>
          <w:rFonts w:ascii="Century Gothic" w:hAnsi="Century Gothic" w:cs="Arial"/>
          <w:sz w:val="27"/>
          <w:szCs w:val="27"/>
          <w:lang w:val="es-ES_tradnl"/>
        </w:rPr>
        <w:t xml:space="preserve">o mediante </w:t>
      </w:r>
      <w:r w:rsidRPr="002D7808">
        <w:rPr>
          <w:rFonts w:ascii="Century Gothic" w:hAnsi="Century Gothic" w:cs="Arial"/>
          <w:sz w:val="27"/>
          <w:szCs w:val="27"/>
          <w:lang w:val="es-ES_tradnl"/>
        </w:rPr>
        <w:t>una coalición parcial.</w:t>
      </w:r>
    </w:p>
    <w:p w14:paraId="37324532"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317E7678" w14:textId="1E955AFE" w:rsidR="00CF4A5B" w:rsidRPr="002D7808" w:rsidRDefault="00CF4A5B" w:rsidP="003D714D">
      <w:pPr>
        <w:spacing w:after="0" w:line="360" w:lineRule="auto"/>
        <w:jc w:val="both"/>
        <w:rPr>
          <w:rFonts w:ascii="Century Gothic" w:hAnsi="Century Gothic" w:cs="Arial"/>
          <w:b/>
          <w:sz w:val="27"/>
          <w:szCs w:val="27"/>
          <w:lang w:val="es-ES_tradnl"/>
        </w:rPr>
      </w:pPr>
      <w:r w:rsidRPr="002D7808">
        <w:rPr>
          <w:rFonts w:ascii="Century Gothic" w:hAnsi="Century Gothic" w:cs="Arial"/>
          <w:b/>
          <w:sz w:val="27"/>
          <w:szCs w:val="27"/>
          <w:lang w:val="es-ES_tradnl"/>
        </w:rPr>
        <w:t>1. El género subrepresentado en las candidaturas de mayoría relativa deberá encabezar la lista de representación proporcional.</w:t>
      </w:r>
    </w:p>
    <w:p w14:paraId="62D09538" w14:textId="77777777" w:rsidR="00EC4220" w:rsidRPr="002D7808" w:rsidRDefault="00EC4220" w:rsidP="003D714D">
      <w:pPr>
        <w:spacing w:after="0" w:line="360" w:lineRule="auto"/>
        <w:jc w:val="both"/>
        <w:rPr>
          <w:rFonts w:ascii="Century Gothic" w:hAnsi="Century Gothic" w:cs="Arial"/>
          <w:b/>
          <w:sz w:val="27"/>
          <w:szCs w:val="27"/>
          <w:lang w:val="es-ES_tradnl"/>
        </w:rPr>
      </w:pPr>
    </w:p>
    <w:p w14:paraId="5702BAE8" w14:textId="63563482" w:rsidR="00CF4A5B" w:rsidRPr="002D7808" w:rsidRDefault="00AE27BC"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 principio, </w:t>
      </w:r>
      <w:r w:rsidR="00AC3CA3" w:rsidRPr="002D7808">
        <w:rPr>
          <w:rFonts w:ascii="Century Gothic" w:hAnsi="Century Gothic" w:cs="Arial"/>
          <w:sz w:val="27"/>
          <w:szCs w:val="27"/>
          <w:lang w:val="es-ES_tradnl"/>
        </w:rPr>
        <w:t>el artículo 16 de los Lineamientos establece que la lista de candidaturas a diputaciones por el principio de representación proporcional se integrar</w:t>
      </w:r>
      <w:r w:rsidR="003A07C2" w:rsidRPr="002D7808">
        <w:rPr>
          <w:rFonts w:ascii="Century Gothic" w:hAnsi="Century Gothic" w:cs="Arial"/>
          <w:sz w:val="27"/>
          <w:szCs w:val="27"/>
          <w:lang w:val="es-ES_tradnl"/>
        </w:rPr>
        <w:t>á</w:t>
      </w:r>
      <w:r w:rsidR="00AC3CA3" w:rsidRPr="002D7808">
        <w:rPr>
          <w:rFonts w:ascii="Century Gothic" w:hAnsi="Century Gothic" w:cs="Arial"/>
          <w:sz w:val="27"/>
          <w:szCs w:val="27"/>
          <w:lang w:val="es-ES_tradnl"/>
        </w:rPr>
        <w:t xml:space="preserve">n por fórmulas siguiendo la paridad vertical, alternancia de género y homogeneidad en las mismas, al ser compuestas cada una por </w:t>
      </w:r>
      <w:r w:rsidR="003A07C2" w:rsidRPr="002D7808">
        <w:rPr>
          <w:rFonts w:ascii="Century Gothic" w:hAnsi="Century Gothic" w:cs="Arial"/>
          <w:sz w:val="27"/>
          <w:szCs w:val="27"/>
          <w:lang w:val="es-ES_tradnl"/>
        </w:rPr>
        <w:t>personas</w:t>
      </w:r>
      <w:r w:rsidR="00AC3CA3" w:rsidRPr="002D7808">
        <w:rPr>
          <w:rFonts w:ascii="Century Gothic" w:hAnsi="Century Gothic" w:cs="Arial"/>
          <w:sz w:val="27"/>
          <w:szCs w:val="27"/>
          <w:lang w:val="es-ES_tradnl"/>
        </w:rPr>
        <w:t xml:space="preserve"> del mismo género y se alternarán las fórmulas de distintito género para garantizar el principio de paridad hasta agotar cada lista, a efecto de que se alcance el 50% cincuenta porciento de un género y el otro 50% cincuenta por ciento del otro género, tomando en consideración lo dispuesto en el artículo 155 de la Ley Electoral.</w:t>
      </w:r>
    </w:p>
    <w:p w14:paraId="0E31922C"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03E70CEF" w14:textId="1EC1689B" w:rsidR="00AC3CA3" w:rsidRPr="002D7808" w:rsidRDefault="00AC3CA3"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Esto es, para el cumplimiento del mandato de paridad de género</w:t>
      </w:r>
      <w:r w:rsidR="005279CA" w:rsidRPr="002D7808">
        <w:rPr>
          <w:rFonts w:ascii="Century Gothic" w:hAnsi="Century Gothic" w:cs="Arial"/>
          <w:sz w:val="27"/>
          <w:szCs w:val="27"/>
          <w:lang w:val="es-ES_tradnl"/>
        </w:rPr>
        <w:t xml:space="preserve"> en la lista de diputaciones por el principio de </w:t>
      </w:r>
      <w:r w:rsidR="005279CA" w:rsidRPr="002D7808">
        <w:rPr>
          <w:rFonts w:ascii="Century Gothic" w:hAnsi="Century Gothic" w:cs="Arial"/>
          <w:sz w:val="27"/>
          <w:szCs w:val="27"/>
          <w:lang w:val="es-ES_tradnl"/>
        </w:rPr>
        <w:lastRenderedPageBreak/>
        <w:t>representación se advierten tres supuestos consistentes en paridad vertical, alternancia y homogeneidad.</w:t>
      </w:r>
    </w:p>
    <w:p w14:paraId="7CD6D07E"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60B9EA71" w14:textId="2F8FC96E" w:rsidR="00DE678C" w:rsidRPr="002D7808" w:rsidRDefault="00DE678C"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Por su parte, el artículo 17 de los Lineamientos prevé que los partidos políticos, coaliciones y alianzas partidarias, una vez que se registren sus fórmulas de candidaturas a diputaciones locales por el principio de mayoría relativa, deberán observar que de la suma total que arrojen dichos registros, la lista de </w:t>
      </w:r>
      <w:r w:rsidR="003A07C2" w:rsidRPr="002D7808">
        <w:rPr>
          <w:rFonts w:ascii="Century Gothic" w:hAnsi="Century Gothic" w:cs="Arial"/>
          <w:sz w:val="27"/>
          <w:szCs w:val="27"/>
          <w:lang w:val="es-ES_tradnl"/>
        </w:rPr>
        <w:t>candidaturas</w:t>
      </w:r>
      <w:r w:rsidRPr="002D7808">
        <w:rPr>
          <w:rFonts w:ascii="Century Gothic" w:hAnsi="Century Gothic" w:cs="Arial"/>
          <w:sz w:val="27"/>
          <w:szCs w:val="27"/>
          <w:lang w:val="es-ES_tradnl"/>
        </w:rPr>
        <w:t xml:space="preserve"> de representación proporcional deberá ser encabezada por el género que obtuvo el menor </w:t>
      </w:r>
      <w:r w:rsidR="00523FA6" w:rsidRPr="002D7808">
        <w:rPr>
          <w:rFonts w:ascii="Century Gothic" w:hAnsi="Century Gothic" w:cs="Arial"/>
          <w:sz w:val="27"/>
          <w:szCs w:val="27"/>
          <w:lang w:val="es-ES_tradnl"/>
        </w:rPr>
        <w:t>número de registros de mayoría relativa.</w:t>
      </w:r>
    </w:p>
    <w:p w14:paraId="373CD73F" w14:textId="77777777" w:rsidR="00791C8E" w:rsidRPr="002D7808" w:rsidRDefault="00791C8E" w:rsidP="003D714D">
      <w:pPr>
        <w:spacing w:after="0" w:line="360" w:lineRule="auto"/>
        <w:jc w:val="both"/>
        <w:rPr>
          <w:rFonts w:ascii="Century Gothic" w:hAnsi="Century Gothic" w:cs="Arial"/>
          <w:sz w:val="27"/>
          <w:szCs w:val="27"/>
          <w:lang w:val="es-ES_tradnl"/>
        </w:rPr>
      </w:pPr>
    </w:p>
    <w:p w14:paraId="28574ED7" w14:textId="0DE2E785" w:rsidR="00523FA6" w:rsidRPr="002D7808" w:rsidRDefault="00523FA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Es decir, para determinar el género que encabezará la lista de representación proporcional es necesario verificar</w:t>
      </w:r>
      <w:r w:rsidR="00FE3BB7"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las postulaciones que se realizaron en mayoría relativa y así extraer el género que tuvo menor representación.</w:t>
      </w:r>
    </w:p>
    <w:p w14:paraId="66E6E97F" w14:textId="77777777" w:rsidR="00547239" w:rsidRPr="002D7808" w:rsidRDefault="00547239" w:rsidP="003D714D">
      <w:pPr>
        <w:spacing w:after="0" w:line="360" w:lineRule="auto"/>
        <w:jc w:val="both"/>
        <w:rPr>
          <w:rFonts w:ascii="Century Gothic" w:hAnsi="Century Gothic" w:cs="Arial"/>
          <w:sz w:val="27"/>
          <w:szCs w:val="27"/>
          <w:lang w:val="es-ES_tradnl"/>
        </w:rPr>
      </w:pPr>
    </w:p>
    <w:p w14:paraId="46BB2245" w14:textId="58097396" w:rsidR="00851F45" w:rsidRPr="002D7808" w:rsidRDefault="00523FA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Resulta pertinente mencionar que, mediante acuerdo de doce de diciembre del año pasado, el Consejo General del Instituto Electoral local determinó modificar los Lineamientos en el sentido de desagregar la figura de la coalición, en cumplimiento a la</w:t>
      </w:r>
      <w:r w:rsidR="00851F45" w:rsidRPr="002D7808">
        <w:rPr>
          <w:rFonts w:ascii="Century Gothic" w:hAnsi="Century Gothic" w:cs="Arial"/>
          <w:sz w:val="27"/>
          <w:szCs w:val="27"/>
          <w:lang w:val="es-ES_tradnl"/>
        </w:rPr>
        <w:t xml:space="preserve"> diversa modificación del artículo 278 del Reglamento de Elecciones del INE.</w:t>
      </w:r>
    </w:p>
    <w:p w14:paraId="7DA422D2"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05ED0F59" w14:textId="08F4EC17" w:rsidR="00851F45" w:rsidRPr="002D7808" w:rsidRDefault="00851F45"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Así, atendiendo a las reglas descritas, para poder determinar qué </w:t>
      </w:r>
      <w:r w:rsidR="00547239" w:rsidRPr="002D7808">
        <w:rPr>
          <w:rFonts w:ascii="Century Gothic" w:hAnsi="Century Gothic" w:cs="Arial"/>
          <w:sz w:val="27"/>
          <w:szCs w:val="27"/>
          <w:lang w:val="es-ES_tradnl"/>
        </w:rPr>
        <w:t>género</w:t>
      </w:r>
      <w:r w:rsidRPr="002D7808">
        <w:rPr>
          <w:rFonts w:ascii="Century Gothic" w:hAnsi="Century Gothic" w:cs="Arial"/>
          <w:sz w:val="27"/>
          <w:szCs w:val="27"/>
          <w:lang w:val="es-ES_tradnl"/>
        </w:rPr>
        <w:t xml:space="preserve"> debe encabezar las listas de diputaciones de representación proporcional es necesario establecer </w:t>
      </w:r>
      <w:r w:rsidRPr="002D7808">
        <w:rPr>
          <w:rFonts w:ascii="Century Gothic" w:hAnsi="Century Gothic" w:cs="Arial"/>
          <w:sz w:val="27"/>
          <w:szCs w:val="27"/>
          <w:lang w:val="es-ES_tradnl"/>
        </w:rPr>
        <w:lastRenderedPageBreak/>
        <w:t>primero si las postulaciones d</w:t>
      </w:r>
      <w:r w:rsidR="003352A8" w:rsidRPr="002D7808">
        <w:rPr>
          <w:rFonts w:ascii="Century Gothic" w:hAnsi="Century Gothic" w:cs="Arial"/>
          <w:sz w:val="27"/>
          <w:szCs w:val="27"/>
          <w:lang w:val="es-ES_tradnl"/>
        </w:rPr>
        <w:t>e</w:t>
      </w:r>
      <w:r w:rsidRPr="002D7808">
        <w:rPr>
          <w:rFonts w:ascii="Century Gothic" w:hAnsi="Century Gothic" w:cs="Arial"/>
          <w:sz w:val="27"/>
          <w:szCs w:val="27"/>
          <w:lang w:val="es-ES_tradnl"/>
        </w:rPr>
        <w:t xml:space="preserve"> mayoría relativa se deben valorar </w:t>
      </w:r>
      <w:r w:rsidR="003352A8" w:rsidRPr="002D7808">
        <w:rPr>
          <w:rFonts w:ascii="Century Gothic" w:hAnsi="Century Gothic" w:cs="Arial"/>
          <w:sz w:val="27"/>
          <w:szCs w:val="27"/>
          <w:lang w:val="es-ES_tradnl"/>
        </w:rPr>
        <w:t xml:space="preserve">de manera íntegra, es decir, las postuladas por los partidos en coalición parcial y en lo individual, o de forma </w:t>
      </w:r>
      <w:r w:rsidR="000C62A2" w:rsidRPr="002D7808">
        <w:rPr>
          <w:rFonts w:ascii="Century Gothic" w:hAnsi="Century Gothic" w:cs="Arial"/>
          <w:sz w:val="27"/>
          <w:szCs w:val="27"/>
          <w:lang w:val="es-ES_tradnl"/>
        </w:rPr>
        <w:t>aislada</w:t>
      </w:r>
      <w:r w:rsidR="003352A8" w:rsidRPr="002D7808">
        <w:rPr>
          <w:rFonts w:ascii="Century Gothic" w:hAnsi="Century Gothic" w:cs="Arial"/>
          <w:sz w:val="27"/>
          <w:szCs w:val="27"/>
          <w:lang w:val="es-ES_tradnl"/>
        </w:rPr>
        <w:t>.</w:t>
      </w:r>
    </w:p>
    <w:p w14:paraId="44C820D4"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7DBC0B3B" w14:textId="03E8BC70" w:rsidR="003352A8" w:rsidRPr="002D7808" w:rsidRDefault="003352A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Aquí, conviene retomar que la interpretación de la Sala responsable fue en el sentido de que las candidaturas postuladas por los partidos en lo </w:t>
      </w:r>
      <w:r w:rsidR="00901C34" w:rsidRPr="002D7808">
        <w:rPr>
          <w:rFonts w:ascii="Century Gothic" w:hAnsi="Century Gothic" w:cs="Arial"/>
          <w:sz w:val="27"/>
          <w:szCs w:val="27"/>
          <w:lang w:val="es-ES_tradnl"/>
        </w:rPr>
        <w:t>individual</w:t>
      </w:r>
      <w:r w:rsidRPr="002D7808">
        <w:rPr>
          <w:rFonts w:ascii="Century Gothic" w:hAnsi="Century Gothic" w:cs="Arial"/>
          <w:sz w:val="27"/>
          <w:szCs w:val="27"/>
          <w:lang w:val="es-ES_tradnl"/>
        </w:rPr>
        <w:t xml:space="preserve"> no podrán acumularse a las de la coalición, por lo que concluyó, para este caso en concreto, que el PT únicamente postuló candidaturas de mayoría relativa en coalición</w:t>
      </w:r>
      <w:r w:rsidR="00640BAC"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 xml:space="preserve">y no en lo individual, por lo que no se estaba en el supuesto de </w:t>
      </w:r>
      <w:r w:rsidR="004E4A68" w:rsidRPr="002D7808">
        <w:rPr>
          <w:rFonts w:ascii="Century Gothic" w:hAnsi="Century Gothic" w:cs="Arial"/>
          <w:sz w:val="27"/>
          <w:szCs w:val="27"/>
          <w:lang w:val="es-ES_tradnl"/>
        </w:rPr>
        <w:t>alguna</w:t>
      </w:r>
      <w:r w:rsidRPr="002D7808">
        <w:rPr>
          <w:rFonts w:ascii="Century Gothic" w:hAnsi="Century Gothic" w:cs="Arial"/>
          <w:sz w:val="27"/>
          <w:szCs w:val="27"/>
          <w:lang w:val="es-ES_tradnl"/>
        </w:rPr>
        <w:t xml:space="preserve"> subrepresentación con motivo del género.</w:t>
      </w:r>
    </w:p>
    <w:p w14:paraId="341A632E" w14:textId="77777777" w:rsidR="00791C8E" w:rsidRPr="002D7808" w:rsidRDefault="00791C8E" w:rsidP="003D714D">
      <w:pPr>
        <w:spacing w:after="0" w:line="360" w:lineRule="auto"/>
        <w:jc w:val="both"/>
        <w:rPr>
          <w:rFonts w:ascii="Century Gothic" w:hAnsi="Century Gothic" w:cs="Arial"/>
          <w:sz w:val="27"/>
          <w:szCs w:val="27"/>
          <w:lang w:val="es-ES_tradnl"/>
        </w:rPr>
      </w:pPr>
    </w:p>
    <w:p w14:paraId="2AFD5022" w14:textId="1A55E16B" w:rsidR="00901C34" w:rsidRPr="002D7808" w:rsidRDefault="00791C8E" w:rsidP="003D714D">
      <w:pPr>
        <w:spacing w:after="0" w:line="360" w:lineRule="auto"/>
        <w:jc w:val="both"/>
        <w:rPr>
          <w:rFonts w:ascii="Century Gothic" w:hAnsi="Century Gothic" w:cs="Arial"/>
          <w:b/>
          <w:sz w:val="27"/>
          <w:szCs w:val="27"/>
          <w:lang w:val="es-ES_tradnl"/>
        </w:rPr>
      </w:pPr>
      <w:r w:rsidRPr="002D7808">
        <w:rPr>
          <w:rFonts w:ascii="Century Gothic" w:hAnsi="Century Gothic" w:cs="Arial"/>
          <w:b/>
          <w:sz w:val="27"/>
          <w:szCs w:val="27"/>
          <w:lang w:val="es-ES_tradnl"/>
        </w:rPr>
        <w:t>2. Valoración í</w:t>
      </w:r>
      <w:r w:rsidR="00901C34" w:rsidRPr="002D7808">
        <w:rPr>
          <w:rFonts w:ascii="Century Gothic" w:hAnsi="Century Gothic" w:cs="Arial"/>
          <w:b/>
          <w:sz w:val="27"/>
          <w:szCs w:val="27"/>
          <w:lang w:val="es-ES_tradnl"/>
        </w:rPr>
        <w:t>ntegra de las candidaturas</w:t>
      </w:r>
      <w:r w:rsidR="00116271" w:rsidRPr="002D7808">
        <w:rPr>
          <w:rFonts w:ascii="Century Gothic" w:hAnsi="Century Gothic" w:cs="Arial"/>
          <w:b/>
          <w:sz w:val="27"/>
          <w:szCs w:val="27"/>
          <w:lang w:val="es-ES_tradnl"/>
        </w:rPr>
        <w:t xml:space="preserve"> de mayoría relativa</w:t>
      </w:r>
      <w:r w:rsidR="00901C34" w:rsidRPr="002D7808">
        <w:rPr>
          <w:rFonts w:ascii="Century Gothic" w:hAnsi="Century Gothic" w:cs="Arial"/>
          <w:b/>
          <w:sz w:val="27"/>
          <w:szCs w:val="27"/>
          <w:lang w:val="es-ES_tradnl"/>
        </w:rPr>
        <w:t xml:space="preserve"> de forma coaligada o en lo individual</w:t>
      </w:r>
      <w:r w:rsidR="00116271" w:rsidRPr="002D7808">
        <w:rPr>
          <w:rFonts w:ascii="Century Gothic" w:hAnsi="Century Gothic" w:cs="Arial"/>
          <w:b/>
          <w:sz w:val="27"/>
          <w:szCs w:val="27"/>
          <w:lang w:val="es-ES_tradnl"/>
        </w:rPr>
        <w:t>, para efectos de determinar el género subrepresentado.</w:t>
      </w:r>
    </w:p>
    <w:p w14:paraId="50BAD13F" w14:textId="77777777" w:rsidR="00547239" w:rsidRPr="002D7808" w:rsidRDefault="00547239" w:rsidP="003D714D">
      <w:pPr>
        <w:spacing w:after="0" w:line="360" w:lineRule="auto"/>
        <w:jc w:val="both"/>
        <w:rPr>
          <w:rFonts w:ascii="Century Gothic" w:hAnsi="Century Gothic" w:cs="Arial"/>
          <w:b/>
          <w:sz w:val="27"/>
          <w:szCs w:val="27"/>
          <w:lang w:val="es-ES_tradnl"/>
        </w:rPr>
      </w:pPr>
    </w:p>
    <w:p w14:paraId="23CCE72F" w14:textId="54D88D51" w:rsidR="00802A16" w:rsidRPr="002D7808" w:rsidRDefault="00802A16" w:rsidP="003D714D">
      <w:pPr>
        <w:spacing w:after="0" w:line="360" w:lineRule="auto"/>
        <w:jc w:val="both"/>
        <w:outlineLvl w:val="0"/>
        <w:rPr>
          <w:rFonts w:ascii="Century Gothic" w:hAnsi="Century Gothic" w:cs="Arial"/>
          <w:sz w:val="27"/>
          <w:szCs w:val="27"/>
          <w:lang w:val="es-ES_tradnl"/>
        </w:rPr>
      </w:pPr>
      <w:r w:rsidRPr="002D7808">
        <w:rPr>
          <w:rFonts w:ascii="Century Gothic" w:hAnsi="Century Gothic" w:cs="Arial"/>
          <w:sz w:val="27"/>
          <w:szCs w:val="27"/>
          <w:lang w:val="es-ES_tradnl"/>
        </w:rPr>
        <w:t xml:space="preserve">En principio, </w:t>
      </w:r>
      <w:bookmarkStart w:id="3" w:name="_Hlk517206006"/>
      <w:r w:rsidRPr="002D7808">
        <w:rPr>
          <w:rFonts w:ascii="Century Gothic" w:hAnsi="Century Gothic" w:cs="Arial"/>
          <w:sz w:val="27"/>
          <w:szCs w:val="27"/>
          <w:lang w:val="es-ES_tradnl"/>
        </w:rPr>
        <w:t xml:space="preserve">es necesario dejar claro que el artículo 41, fracción I, segundo párrafo, de la Constitución Federal, </w:t>
      </w:r>
      <w:r w:rsidR="00F74DE2" w:rsidRPr="002D7808">
        <w:rPr>
          <w:rFonts w:ascii="Century Gothic" w:hAnsi="Century Gothic" w:cs="Arial"/>
          <w:sz w:val="27"/>
          <w:szCs w:val="27"/>
          <w:lang w:val="es-ES_tradnl"/>
        </w:rPr>
        <w:t>establece el</w:t>
      </w:r>
      <w:r w:rsidRPr="002D7808">
        <w:rPr>
          <w:rFonts w:ascii="Century Gothic" w:hAnsi="Century Gothic" w:cs="Arial"/>
          <w:sz w:val="27"/>
          <w:szCs w:val="27"/>
          <w:lang w:val="es-ES_tradnl"/>
        </w:rPr>
        <w:t xml:space="preserve"> principio de paridad de género, el cual es correlativo al mandato de igualdad y no discriminación por motivos de género, previsto en el párrafo quinto del artículo 1º de la citada Constitución.</w:t>
      </w:r>
    </w:p>
    <w:bookmarkEnd w:id="3"/>
    <w:p w14:paraId="579481BB" w14:textId="77777777" w:rsidR="00EC4220" w:rsidRPr="002D7808" w:rsidRDefault="00EC4220" w:rsidP="003D714D">
      <w:pPr>
        <w:spacing w:after="0" w:line="360" w:lineRule="auto"/>
        <w:jc w:val="both"/>
        <w:outlineLvl w:val="0"/>
        <w:rPr>
          <w:rFonts w:ascii="Century Gothic" w:hAnsi="Century Gothic" w:cs="Arial"/>
          <w:sz w:val="27"/>
          <w:szCs w:val="27"/>
          <w:lang w:val="es-ES_tradnl"/>
        </w:rPr>
      </w:pPr>
    </w:p>
    <w:p w14:paraId="06CDAEA6" w14:textId="714CCAB3" w:rsidR="00802A16" w:rsidRDefault="00802A1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Dichos principios se ven inmersos en los artículos 6, inciso a), de la Convención Interamericana para Prevenir, Sancionar y </w:t>
      </w:r>
      <w:r w:rsidRPr="002D7808">
        <w:rPr>
          <w:rFonts w:ascii="Century Gothic" w:hAnsi="Century Gothic" w:cs="Arial"/>
          <w:sz w:val="27"/>
          <w:szCs w:val="27"/>
          <w:lang w:val="es-ES_tradnl"/>
        </w:rPr>
        <w:lastRenderedPageBreak/>
        <w:t>Erradicar la Violencia contra la Mujer</w:t>
      </w:r>
      <w:r w:rsidRPr="002D7808">
        <w:rPr>
          <w:rStyle w:val="Refdenotaalpie"/>
          <w:rFonts w:ascii="Century Gothic" w:hAnsi="Century Gothic" w:cs="Arial"/>
          <w:sz w:val="27"/>
          <w:szCs w:val="27"/>
          <w:lang w:val="es-ES_tradnl"/>
        </w:rPr>
        <w:footnoteReference w:id="11"/>
      </w:r>
      <w:r w:rsidRPr="002D7808">
        <w:rPr>
          <w:rFonts w:ascii="Century Gothic" w:hAnsi="Century Gothic" w:cs="Arial"/>
          <w:sz w:val="27"/>
          <w:szCs w:val="27"/>
          <w:lang w:val="es-ES_tradnl"/>
        </w:rPr>
        <w:t>; y 1 y 2 de la Convención sobre la Eliminación de Todas las Formas de Discriminación contra la Mujer</w:t>
      </w:r>
      <w:r w:rsidRPr="002D7808">
        <w:rPr>
          <w:rStyle w:val="Refdenotaalpie"/>
          <w:rFonts w:ascii="Century Gothic" w:hAnsi="Century Gothic" w:cs="Arial"/>
          <w:sz w:val="27"/>
          <w:szCs w:val="27"/>
          <w:lang w:val="es-ES_tradnl"/>
        </w:rPr>
        <w:footnoteReference w:id="12"/>
      </w:r>
      <w:r w:rsidRPr="002D7808">
        <w:rPr>
          <w:rFonts w:ascii="Century Gothic" w:hAnsi="Century Gothic" w:cs="Arial"/>
          <w:sz w:val="27"/>
          <w:szCs w:val="27"/>
          <w:lang w:val="es-ES_tradnl"/>
        </w:rPr>
        <w:t>.</w:t>
      </w:r>
    </w:p>
    <w:p w14:paraId="2A091C21" w14:textId="77777777" w:rsidR="00663B20" w:rsidRPr="002D7808" w:rsidRDefault="00663B20" w:rsidP="003D714D">
      <w:pPr>
        <w:spacing w:after="0" w:line="360" w:lineRule="auto"/>
        <w:jc w:val="both"/>
        <w:rPr>
          <w:rFonts w:ascii="Century Gothic" w:hAnsi="Century Gothic" w:cs="Arial"/>
          <w:sz w:val="27"/>
          <w:szCs w:val="27"/>
          <w:lang w:val="es-ES_tradnl"/>
        </w:rPr>
      </w:pPr>
    </w:p>
    <w:p w14:paraId="087A46E9" w14:textId="28DC5EA5" w:rsidR="00F74DE2" w:rsidRPr="002D7808" w:rsidRDefault="00802A1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Asimismo, los artículos 4, inciso j), de la Convención Interamericana para Prevenir, Sancionar y Erradicar la Violencia contra la Mujer</w:t>
      </w:r>
      <w:r w:rsidRPr="002D7808">
        <w:rPr>
          <w:rStyle w:val="Refdenotaalpie"/>
          <w:rFonts w:ascii="Century Gothic" w:hAnsi="Century Gothic" w:cs="Arial"/>
          <w:sz w:val="27"/>
          <w:szCs w:val="27"/>
          <w:lang w:val="es-ES_tradnl"/>
        </w:rPr>
        <w:footnoteReference w:id="13"/>
      </w:r>
      <w:r w:rsidRPr="002D7808">
        <w:rPr>
          <w:rFonts w:ascii="Century Gothic" w:hAnsi="Century Gothic" w:cs="Arial"/>
          <w:sz w:val="27"/>
          <w:szCs w:val="27"/>
          <w:lang w:val="es-ES_tradnl"/>
        </w:rPr>
        <w:t>; 7, incisos a) y b) de la Convención sobre la Eliminación de Todas las Formas de Discriminación contra la Mujer</w:t>
      </w:r>
      <w:r w:rsidRPr="002D7808">
        <w:rPr>
          <w:rFonts w:ascii="Century Gothic" w:hAnsi="Century Gothic" w:cs="Arial"/>
          <w:sz w:val="27"/>
          <w:szCs w:val="27"/>
          <w:vertAlign w:val="superscript"/>
          <w:lang w:val="es-ES_tradnl"/>
        </w:rPr>
        <w:footnoteReference w:id="14"/>
      </w:r>
      <w:r w:rsidRPr="002D7808">
        <w:rPr>
          <w:rFonts w:ascii="Century Gothic" w:hAnsi="Century Gothic" w:cs="Arial"/>
          <w:sz w:val="27"/>
          <w:szCs w:val="27"/>
          <w:lang w:val="es-ES_tradnl"/>
        </w:rPr>
        <w:t>; así como II y III de la Convención sobre los Derechos Políticos de la Mujer</w:t>
      </w:r>
      <w:r w:rsidRPr="002D7808">
        <w:rPr>
          <w:rStyle w:val="Refdenotaalpie"/>
          <w:rFonts w:ascii="Century Gothic" w:hAnsi="Century Gothic" w:cs="Arial"/>
          <w:sz w:val="27"/>
          <w:szCs w:val="27"/>
          <w:lang w:val="es-ES_tradnl"/>
        </w:rPr>
        <w:footnoteReference w:id="15"/>
      </w:r>
      <w:r w:rsidR="00F74DE2" w:rsidRPr="002D7808">
        <w:rPr>
          <w:rFonts w:ascii="Century Gothic" w:hAnsi="Century Gothic" w:cs="Arial"/>
          <w:sz w:val="27"/>
          <w:szCs w:val="27"/>
          <w:lang w:val="es-ES_tradnl"/>
        </w:rPr>
        <w:t xml:space="preserve">, </w:t>
      </w:r>
      <w:r w:rsidR="00F74DE2" w:rsidRPr="002D7808">
        <w:rPr>
          <w:rFonts w:ascii="Century Gothic" w:hAnsi="Century Gothic" w:cs="Arial"/>
          <w:sz w:val="27"/>
          <w:szCs w:val="27"/>
          <w:lang w:val="es-ES_tradnl"/>
        </w:rPr>
        <w:lastRenderedPageBreak/>
        <w:t>establecen otra perspectiva del principio de igualdad y no discriminación por razón de género en el ámbito político que  se concreta en el reconocimiento del derecho de las mujeres al acceso a las funciones públicas en condiciones de igualdad con los hombres.</w:t>
      </w:r>
    </w:p>
    <w:p w14:paraId="29279FC8"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60240124" w14:textId="22F16CBB" w:rsidR="00802A16" w:rsidRPr="002D7808" w:rsidRDefault="00802A1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Considerando este sentido del </w:t>
      </w:r>
      <w:r w:rsidR="008E25F1" w:rsidRPr="002D7808">
        <w:rPr>
          <w:rFonts w:ascii="Century Gothic" w:hAnsi="Century Gothic" w:cs="Arial"/>
          <w:sz w:val="27"/>
          <w:szCs w:val="27"/>
          <w:lang w:val="es-ES_tradnl"/>
        </w:rPr>
        <w:t>principio</w:t>
      </w:r>
      <w:r w:rsidRPr="002D7808">
        <w:rPr>
          <w:rFonts w:ascii="Century Gothic" w:hAnsi="Century Gothic" w:cs="Arial"/>
          <w:sz w:val="27"/>
          <w:szCs w:val="27"/>
          <w:lang w:val="es-ES_tradnl"/>
        </w:rPr>
        <w:t xml:space="preserve"> de paridad de género, debe resaltarse la exigencia de adoptar medidas dirigid</w:t>
      </w:r>
      <w:r w:rsidR="00F74DE2" w:rsidRPr="002D7808">
        <w:rPr>
          <w:rFonts w:ascii="Century Gothic" w:hAnsi="Century Gothic" w:cs="Arial"/>
          <w:sz w:val="27"/>
          <w:szCs w:val="27"/>
          <w:lang w:val="es-ES_tradnl"/>
        </w:rPr>
        <w:t>a</w:t>
      </w:r>
      <w:r w:rsidRPr="002D7808">
        <w:rPr>
          <w:rFonts w:ascii="Century Gothic" w:hAnsi="Century Gothic" w:cs="Arial"/>
          <w:sz w:val="27"/>
          <w:szCs w:val="27"/>
          <w:lang w:val="es-ES_tradnl"/>
        </w:rPr>
        <w:t xml:space="preserve">s a favorecer la materialización de una situación de igualdad material de las mujeres, la cual tiene fundamento en los artículos </w:t>
      </w:r>
      <w:r w:rsidRPr="002D7808">
        <w:rPr>
          <w:rFonts w:ascii="Century Gothic" w:hAnsi="Century Gothic" w:cs="Arial"/>
          <w:bCs/>
          <w:sz w:val="27"/>
          <w:szCs w:val="27"/>
          <w:lang w:val="es-ES_tradnl"/>
        </w:rPr>
        <w:t xml:space="preserve">4, numeral 1, de la </w:t>
      </w:r>
      <w:r w:rsidRPr="002D7808">
        <w:rPr>
          <w:rFonts w:ascii="Century Gothic" w:hAnsi="Century Gothic" w:cs="Arial"/>
          <w:sz w:val="27"/>
          <w:szCs w:val="27"/>
          <w:lang w:val="es-ES_tradnl"/>
        </w:rPr>
        <w:t>Convención sobre la Eliminación de Todas las Formas de Discriminación contra la Mujer</w:t>
      </w:r>
      <w:r w:rsidRPr="002D7808">
        <w:rPr>
          <w:rStyle w:val="Refdenotaalpie"/>
          <w:rFonts w:ascii="Century Gothic" w:hAnsi="Century Gothic" w:cs="Arial"/>
          <w:sz w:val="27"/>
          <w:szCs w:val="27"/>
          <w:lang w:val="es-ES_tradnl"/>
        </w:rPr>
        <w:footnoteReference w:id="16"/>
      </w:r>
      <w:r w:rsidRPr="002D7808">
        <w:rPr>
          <w:rFonts w:ascii="Century Gothic" w:hAnsi="Century Gothic" w:cs="Arial"/>
          <w:sz w:val="27"/>
          <w:szCs w:val="27"/>
          <w:lang w:val="es-ES_tradnl"/>
        </w:rPr>
        <w:t>; y 7, inciso c), de la Convención Interamericana para Prevenir, Sancionar y Erradicar la Violencia contra la Mujer</w:t>
      </w:r>
      <w:r w:rsidRPr="002D7808">
        <w:rPr>
          <w:rStyle w:val="Refdenotaalpie"/>
          <w:rFonts w:ascii="Century Gothic" w:hAnsi="Century Gothic" w:cs="Arial"/>
          <w:sz w:val="27"/>
          <w:szCs w:val="27"/>
          <w:lang w:val="es-ES_tradnl"/>
        </w:rPr>
        <w:footnoteReference w:id="17"/>
      </w:r>
      <w:r w:rsidRPr="002D7808">
        <w:rPr>
          <w:rFonts w:ascii="Century Gothic" w:hAnsi="Century Gothic" w:cs="Arial"/>
          <w:sz w:val="27"/>
          <w:szCs w:val="27"/>
          <w:lang w:val="es-ES_tradnl"/>
        </w:rPr>
        <w:t>.</w:t>
      </w:r>
    </w:p>
    <w:p w14:paraId="7A595FD1" w14:textId="77777777" w:rsidR="00943681" w:rsidRPr="002D7808" w:rsidRDefault="00802A1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Sobre esta cuestión, el Comité para la Eliminación de la Discriminación contra la Mujer </w:t>
      </w:r>
      <w:r w:rsidR="00943681" w:rsidRPr="002D7808">
        <w:rPr>
          <w:rFonts w:ascii="Century Gothic" w:hAnsi="Century Gothic" w:cs="Arial"/>
          <w:sz w:val="27"/>
          <w:szCs w:val="27"/>
          <w:lang w:val="es-ES_tradnl"/>
        </w:rPr>
        <w:t xml:space="preserve">-CEDAW, por sus siglas en inglés- </w:t>
      </w:r>
      <w:r w:rsidRPr="002D7808">
        <w:rPr>
          <w:rFonts w:ascii="Century Gothic" w:hAnsi="Century Gothic" w:cs="Arial"/>
          <w:sz w:val="27"/>
          <w:szCs w:val="27"/>
          <w:lang w:val="es-ES_tradnl"/>
        </w:rPr>
        <w:t xml:space="preserve">ha expresado que la finalidad de las medidas </w:t>
      </w:r>
      <w:r w:rsidRPr="002D7808">
        <w:rPr>
          <w:rFonts w:ascii="Century Gothic" w:hAnsi="Century Gothic" w:cs="Arial"/>
          <w:sz w:val="27"/>
          <w:szCs w:val="27"/>
          <w:lang w:val="es-ES_tradnl"/>
        </w:rPr>
        <w:lastRenderedPageBreak/>
        <w:t>especiales de carácter temporal debe</w:t>
      </w:r>
      <w:r w:rsidR="00943681" w:rsidRPr="002D7808">
        <w:rPr>
          <w:rFonts w:ascii="Century Gothic" w:hAnsi="Century Gothic" w:cs="Arial"/>
          <w:sz w:val="27"/>
          <w:szCs w:val="27"/>
          <w:lang w:val="es-ES_tradnl"/>
        </w:rPr>
        <w:t>n</w:t>
      </w:r>
      <w:r w:rsidRPr="002D7808">
        <w:rPr>
          <w:rFonts w:ascii="Century Gothic" w:hAnsi="Century Gothic" w:cs="Arial"/>
          <w:sz w:val="27"/>
          <w:szCs w:val="27"/>
          <w:lang w:val="es-ES_tradnl"/>
        </w:rPr>
        <w:t xml:space="preserve"> ser “la mejora de la situación de la mujer para lograr su igualdad sustantiva o </w:t>
      </w:r>
      <w:r w:rsidRPr="002D7808">
        <w:rPr>
          <w:rFonts w:ascii="Century Gothic" w:hAnsi="Century Gothic" w:cs="Arial"/>
          <w:i/>
          <w:sz w:val="27"/>
          <w:szCs w:val="27"/>
          <w:lang w:val="es-ES_tradnl"/>
        </w:rPr>
        <w:t>de facto</w:t>
      </w:r>
      <w:r w:rsidRPr="002D7808">
        <w:rPr>
          <w:rFonts w:ascii="Century Gothic" w:hAnsi="Century Gothic" w:cs="Arial"/>
          <w:sz w:val="27"/>
          <w:szCs w:val="27"/>
          <w:lang w:val="es-ES_tradnl"/>
        </w:rPr>
        <w:t xml:space="preserve"> con el hombre y realizar los cambios estructurales, sociales y culturales necesarios para corregir las formas y consecuencias pasadas y presentes de la discriminación contra la mujer, así como compensarlas”</w:t>
      </w:r>
      <w:r w:rsidRPr="002D7808">
        <w:rPr>
          <w:rFonts w:ascii="Century Gothic" w:hAnsi="Century Gothic" w:cs="Arial"/>
          <w:sz w:val="27"/>
          <w:szCs w:val="27"/>
          <w:vertAlign w:val="superscript"/>
          <w:lang w:val="es-ES_tradnl"/>
        </w:rPr>
        <w:footnoteReference w:id="18"/>
      </w:r>
      <w:r w:rsidRPr="002D7808">
        <w:rPr>
          <w:rFonts w:ascii="Century Gothic" w:hAnsi="Century Gothic" w:cs="Arial"/>
          <w:sz w:val="27"/>
          <w:szCs w:val="27"/>
          <w:lang w:val="es-ES_tradnl"/>
        </w:rPr>
        <w:t>.</w:t>
      </w:r>
      <w:r w:rsidR="008E2D1D" w:rsidRPr="002D7808">
        <w:rPr>
          <w:rFonts w:ascii="Century Gothic" w:hAnsi="Century Gothic" w:cs="Arial"/>
          <w:sz w:val="27"/>
          <w:szCs w:val="27"/>
          <w:lang w:val="es-ES_tradnl"/>
        </w:rPr>
        <w:t xml:space="preserve"> </w:t>
      </w:r>
      <w:r w:rsidR="001F46AE" w:rsidRPr="002D7808">
        <w:rPr>
          <w:rFonts w:ascii="Century Gothic" w:hAnsi="Century Gothic" w:cs="Arial"/>
          <w:sz w:val="27"/>
          <w:szCs w:val="27"/>
          <w:lang w:val="es-ES_tradnl"/>
        </w:rPr>
        <w:t xml:space="preserve">No obstante, la paridad no es una medida especial de carácter temporal, sino que constituye en términos del orden constitucional y convencional, un derecho y un principio rector de los procesos electorales y democráticos, que </w:t>
      </w:r>
      <w:r w:rsidR="00B8510A" w:rsidRPr="002D7808">
        <w:rPr>
          <w:rFonts w:ascii="Century Gothic" w:hAnsi="Century Gothic" w:cs="Arial"/>
          <w:sz w:val="27"/>
          <w:szCs w:val="27"/>
          <w:lang w:val="es-ES_tradnl"/>
        </w:rPr>
        <w:t xml:space="preserve">reconoce el derecho y la capacidad de las mujeres para tomar decisiones sobre lo público, en pleno ejercicio de sus derechos político-electorales en condiciones de igualdad. </w:t>
      </w:r>
    </w:p>
    <w:p w14:paraId="7AE561E3" w14:textId="77777777" w:rsidR="00943681" w:rsidRPr="002D7808" w:rsidRDefault="00943681" w:rsidP="003D714D">
      <w:pPr>
        <w:spacing w:after="0" w:line="360" w:lineRule="auto"/>
        <w:jc w:val="both"/>
        <w:rPr>
          <w:rFonts w:ascii="Century Gothic" w:hAnsi="Century Gothic" w:cs="Arial"/>
          <w:sz w:val="27"/>
          <w:szCs w:val="27"/>
          <w:lang w:val="es-ES_tradnl"/>
        </w:rPr>
      </w:pPr>
    </w:p>
    <w:p w14:paraId="453AD0C7" w14:textId="5D75A003" w:rsidR="00B8510A" w:rsidRPr="002D7808" w:rsidRDefault="00B8510A"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Mientras que históricamente se había vulnerado el derecho de las mujeres a tomar decisiones en el espacio del poder político, por ser consideradas como </w:t>
      </w:r>
      <w:proofErr w:type="spellStart"/>
      <w:r w:rsidRPr="002D7808">
        <w:rPr>
          <w:rFonts w:ascii="Century Gothic" w:hAnsi="Century Gothic" w:cs="Arial"/>
          <w:i/>
          <w:sz w:val="27"/>
          <w:szCs w:val="27"/>
          <w:lang w:val="es-ES_tradnl"/>
        </w:rPr>
        <w:t>alieni</w:t>
      </w:r>
      <w:proofErr w:type="spellEnd"/>
      <w:r w:rsidRPr="002D7808">
        <w:rPr>
          <w:rFonts w:ascii="Century Gothic" w:hAnsi="Century Gothic" w:cs="Arial"/>
          <w:i/>
          <w:sz w:val="27"/>
          <w:szCs w:val="27"/>
          <w:lang w:val="es-ES_tradnl"/>
        </w:rPr>
        <w:t xml:space="preserve"> iuris</w:t>
      </w:r>
      <w:r w:rsidRPr="002D7808">
        <w:rPr>
          <w:rFonts w:ascii="Century Gothic" w:hAnsi="Century Gothic" w:cs="Arial"/>
          <w:sz w:val="27"/>
          <w:szCs w:val="27"/>
          <w:lang w:val="es-ES_tradnl"/>
        </w:rPr>
        <w:t xml:space="preserve"> y no </w:t>
      </w:r>
      <w:r w:rsidRPr="002D7808">
        <w:rPr>
          <w:rFonts w:ascii="Century Gothic" w:hAnsi="Century Gothic" w:cs="Arial"/>
          <w:i/>
          <w:sz w:val="27"/>
          <w:szCs w:val="27"/>
          <w:lang w:val="es-ES_tradnl"/>
        </w:rPr>
        <w:t>sui iuris</w:t>
      </w:r>
      <w:r w:rsidRPr="002D7808">
        <w:rPr>
          <w:rFonts w:ascii="Century Gothic" w:hAnsi="Century Gothic" w:cs="Arial"/>
          <w:sz w:val="27"/>
          <w:szCs w:val="27"/>
          <w:lang w:val="es-ES_tradnl"/>
        </w:rPr>
        <w:t xml:space="preserve">, las convenciones internacionales y el marco normativo mexicano, </w:t>
      </w:r>
      <w:r w:rsidR="00943681" w:rsidRPr="002D7808">
        <w:rPr>
          <w:rFonts w:ascii="Century Gothic" w:hAnsi="Century Gothic" w:cs="Arial"/>
          <w:sz w:val="27"/>
          <w:szCs w:val="27"/>
          <w:lang w:val="es-ES_tradnl"/>
        </w:rPr>
        <w:t xml:space="preserve">han </w:t>
      </w:r>
      <w:r w:rsidR="001F46AE" w:rsidRPr="002D7808">
        <w:rPr>
          <w:rFonts w:ascii="Century Gothic" w:hAnsi="Century Gothic" w:cs="Arial"/>
          <w:sz w:val="27"/>
          <w:szCs w:val="27"/>
          <w:lang w:val="es-ES_tradnl"/>
        </w:rPr>
        <w:t>reordena</w:t>
      </w:r>
      <w:r w:rsidR="00943681" w:rsidRPr="002D7808">
        <w:rPr>
          <w:rFonts w:ascii="Century Gothic" w:hAnsi="Century Gothic" w:cs="Arial"/>
          <w:sz w:val="27"/>
          <w:szCs w:val="27"/>
          <w:lang w:val="es-ES_tradnl"/>
        </w:rPr>
        <w:t>do paulatinamente</w:t>
      </w:r>
      <w:r w:rsidR="001F46AE" w:rsidRPr="002D7808">
        <w:rPr>
          <w:rFonts w:ascii="Century Gothic" w:hAnsi="Century Gothic" w:cs="Arial"/>
          <w:sz w:val="27"/>
          <w:szCs w:val="27"/>
          <w:lang w:val="es-ES_tradnl"/>
        </w:rPr>
        <w:t xml:space="preserve"> la presencia de mujeres y hombres en el ámbito pol</w:t>
      </w:r>
      <w:r w:rsidRPr="002D7808">
        <w:rPr>
          <w:rFonts w:ascii="Century Gothic" w:hAnsi="Century Gothic" w:cs="Arial"/>
          <w:sz w:val="27"/>
          <w:szCs w:val="27"/>
          <w:lang w:val="es-ES_tradnl"/>
        </w:rPr>
        <w:t xml:space="preserve">ítico, aunque todavía no se haya conseguido la paridad plena. Por eso, los lineamientos de los partidos y las coaliciones deben </w:t>
      </w:r>
      <w:r w:rsidR="00EA475C" w:rsidRPr="002D7808">
        <w:rPr>
          <w:rFonts w:ascii="Century Gothic" w:hAnsi="Century Gothic" w:cs="Arial"/>
          <w:sz w:val="27"/>
          <w:szCs w:val="27"/>
          <w:lang w:val="es-ES_tradnl"/>
        </w:rPr>
        <w:t>garantizar la paridad en el</w:t>
      </w:r>
      <w:r w:rsidRPr="002D7808">
        <w:rPr>
          <w:rFonts w:ascii="Century Gothic" w:hAnsi="Century Gothic" w:cs="Arial"/>
          <w:sz w:val="27"/>
          <w:szCs w:val="27"/>
          <w:lang w:val="es-ES_tradnl"/>
        </w:rPr>
        <w:t xml:space="preserve"> porcentaje de </w:t>
      </w:r>
      <w:r w:rsidR="00EA475C" w:rsidRPr="002D7808">
        <w:rPr>
          <w:rFonts w:ascii="Century Gothic" w:hAnsi="Century Gothic" w:cs="Arial"/>
          <w:sz w:val="27"/>
          <w:szCs w:val="27"/>
          <w:lang w:val="es-ES_tradnl"/>
        </w:rPr>
        <w:t>las postulaciones entre mujeres y hombres</w:t>
      </w:r>
      <w:r w:rsidR="00943681" w:rsidRPr="002D7808">
        <w:rPr>
          <w:rFonts w:ascii="Century Gothic" w:hAnsi="Century Gothic" w:cs="Arial"/>
          <w:sz w:val="27"/>
          <w:szCs w:val="27"/>
          <w:lang w:val="es-ES_tradnl"/>
        </w:rPr>
        <w:t xml:space="preserve">, no solamente asignando el 50% a </w:t>
      </w:r>
      <w:r w:rsidR="00943681" w:rsidRPr="002D7808">
        <w:rPr>
          <w:rFonts w:ascii="Century Gothic" w:hAnsi="Century Gothic" w:cs="Arial"/>
          <w:sz w:val="27"/>
          <w:szCs w:val="27"/>
          <w:lang w:val="es-ES_tradnl"/>
        </w:rPr>
        <w:lastRenderedPageBreak/>
        <w:t xml:space="preserve">cada género, sino alternando a </w:t>
      </w:r>
      <w:r w:rsidR="00146678" w:rsidRPr="002D7808">
        <w:rPr>
          <w:rFonts w:ascii="Century Gothic" w:hAnsi="Century Gothic" w:cs="Arial"/>
          <w:sz w:val="27"/>
          <w:szCs w:val="27"/>
          <w:lang w:val="es-ES_tradnl"/>
        </w:rPr>
        <w:t>ambos género</w:t>
      </w:r>
      <w:r w:rsidR="00EE4A0C" w:rsidRPr="002D7808">
        <w:rPr>
          <w:rFonts w:ascii="Century Gothic" w:hAnsi="Century Gothic" w:cs="Arial"/>
          <w:sz w:val="27"/>
          <w:szCs w:val="27"/>
          <w:lang w:val="es-ES_tradnl"/>
        </w:rPr>
        <w:t>s</w:t>
      </w:r>
      <w:r w:rsidR="00CC60F6" w:rsidRPr="002D7808">
        <w:rPr>
          <w:rFonts w:ascii="Century Gothic" w:hAnsi="Century Gothic" w:cs="Arial"/>
          <w:sz w:val="27"/>
          <w:szCs w:val="27"/>
          <w:lang w:val="es-ES_tradnl"/>
        </w:rPr>
        <w:t xml:space="preserve">, </w:t>
      </w:r>
      <w:r w:rsidR="00943681" w:rsidRPr="002D7808">
        <w:rPr>
          <w:rFonts w:ascii="Century Gothic" w:hAnsi="Century Gothic" w:cs="Arial"/>
          <w:sz w:val="27"/>
          <w:szCs w:val="27"/>
          <w:lang w:val="es-ES_tradnl"/>
        </w:rPr>
        <w:t xml:space="preserve">de tal manera que </w:t>
      </w:r>
      <w:r w:rsidR="001500EC" w:rsidRPr="002D7808">
        <w:rPr>
          <w:rFonts w:ascii="Century Gothic" w:hAnsi="Century Gothic" w:cs="Arial"/>
          <w:sz w:val="27"/>
          <w:szCs w:val="27"/>
          <w:lang w:val="es-ES_tradnl"/>
        </w:rPr>
        <w:t>se</w:t>
      </w:r>
      <w:r w:rsidR="00CC60F6" w:rsidRPr="002D7808">
        <w:rPr>
          <w:rFonts w:ascii="Century Gothic" w:hAnsi="Century Gothic" w:cs="Arial"/>
          <w:sz w:val="27"/>
          <w:szCs w:val="27"/>
          <w:lang w:val="es-ES_tradnl"/>
        </w:rPr>
        <w:t xml:space="preserve"> promueva</w:t>
      </w:r>
      <w:r w:rsidR="00943681" w:rsidRPr="002D7808">
        <w:rPr>
          <w:rFonts w:ascii="Century Gothic" w:hAnsi="Century Gothic" w:cs="Arial"/>
          <w:sz w:val="27"/>
          <w:szCs w:val="27"/>
          <w:lang w:val="es-ES_tradnl"/>
        </w:rPr>
        <w:t xml:space="preserve"> una paridad real en el ejercicio del poder</w:t>
      </w:r>
      <w:r w:rsidR="00EA475C" w:rsidRPr="002D7808">
        <w:rPr>
          <w:rFonts w:ascii="Century Gothic" w:hAnsi="Century Gothic" w:cs="Arial"/>
          <w:sz w:val="27"/>
          <w:szCs w:val="27"/>
          <w:lang w:val="es-ES_tradnl"/>
        </w:rPr>
        <w:t xml:space="preserve">. </w:t>
      </w:r>
    </w:p>
    <w:p w14:paraId="78ACFDB0" w14:textId="58FA5BE7" w:rsidR="00EC4427" w:rsidRPr="002D7808" w:rsidRDefault="00EC4427" w:rsidP="00900106">
      <w:pPr>
        <w:spacing w:after="0" w:line="360" w:lineRule="auto"/>
        <w:jc w:val="both"/>
        <w:rPr>
          <w:rFonts w:ascii="Century Gothic" w:hAnsi="Century Gothic" w:cs="Arial"/>
          <w:sz w:val="27"/>
          <w:szCs w:val="27"/>
          <w:lang w:val="es-ES_tradnl"/>
        </w:rPr>
      </w:pPr>
    </w:p>
    <w:p w14:paraId="0B1ECB9B" w14:textId="1A11F20F" w:rsidR="00900106" w:rsidRDefault="00F66811" w:rsidP="00900106">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Aquí, conviene precisar que el</w:t>
      </w:r>
      <w:r w:rsidR="00900106" w:rsidRPr="002D7808">
        <w:rPr>
          <w:rFonts w:ascii="Century Gothic" w:hAnsi="Century Gothic" w:cs="Arial"/>
          <w:sz w:val="27"/>
          <w:szCs w:val="27"/>
          <w:lang w:val="es-ES_tradnl"/>
        </w:rPr>
        <w:t xml:space="preserve"> concepto la paridad </w:t>
      </w:r>
      <w:r w:rsidR="00943681" w:rsidRPr="002D7808">
        <w:rPr>
          <w:rFonts w:ascii="Century Gothic" w:hAnsi="Century Gothic" w:cs="Arial"/>
          <w:sz w:val="27"/>
          <w:szCs w:val="27"/>
          <w:lang w:val="es-ES_tradnl"/>
        </w:rPr>
        <w:t xml:space="preserve">ha constituido </w:t>
      </w:r>
      <w:r w:rsidR="00900106" w:rsidRPr="002D7808">
        <w:rPr>
          <w:rFonts w:ascii="Century Gothic" w:hAnsi="Century Gothic" w:cs="Arial"/>
          <w:sz w:val="27"/>
          <w:szCs w:val="27"/>
          <w:lang w:val="es-ES_tradnl"/>
        </w:rPr>
        <w:t xml:space="preserve">un cambio paradigmático respecto a la participación de las mujeres en el ámbito político. De acuerdo con lo planteado en la Declaración de Atenas en 1992, “las mujeres representan </w:t>
      </w:r>
      <w:r w:rsidR="00F767E3" w:rsidRPr="002D7808">
        <w:rPr>
          <w:rFonts w:ascii="Century Gothic" w:hAnsi="Century Gothic" w:cs="Arial"/>
          <w:sz w:val="27"/>
          <w:szCs w:val="27"/>
          <w:lang w:val="es-ES_tradnl"/>
        </w:rPr>
        <w:t>más</w:t>
      </w:r>
      <w:r w:rsidR="00900106" w:rsidRPr="002D7808">
        <w:rPr>
          <w:rFonts w:ascii="Century Gothic" w:hAnsi="Century Gothic" w:cs="Arial"/>
          <w:sz w:val="27"/>
          <w:szCs w:val="27"/>
          <w:lang w:val="es-ES_tradnl"/>
        </w:rPr>
        <w:t xml:space="preserve"> de la mitad de la </w:t>
      </w:r>
      <w:r w:rsidR="00F767E3" w:rsidRPr="002D7808">
        <w:rPr>
          <w:rFonts w:ascii="Century Gothic" w:hAnsi="Century Gothic" w:cs="Arial"/>
          <w:sz w:val="27"/>
          <w:szCs w:val="27"/>
          <w:lang w:val="es-ES_tradnl"/>
        </w:rPr>
        <w:t>población</w:t>
      </w:r>
      <w:r w:rsidR="00900106" w:rsidRPr="002D7808">
        <w:rPr>
          <w:rFonts w:ascii="Century Gothic" w:hAnsi="Century Gothic" w:cs="Arial"/>
          <w:sz w:val="27"/>
          <w:szCs w:val="27"/>
          <w:lang w:val="es-ES_tradnl"/>
        </w:rPr>
        <w:t xml:space="preserve">. La igualdad exige la paridad en la </w:t>
      </w:r>
      <w:r w:rsidR="00F767E3" w:rsidRPr="002D7808">
        <w:rPr>
          <w:rFonts w:ascii="Century Gothic" w:hAnsi="Century Gothic" w:cs="Arial"/>
          <w:sz w:val="27"/>
          <w:szCs w:val="27"/>
          <w:lang w:val="es-ES_tradnl"/>
        </w:rPr>
        <w:t>representación</w:t>
      </w:r>
      <w:r w:rsidR="00900106" w:rsidRPr="002D7808">
        <w:rPr>
          <w:rFonts w:ascii="Century Gothic" w:hAnsi="Century Gothic" w:cs="Arial"/>
          <w:sz w:val="27"/>
          <w:szCs w:val="27"/>
          <w:lang w:val="es-ES_tradnl"/>
        </w:rPr>
        <w:t xml:space="preserve"> y </w:t>
      </w:r>
      <w:r w:rsidR="00F767E3" w:rsidRPr="002D7808">
        <w:rPr>
          <w:rFonts w:ascii="Century Gothic" w:hAnsi="Century Gothic" w:cs="Arial"/>
          <w:sz w:val="27"/>
          <w:szCs w:val="27"/>
          <w:lang w:val="es-ES_tradnl"/>
        </w:rPr>
        <w:t>administración</w:t>
      </w:r>
      <w:r w:rsidR="00900106" w:rsidRPr="002D7808">
        <w:rPr>
          <w:rFonts w:ascii="Century Gothic" w:hAnsi="Century Gothic" w:cs="Arial"/>
          <w:sz w:val="27"/>
          <w:szCs w:val="27"/>
          <w:lang w:val="es-ES_tradnl"/>
        </w:rPr>
        <w:t xml:space="preserve"> de las naciones (…) La infra-representa</w:t>
      </w:r>
      <w:r w:rsidR="00081774">
        <w:rPr>
          <w:rFonts w:ascii="Century Gothic" w:hAnsi="Century Gothic" w:cs="Arial"/>
          <w:sz w:val="27"/>
          <w:szCs w:val="27"/>
          <w:lang w:val="es-ES_tradnl"/>
        </w:rPr>
        <w:t xml:space="preserve">ción </w:t>
      </w:r>
      <w:r w:rsidR="00900106" w:rsidRPr="002D7808">
        <w:rPr>
          <w:rFonts w:ascii="Century Gothic" w:hAnsi="Century Gothic" w:cs="Arial"/>
          <w:sz w:val="27"/>
          <w:szCs w:val="27"/>
          <w:lang w:val="es-ES_tradnl"/>
        </w:rPr>
        <w:t xml:space="preserve">de las mujeres en los puestos de </w:t>
      </w:r>
      <w:r w:rsidR="00F767E3" w:rsidRPr="002D7808">
        <w:rPr>
          <w:rFonts w:ascii="Century Gothic" w:hAnsi="Century Gothic" w:cs="Arial"/>
          <w:sz w:val="27"/>
          <w:szCs w:val="27"/>
          <w:lang w:val="es-ES_tradnl"/>
        </w:rPr>
        <w:t>decisión</w:t>
      </w:r>
      <w:r w:rsidR="00900106" w:rsidRPr="002D7808">
        <w:rPr>
          <w:rFonts w:ascii="Century Gothic" w:hAnsi="Century Gothic" w:cs="Arial"/>
          <w:sz w:val="27"/>
          <w:szCs w:val="27"/>
          <w:lang w:val="es-ES_tradnl"/>
        </w:rPr>
        <w:t xml:space="preserve"> no permite tomar plenamente en </w:t>
      </w:r>
      <w:r w:rsidR="00F767E3" w:rsidRPr="002D7808">
        <w:rPr>
          <w:rFonts w:ascii="Century Gothic" w:hAnsi="Century Gothic" w:cs="Arial"/>
          <w:sz w:val="27"/>
          <w:szCs w:val="27"/>
          <w:lang w:val="es-ES_tradnl"/>
        </w:rPr>
        <w:t>consideración</w:t>
      </w:r>
      <w:r w:rsidR="00900106" w:rsidRPr="002D7808">
        <w:rPr>
          <w:rFonts w:ascii="Century Gothic" w:hAnsi="Century Gothic" w:cs="Arial"/>
          <w:sz w:val="27"/>
          <w:szCs w:val="27"/>
          <w:lang w:val="es-ES_tradnl"/>
        </w:rPr>
        <w:t xml:space="preserve"> los intereses y las necesidades del conjunto de la </w:t>
      </w:r>
      <w:r w:rsidR="00F767E3" w:rsidRPr="002D7808">
        <w:rPr>
          <w:rFonts w:ascii="Century Gothic" w:hAnsi="Century Gothic" w:cs="Arial"/>
          <w:sz w:val="27"/>
          <w:szCs w:val="27"/>
          <w:lang w:val="es-ES_tradnl"/>
        </w:rPr>
        <w:t>población</w:t>
      </w:r>
      <w:r w:rsidR="00900106" w:rsidRPr="002D7808">
        <w:rPr>
          <w:rFonts w:ascii="Century Gothic" w:hAnsi="Century Gothic" w:cs="Arial"/>
          <w:sz w:val="27"/>
          <w:szCs w:val="27"/>
          <w:lang w:val="es-ES_tradnl"/>
        </w:rPr>
        <w:t xml:space="preserve">”. </w:t>
      </w:r>
    </w:p>
    <w:p w14:paraId="3D7FF7AD" w14:textId="77777777" w:rsidR="003A4BBC" w:rsidRDefault="003A4BBC" w:rsidP="00900106">
      <w:pPr>
        <w:spacing w:after="0" w:line="360" w:lineRule="auto"/>
        <w:jc w:val="both"/>
        <w:rPr>
          <w:rFonts w:ascii="Century Gothic" w:hAnsi="Century Gothic" w:cs="Arial"/>
          <w:sz w:val="27"/>
          <w:szCs w:val="27"/>
          <w:lang w:val="es-ES_tradnl"/>
        </w:rPr>
      </w:pPr>
    </w:p>
    <w:p w14:paraId="68696CC1" w14:textId="0AF9247A" w:rsidR="00617D1C" w:rsidRDefault="00935464" w:rsidP="00900106">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Paulatinamente y </w:t>
      </w:r>
      <w:r w:rsidR="00900106" w:rsidRPr="002D7808">
        <w:rPr>
          <w:rFonts w:ascii="Century Gothic" w:hAnsi="Century Gothic" w:cs="Arial"/>
          <w:sz w:val="27"/>
          <w:szCs w:val="27"/>
          <w:lang w:val="es-ES_tradnl"/>
        </w:rPr>
        <w:t>también a raíz de lo expuesto en el Consenso de Quito en 2007, los Estados Parte en general y México en particular, han trascendido la lógica de las cuotas como medidas afirmativas temporales</w:t>
      </w:r>
      <w:r w:rsidR="00AD7382" w:rsidRPr="002D7808">
        <w:rPr>
          <w:rFonts w:ascii="Century Gothic" w:hAnsi="Century Gothic" w:cs="Arial"/>
          <w:sz w:val="27"/>
          <w:szCs w:val="27"/>
          <w:lang w:val="es-ES_tradnl"/>
        </w:rPr>
        <w:t>,</w:t>
      </w:r>
      <w:r w:rsidR="00900106" w:rsidRPr="002D7808">
        <w:rPr>
          <w:rFonts w:ascii="Century Gothic" w:hAnsi="Century Gothic" w:cs="Arial"/>
          <w:sz w:val="27"/>
          <w:szCs w:val="27"/>
          <w:lang w:val="es-ES_tradnl"/>
        </w:rPr>
        <w:t xml:space="preserve"> para compensar la poca representación de las mujeres en el ámbito político</w:t>
      </w:r>
      <w:r w:rsidR="00AD7382" w:rsidRPr="002D7808">
        <w:rPr>
          <w:rFonts w:ascii="Century Gothic" w:hAnsi="Century Gothic" w:cs="Arial"/>
          <w:sz w:val="27"/>
          <w:szCs w:val="27"/>
          <w:lang w:val="es-ES_tradnl"/>
        </w:rPr>
        <w:t>. Así, se ha dado el</w:t>
      </w:r>
      <w:r w:rsidR="00900106" w:rsidRPr="002D7808">
        <w:rPr>
          <w:rFonts w:ascii="Century Gothic" w:hAnsi="Century Gothic" w:cs="Arial"/>
          <w:sz w:val="27"/>
          <w:szCs w:val="27"/>
          <w:lang w:val="es-ES_tradnl"/>
        </w:rPr>
        <w:t xml:space="preserve"> paso a la participación política de mujeres y hombres en funció</w:t>
      </w:r>
      <w:r w:rsidR="00617D1C" w:rsidRPr="002D7808">
        <w:rPr>
          <w:rFonts w:ascii="Century Gothic" w:hAnsi="Century Gothic" w:cs="Arial"/>
          <w:sz w:val="27"/>
          <w:szCs w:val="27"/>
          <w:lang w:val="es-ES_tradnl"/>
        </w:rPr>
        <w:t>n del principio de paridad</w:t>
      </w:r>
      <w:r w:rsidRPr="002D7808">
        <w:rPr>
          <w:rFonts w:ascii="Century Gothic" w:hAnsi="Century Gothic" w:cs="Arial"/>
          <w:sz w:val="27"/>
          <w:szCs w:val="27"/>
          <w:lang w:val="es-ES_tradnl"/>
        </w:rPr>
        <w:t>. En el artículo 17 de dicho Consenso se plantea que: “</w:t>
      </w:r>
      <w:r w:rsidR="00617D1C" w:rsidRPr="002D7808">
        <w:rPr>
          <w:rFonts w:ascii="Century Gothic" w:hAnsi="Century Gothic" w:cs="Arial"/>
          <w:sz w:val="27"/>
          <w:szCs w:val="27"/>
          <w:lang w:val="es-ES_tradnl"/>
        </w:rPr>
        <w:t xml:space="preserve">la paridad es uno de los propulsores determinantes de la democracia, cuyo fin es alcanzar la igualdad en el ejercicio del poder, en la toma de decisiones, en los mecanismos de participación y representación social y política, y en las relaciones familiares </w:t>
      </w:r>
      <w:r w:rsidR="00617D1C" w:rsidRPr="002D7808">
        <w:rPr>
          <w:rFonts w:ascii="Century Gothic" w:hAnsi="Century Gothic" w:cs="Arial"/>
          <w:sz w:val="27"/>
          <w:szCs w:val="27"/>
          <w:lang w:val="es-ES_tradnl"/>
        </w:rPr>
        <w:lastRenderedPageBreak/>
        <w:t>al interior de los diversos tipos de familias, las relaciones sociales, económicas, políticas y culturales, y que constituye una meta para erradicar la exclusión estructural de las mujeres</w:t>
      </w:r>
      <w:r w:rsidR="00AD7382" w:rsidRPr="002D7808">
        <w:rPr>
          <w:rFonts w:ascii="Century Gothic" w:hAnsi="Century Gothic" w:cs="Arial"/>
          <w:sz w:val="27"/>
          <w:szCs w:val="27"/>
          <w:lang w:val="es-ES_tradnl"/>
        </w:rPr>
        <w:t>”</w:t>
      </w:r>
      <w:r w:rsidR="00617D1C" w:rsidRPr="002D7808">
        <w:rPr>
          <w:rFonts w:ascii="Century Gothic" w:hAnsi="Century Gothic" w:cs="Arial"/>
          <w:sz w:val="27"/>
          <w:szCs w:val="27"/>
          <w:lang w:val="es-ES_tradnl"/>
        </w:rPr>
        <w:t xml:space="preserve">. </w:t>
      </w:r>
      <w:r w:rsidR="00900106" w:rsidRPr="002D7808">
        <w:rPr>
          <w:rFonts w:ascii="Century Gothic" w:hAnsi="Century Gothic" w:cs="Arial"/>
          <w:sz w:val="27"/>
          <w:szCs w:val="27"/>
          <w:lang w:val="es-ES_tradnl"/>
        </w:rPr>
        <w:t xml:space="preserve"> </w:t>
      </w:r>
    </w:p>
    <w:p w14:paraId="12F9004A" w14:textId="77777777" w:rsidR="005D41E4" w:rsidRPr="002D7808" w:rsidRDefault="005D41E4" w:rsidP="00900106">
      <w:pPr>
        <w:spacing w:after="0" w:line="360" w:lineRule="auto"/>
        <w:jc w:val="both"/>
        <w:rPr>
          <w:rFonts w:ascii="Century Gothic" w:hAnsi="Century Gothic" w:cs="Arial"/>
          <w:sz w:val="27"/>
          <w:szCs w:val="27"/>
          <w:lang w:val="es-ES_tradnl"/>
        </w:rPr>
      </w:pPr>
    </w:p>
    <w:p w14:paraId="26610C30" w14:textId="4D21F15E" w:rsidR="00900106" w:rsidRPr="002D7808" w:rsidRDefault="00900106" w:rsidP="00900106">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 este contexto, se debe comprender que la paridad es un derecho humano que debe ser reconocido en una sociedad democrática y este avance en materia convencional, </w:t>
      </w:r>
      <w:r w:rsidR="00C40E92" w:rsidRPr="002D7808">
        <w:rPr>
          <w:rFonts w:ascii="Century Gothic" w:hAnsi="Century Gothic" w:cs="Arial"/>
          <w:sz w:val="27"/>
          <w:szCs w:val="27"/>
          <w:lang w:val="es-ES_tradnl"/>
        </w:rPr>
        <w:t>ha sido</w:t>
      </w:r>
      <w:r w:rsidRPr="002D7808">
        <w:rPr>
          <w:rFonts w:ascii="Century Gothic" w:hAnsi="Century Gothic" w:cs="Arial"/>
          <w:sz w:val="27"/>
          <w:szCs w:val="27"/>
          <w:lang w:val="es-ES_tradnl"/>
        </w:rPr>
        <w:t xml:space="preserve"> un acicate para la reforma constitucional mexicana en esta materia. </w:t>
      </w:r>
    </w:p>
    <w:p w14:paraId="741D548B" w14:textId="77777777" w:rsidR="00900106" w:rsidRPr="002D7808" w:rsidRDefault="00900106" w:rsidP="00900106">
      <w:pPr>
        <w:spacing w:after="0" w:line="360" w:lineRule="auto"/>
        <w:jc w:val="both"/>
        <w:rPr>
          <w:rFonts w:ascii="Century Gothic" w:hAnsi="Century Gothic" w:cs="Arial"/>
          <w:sz w:val="27"/>
          <w:szCs w:val="27"/>
          <w:lang w:val="es-ES_tradnl"/>
        </w:rPr>
      </w:pPr>
    </w:p>
    <w:p w14:paraId="40733A40" w14:textId="0F956CD6" w:rsidR="00935464" w:rsidRPr="002D7808" w:rsidRDefault="0090010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Por otra parte, en el plano interamericano que ha dado sustento a esta modificación constitucional mexicana, podemos destacar la Carta </w:t>
      </w:r>
      <w:r w:rsidR="00F767E3" w:rsidRPr="002D7808">
        <w:rPr>
          <w:rFonts w:ascii="Century Gothic" w:hAnsi="Century Gothic" w:cs="Arial"/>
          <w:sz w:val="27"/>
          <w:szCs w:val="27"/>
          <w:lang w:val="es-ES_tradnl"/>
        </w:rPr>
        <w:t>Democrática</w:t>
      </w:r>
      <w:r w:rsidRPr="002D7808">
        <w:rPr>
          <w:rFonts w:ascii="Century Gothic" w:hAnsi="Century Gothic" w:cs="Arial"/>
          <w:sz w:val="27"/>
          <w:szCs w:val="27"/>
          <w:lang w:val="es-ES_tradnl"/>
        </w:rPr>
        <w:t xml:space="preserve"> Interamericana que establece la </w:t>
      </w:r>
      <w:r w:rsidR="00F767E3" w:rsidRPr="002D7808">
        <w:rPr>
          <w:rFonts w:ascii="Century Gothic" w:hAnsi="Century Gothic" w:cs="Arial"/>
          <w:sz w:val="27"/>
          <w:szCs w:val="27"/>
          <w:lang w:val="es-ES_tradnl"/>
        </w:rPr>
        <w:t>obligación</w:t>
      </w:r>
      <w:r w:rsidRPr="002D7808">
        <w:rPr>
          <w:rFonts w:ascii="Century Gothic" w:hAnsi="Century Gothic" w:cs="Arial"/>
          <w:sz w:val="27"/>
          <w:szCs w:val="27"/>
          <w:lang w:val="es-ES_tradnl"/>
        </w:rPr>
        <w:t xml:space="preserve"> de los Estados de promover “la plena e igualitaria </w:t>
      </w:r>
      <w:r w:rsidR="00F767E3" w:rsidRPr="002D7808">
        <w:rPr>
          <w:rFonts w:ascii="Century Gothic" w:hAnsi="Century Gothic" w:cs="Arial"/>
          <w:sz w:val="27"/>
          <w:szCs w:val="27"/>
          <w:lang w:val="es-ES_tradnl"/>
        </w:rPr>
        <w:t>participación</w:t>
      </w:r>
      <w:r w:rsidRPr="002D7808">
        <w:rPr>
          <w:rFonts w:ascii="Century Gothic" w:hAnsi="Century Gothic" w:cs="Arial"/>
          <w:sz w:val="27"/>
          <w:szCs w:val="27"/>
          <w:lang w:val="es-ES_tradnl"/>
        </w:rPr>
        <w:t xml:space="preserve"> de la mujer en las estructuras </w:t>
      </w:r>
      <w:r w:rsidR="00F767E3" w:rsidRPr="002D7808">
        <w:rPr>
          <w:rFonts w:ascii="Century Gothic" w:hAnsi="Century Gothic" w:cs="Arial"/>
          <w:sz w:val="27"/>
          <w:szCs w:val="27"/>
          <w:lang w:val="es-ES_tradnl"/>
        </w:rPr>
        <w:t>políticas</w:t>
      </w:r>
      <w:r w:rsidRPr="002D7808">
        <w:rPr>
          <w:rFonts w:ascii="Century Gothic" w:hAnsi="Century Gothic" w:cs="Arial"/>
          <w:sz w:val="27"/>
          <w:szCs w:val="27"/>
          <w:lang w:val="es-ES_tradnl"/>
        </w:rPr>
        <w:t xml:space="preserve"> de sus respectivos </w:t>
      </w:r>
      <w:r w:rsidR="00F767E3" w:rsidRPr="002D7808">
        <w:rPr>
          <w:rFonts w:ascii="Century Gothic" w:hAnsi="Century Gothic" w:cs="Arial"/>
          <w:sz w:val="27"/>
          <w:szCs w:val="27"/>
          <w:lang w:val="es-ES_tradnl"/>
        </w:rPr>
        <w:t>países</w:t>
      </w:r>
      <w:r w:rsidRPr="002D7808">
        <w:rPr>
          <w:rFonts w:ascii="Century Gothic" w:hAnsi="Century Gothic" w:cs="Arial"/>
          <w:sz w:val="27"/>
          <w:szCs w:val="27"/>
          <w:lang w:val="es-ES_tradnl"/>
        </w:rPr>
        <w:t xml:space="preserve"> como elemento fundamental para la </w:t>
      </w:r>
      <w:r w:rsidR="00F767E3" w:rsidRPr="002D7808">
        <w:rPr>
          <w:rFonts w:ascii="Century Gothic" w:hAnsi="Century Gothic" w:cs="Arial"/>
          <w:sz w:val="27"/>
          <w:szCs w:val="27"/>
          <w:lang w:val="es-ES_tradnl"/>
        </w:rPr>
        <w:t>promoción</w:t>
      </w:r>
      <w:r w:rsidRPr="002D7808">
        <w:rPr>
          <w:rFonts w:ascii="Century Gothic" w:hAnsi="Century Gothic" w:cs="Arial"/>
          <w:sz w:val="27"/>
          <w:szCs w:val="27"/>
          <w:lang w:val="es-ES_tradnl"/>
        </w:rPr>
        <w:t xml:space="preserve"> y ejercicio de la cultura </w:t>
      </w:r>
      <w:r w:rsidR="00F767E3" w:rsidRPr="002D7808">
        <w:rPr>
          <w:rFonts w:ascii="Century Gothic" w:hAnsi="Century Gothic" w:cs="Arial"/>
          <w:sz w:val="27"/>
          <w:szCs w:val="27"/>
          <w:lang w:val="es-ES_tradnl"/>
        </w:rPr>
        <w:t>democrática</w:t>
      </w:r>
      <w:r w:rsidRPr="002D7808">
        <w:rPr>
          <w:rFonts w:ascii="Century Gothic" w:hAnsi="Century Gothic" w:cs="Arial"/>
          <w:sz w:val="27"/>
          <w:szCs w:val="27"/>
          <w:lang w:val="es-ES_tradnl"/>
        </w:rPr>
        <w:t>” (</w:t>
      </w:r>
      <w:r w:rsidR="00F767E3" w:rsidRPr="002D7808">
        <w:rPr>
          <w:rFonts w:ascii="Century Gothic" w:hAnsi="Century Gothic" w:cs="Arial"/>
          <w:sz w:val="27"/>
          <w:szCs w:val="27"/>
          <w:lang w:val="es-ES_tradnl"/>
        </w:rPr>
        <w:t>artículo</w:t>
      </w:r>
      <w:r w:rsidRPr="002D7808">
        <w:rPr>
          <w:rFonts w:ascii="Century Gothic" w:hAnsi="Century Gothic" w:cs="Arial"/>
          <w:sz w:val="27"/>
          <w:szCs w:val="27"/>
          <w:lang w:val="es-ES_tradnl"/>
        </w:rPr>
        <w:t xml:space="preserve"> 28). </w:t>
      </w:r>
    </w:p>
    <w:p w14:paraId="39C37578" w14:textId="77777777" w:rsidR="00935464" w:rsidRPr="002D7808" w:rsidRDefault="00935464" w:rsidP="003D714D">
      <w:pPr>
        <w:spacing w:after="0" w:line="360" w:lineRule="auto"/>
        <w:jc w:val="both"/>
        <w:rPr>
          <w:rFonts w:ascii="Century Gothic" w:hAnsi="Century Gothic" w:cs="Arial"/>
          <w:sz w:val="27"/>
          <w:szCs w:val="27"/>
          <w:lang w:val="es-ES_tradnl"/>
        </w:rPr>
      </w:pPr>
    </w:p>
    <w:p w14:paraId="7346340F" w14:textId="533AD81B" w:rsidR="00900106" w:rsidRPr="002D7808" w:rsidRDefault="001B334C"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 su vez,</w:t>
      </w:r>
      <w:r w:rsidR="00900106" w:rsidRPr="002D7808">
        <w:rPr>
          <w:rFonts w:ascii="Century Gothic" w:hAnsi="Century Gothic" w:cs="Arial"/>
          <w:sz w:val="27"/>
          <w:szCs w:val="27"/>
          <w:lang w:val="es-ES_tradnl"/>
        </w:rPr>
        <w:t xml:space="preserve"> la División de Asuntos de Género de la CEPAL, </w:t>
      </w:r>
      <w:r w:rsidR="00935464" w:rsidRPr="002D7808">
        <w:rPr>
          <w:rFonts w:ascii="Century Gothic" w:hAnsi="Century Gothic" w:cs="Arial"/>
          <w:sz w:val="27"/>
          <w:szCs w:val="27"/>
          <w:lang w:val="es-ES_tradnl"/>
        </w:rPr>
        <w:t xml:space="preserve">en su apartado sobre la Agenda 2030 para el Desarrollo Sostenible y el seguimiento de sus objetivos en el Observatorio de Igualdad de Género de América Latina y el Caribe, </w:t>
      </w:r>
      <w:r w:rsidR="00C40E92" w:rsidRPr="002D7808">
        <w:rPr>
          <w:rFonts w:ascii="Century Gothic" w:hAnsi="Century Gothic" w:cs="Arial"/>
          <w:sz w:val="27"/>
          <w:szCs w:val="27"/>
          <w:lang w:val="es-ES_tradnl"/>
        </w:rPr>
        <w:t>establece</w:t>
      </w:r>
      <w:r w:rsidR="00900106" w:rsidRPr="002D7808">
        <w:rPr>
          <w:rFonts w:ascii="Century Gothic" w:hAnsi="Century Gothic" w:cs="Arial"/>
          <w:sz w:val="27"/>
          <w:szCs w:val="27"/>
          <w:lang w:val="es-ES_tradnl"/>
        </w:rPr>
        <w:t xml:space="preserve"> entre </w:t>
      </w:r>
      <w:r w:rsidR="00971BE6" w:rsidRPr="002D7808">
        <w:rPr>
          <w:rFonts w:ascii="Century Gothic" w:hAnsi="Century Gothic" w:cs="Arial"/>
          <w:sz w:val="27"/>
          <w:szCs w:val="27"/>
          <w:lang w:val="es-ES_tradnl"/>
        </w:rPr>
        <w:t>las</w:t>
      </w:r>
      <w:r w:rsidR="00900106" w:rsidRPr="002D7808">
        <w:rPr>
          <w:rFonts w:ascii="Century Gothic" w:hAnsi="Century Gothic" w:cs="Arial"/>
          <w:sz w:val="27"/>
          <w:szCs w:val="27"/>
          <w:lang w:val="es-ES_tradnl"/>
        </w:rPr>
        <w:t xml:space="preserve"> prioridades </w:t>
      </w:r>
      <w:r w:rsidR="00935464" w:rsidRPr="002D7808">
        <w:rPr>
          <w:rFonts w:ascii="Century Gothic" w:hAnsi="Century Gothic" w:cs="Arial"/>
          <w:sz w:val="27"/>
          <w:szCs w:val="27"/>
          <w:lang w:val="es-ES_tradnl"/>
        </w:rPr>
        <w:t>de la Agenda 2030</w:t>
      </w:r>
      <w:r w:rsidR="00971BE6" w:rsidRPr="002D7808">
        <w:rPr>
          <w:rFonts w:ascii="Century Gothic" w:hAnsi="Century Gothic" w:cs="Arial"/>
          <w:sz w:val="27"/>
          <w:szCs w:val="27"/>
          <w:lang w:val="es-ES_tradnl"/>
        </w:rPr>
        <w:t xml:space="preserve"> </w:t>
      </w:r>
      <w:r w:rsidR="00CA3D11" w:rsidRPr="002D7808">
        <w:rPr>
          <w:rFonts w:ascii="Century Gothic" w:hAnsi="Century Gothic" w:cs="Arial"/>
          <w:sz w:val="27"/>
          <w:szCs w:val="27"/>
          <w:lang w:val="es-ES_tradnl"/>
        </w:rPr>
        <w:t>“</w:t>
      </w:r>
      <w:r w:rsidR="00900106" w:rsidRPr="002D7808">
        <w:rPr>
          <w:rFonts w:ascii="Century Gothic" w:hAnsi="Century Gothic" w:cs="Arial"/>
          <w:sz w:val="27"/>
          <w:szCs w:val="27"/>
          <w:lang w:val="es-ES_tradnl"/>
        </w:rPr>
        <w:t xml:space="preserve">la contribución de las mujeres a la economía y a la protección social, la participación política y la </w:t>
      </w:r>
      <w:r w:rsidR="00900106" w:rsidRPr="002D7808">
        <w:rPr>
          <w:rFonts w:ascii="Century Gothic" w:hAnsi="Century Gothic" w:cs="Arial"/>
          <w:i/>
          <w:sz w:val="27"/>
          <w:szCs w:val="27"/>
          <w:lang w:val="es-ES_tradnl"/>
        </w:rPr>
        <w:t>paridad de género</w:t>
      </w:r>
      <w:r w:rsidR="00900106" w:rsidRPr="002D7808">
        <w:rPr>
          <w:rFonts w:ascii="Century Gothic" w:hAnsi="Century Gothic" w:cs="Arial"/>
          <w:sz w:val="27"/>
          <w:szCs w:val="27"/>
          <w:lang w:val="es-ES_tradnl"/>
        </w:rPr>
        <w:t xml:space="preserve"> en los </w:t>
      </w:r>
      <w:r w:rsidR="00900106" w:rsidRPr="002D7808">
        <w:rPr>
          <w:rFonts w:ascii="Century Gothic" w:hAnsi="Century Gothic" w:cs="Arial"/>
          <w:sz w:val="27"/>
          <w:szCs w:val="27"/>
          <w:lang w:val="es-ES_tradnl"/>
        </w:rPr>
        <w:lastRenderedPageBreak/>
        <w:t>procesos de toma de decisiones en todos los niveles y el derecho de las mujeres al control de sus cuerpos y a vivir una vida libre de violencia. Sus ejes articuladores son las esferas de autonomía física, autonomía económica y autonomía de las mujeres en la toma de decisiones</w:t>
      </w:r>
      <w:r w:rsidR="00CA3D11" w:rsidRPr="002D7808">
        <w:rPr>
          <w:rFonts w:ascii="Century Gothic" w:hAnsi="Century Gothic" w:cs="Arial"/>
          <w:sz w:val="27"/>
          <w:szCs w:val="27"/>
          <w:lang w:val="es-ES_tradnl"/>
        </w:rPr>
        <w:t>”</w:t>
      </w:r>
      <w:r w:rsidR="00F152EB" w:rsidRPr="002D7808">
        <w:rPr>
          <w:rStyle w:val="Refdenotaalpie"/>
          <w:rFonts w:ascii="Century Gothic" w:hAnsi="Century Gothic" w:cs="Arial"/>
          <w:sz w:val="27"/>
          <w:szCs w:val="27"/>
          <w:lang w:val="es-ES_tradnl"/>
        </w:rPr>
        <w:footnoteReference w:id="19"/>
      </w:r>
      <w:r w:rsidR="00900106" w:rsidRPr="002D7808">
        <w:rPr>
          <w:rFonts w:ascii="Century Gothic" w:hAnsi="Century Gothic" w:cs="Arial"/>
          <w:sz w:val="27"/>
          <w:szCs w:val="27"/>
          <w:lang w:val="es-ES_tradnl"/>
        </w:rPr>
        <w:t>. Esta tendencia mundial, Latinoamericana y mexicana, significa un avance progresivo en el acceso de las mujeres a sus derechos político-electorales y exige que los lineamientos electorales garanticen la paridad plena en todos los sentidos y posibilidades.</w:t>
      </w:r>
    </w:p>
    <w:p w14:paraId="168445AF"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78453E2D" w14:textId="7B52D40D" w:rsidR="00802A16" w:rsidRPr="002D7808" w:rsidRDefault="00802A1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A partir de esta valoración conjunta del principio de paridad de género y de la necesidad de adoptar </w:t>
      </w:r>
      <w:r w:rsidR="00F74DE2" w:rsidRPr="002D7808">
        <w:rPr>
          <w:rFonts w:ascii="Century Gothic" w:hAnsi="Century Gothic" w:cs="Arial"/>
          <w:sz w:val="27"/>
          <w:szCs w:val="27"/>
          <w:lang w:val="es-ES_tradnl"/>
        </w:rPr>
        <w:t>mecanismos</w:t>
      </w:r>
      <w:r w:rsidRPr="002D7808">
        <w:rPr>
          <w:rFonts w:ascii="Century Gothic" w:hAnsi="Century Gothic" w:cs="Arial"/>
          <w:sz w:val="27"/>
          <w:szCs w:val="27"/>
          <w:lang w:val="es-ES_tradnl"/>
        </w:rPr>
        <w:t xml:space="preserve"> para garantizarlo, en el artículo 41, fracción I, segundo párrafo, de la Constitución General, se establece un mandato dirigido a los partidos políticos en el sentido de que deben presentar sus postulaciones de manera paritaria entre mujeres y hombres.</w:t>
      </w:r>
    </w:p>
    <w:p w14:paraId="5679D612" w14:textId="77777777" w:rsidR="00397B0C" w:rsidRPr="002D7808" w:rsidRDefault="00397B0C" w:rsidP="003D714D">
      <w:pPr>
        <w:spacing w:after="0" w:line="360" w:lineRule="auto"/>
        <w:jc w:val="both"/>
        <w:rPr>
          <w:rFonts w:ascii="Century Gothic" w:hAnsi="Century Gothic" w:cs="Arial"/>
          <w:sz w:val="27"/>
          <w:szCs w:val="27"/>
          <w:lang w:val="es-ES_tradnl"/>
        </w:rPr>
      </w:pPr>
    </w:p>
    <w:p w14:paraId="56980A72" w14:textId="6B71F668" w:rsidR="00901C34" w:rsidRPr="002D7808" w:rsidRDefault="00F74DE2"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Sobre este marco normativo, </w:t>
      </w:r>
      <w:r w:rsidR="00ED4D17" w:rsidRPr="002D7808">
        <w:rPr>
          <w:rFonts w:ascii="Century Gothic" w:hAnsi="Century Gothic" w:cs="Arial"/>
          <w:sz w:val="27"/>
          <w:szCs w:val="27"/>
          <w:lang w:val="es-ES_tradnl"/>
        </w:rPr>
        <w:t xml:space="preserve">se estima importante traer a colación que esta </w:t>
      </w:r>
      <w:r w:rsidR="00116271" w:rsidRPr="002D7808">
        <w:rPr>
          <w:rFonts w:ascii="Century Gothic" w:hAnsi="Century Gothic" w:cs="Arial"/>
          <w:sz w:val="27"/>
          <w:szCs w:val="27"/>
          <w:lang w:val="es-ES_tradnl"/>
        </w:rPr>
        <w:t xml:space="preserve">Sala Superior al resolver el expediente SUP-REC- 420/2018, razonó que el mandato constitucional de paridad de género exige que cada partido político presente de manera paritaria todas sus postulaciones, con independencia de si participa en lo individual o de forma </w:t>
      </w:r>
      <w:r w:rsidR="002462BF" w:rsidRPr="002D7808">
        <w:rPr>
          <w:rFonts w:ascii="Century Gothic" w:hAnsi="Century Gothic" w:cs="Arial"/>
          <w:sz w:val="27"/>
          <w:szCs w:val="27"/>
          <w:lang w:val="es-ES_tradnl"/>
        </w:rPr>
        <w:lastRenderedPageBreak/>
        <w:t>coaligada, lo</w:t>
      </w:r>
      <w:r w:rsidR="00116271" w:rsidRPr="002D7808">
        <w:rPr>
          <w:rFonts w:ascii="Century Gothic" w:hAnsi="Century Gothic" w:cs="Arial"/>
          <w:sz w:val="27"/>
          <w:szCs w:val="27"/>
          <w:lang w:val="es-ES_tradnl"/>
        </w:rPr>
        <w:t xml:space="preserve"> que implica </w:t>
      </w:r>
      <w:r w:rsidR="002462BF" w:rsidRPr="002D7808">
        <w:rPr>
          <w:rFonts w:ascii="Century Gothic" w:hAnsi="Century Gothic" w:cs="Arial"/>
          <w:sz w:val="27"/>
          <w:szCs w:val="27"/>
          <w:lang w:val="es-ES_tradnl"/>
        </w:rPr>
        <w:t>revisar íntegramente</w:t>
      </w:r>
      <w:r w:rsidR="00116271" w:rsidRPr="002D7808">
        <w:rPr>
          <w:rFonts w:ascii="Century Gothic" w:hAnsi="Century Gothic" w:cs="Arial"/>
          <w:sz w:val="27"/>
          <w:szCs w:val="27"/>
          <w:lang w:val="es-ES_tradnl"/>
        </w:rPr>
        <w:t xml:space="preserve"> las candidaturas de cada partido. </w:t>
      </w:r>
    </w:p>
    <w:p w14:paraId="0E06D797"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715A29A0" w14:textId="7B320206" w:rsidR="00ED4D17" w:rsidRPr="002D7808" w:rsidRDefault="00ED4D17"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Al respecto</w:t>
      </w:r>
      <w:r w:rsidR="00AF20F8" w:rsidRPr="002D7808">
        <w:rPr>
          <w:rFonts w:ascii="Century Gothic" w:hAnsi="Century Gothic" w:cs="Arial"/>
          <w:sz w:val="27"/>
          <w:szCs w:val="27"/>
          <w:lang w:val="es-ES_tradnl"/>
        </w:rPr>
        <w:t xml:space="preserve">, </w:t>
      </w:r>
      <w:r w:rsidRPr="002D7808">
        <w:rPr>
          <w:rFonts w:ascii="Century Gothic" w:hAnsi="Century Gothic" w:cs="Arial"/>
          <w:sz w:val="27"/>
          <w:szCs w:val="27"/>
          <w:lang w:val="es-ES_tradnl"/>
        </w:rPr>
        <w:t xml:space="preserve">conviene precisar </w:t>
      </w:r>
      <w:r w:rsidR="00AF20F8" w:rsidRPr="002D7808">
        <w:rPr>
          <w:rFonts w:ascii="Century Gothic" w:hAnsi="Century Gothic" w:cs="Arial"/>
          <w:sz w:val="27"/>
          <w:szCs w:val="27"/>
          <w:lang w:val="es-ES_tradnl"/>
        </w:rPr>
        <w:t>que,</w:t>
      </w:r>
      <w:r w:rsidRPr="002D7808">
        <w:rPr>
          <w:rFonts w:ascii="Century Gothic" w:hAnsi="Century Gothic" w:cs="Arial"/>
          <w:sz w:val="27"/>
          <w:szCs w:val="27"/>
          <w:lang w:val="es-ES_tradnl"/>
        </w:rPr>
        <w:t xml:space="preserve"> si bien dicho asunto versaba sobre el cumplimiento del principio de paridad de género </w:t>
      </w:r>
      <w:r w:rsidR="008C3DF7" w:rsidRPr="002D7808">
        <w:rPr>
          <w:rFonts w:ascii="Century Gothic" w:hAnsi="Century Gothic" w:cs="Arial"/>
          <w:sz w:val="27"/>
          <w:szCs w:val="27"/>
          <w:lang w:val="es-ES_tradnl"/>
        </w:rPr>
        <w:t xml:space="preserve">en candidaturas de mayoría relativa, lo cierto es que dicho criterio cobra aplicabilidad en este caso, pues también se define </w:t>
      </w:r>
      <w:r w:rsidR="00AF20F8" w:rsidRPr="002D7808">
        <w:rPr>
          <w:rFonts w:ascii="Century Gothic" w:hAnsi="Century Gothic" w:cs="Arial"/>
          <w:sz w:val="27"/>
          <w:szCs w:val="27"/>
          <w:lang w:val="es-ES_tradnl"/>
        </w:rPr>
        <w:t>que las candidaturas deben valorarse íntegramente con independencia de que sean postuladas en coalición o de manera individual</w:t>
      </w:r>
      <w:r w:rsidR="00FE3BB7" w:rsidRPr="002D7808">
        <w:rPr>
          <w:rFonts w:ascii="Century Gothic" w:hAnsi="Century Gothic" w:cs="Arial"/>
          <w:sz w:val="27"/>
          <w:szCs w:val="27"/>
          <w:lang w:val="es-ES_tradnl"/>
        </w:rPr>
        <w:t>, conforme al artículo 278 del Reglamento de Elecciones del INE.</w:t>
      </w:r>
    </w:p>
    <w:p w14:paraId="2E30652C"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613197FC" w14:textId="11A622AD" w:rsidR="000A69D7" w:rsidRPr="002D7808" w:rsidRDefault="000A69D7"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Así, en la ejecutoria referida se razonó que </w:t>
      </w:r>
      <w:r w:rsidR="00F74DE2" w:rsidRPr="002D7808">
        <w:rPr>
          <w:rFonts w:ascii="Century Gothic" w:hAnsi="Century Gothic" w:cs="Arial"/>
          <w:sz w:val="27"/>
          <w:szCs w:val="27"/>
          <w:lang w:val="es-ES_tradnl"/>
        </w:rPr>
        <w:t xml:space="preserve">la </w:t>
      </w:r>
      <w:r w:rsidRPr="002D7808">
        <w:rPr>
          <w:rFonts w:ascii="Century Gothic" w:hAnsi="Century Gothic" w:cs="Arial"/>
          <w:sz w:val="27"/>
          <w:szCs w:val="27"/>
          <w:lang w:val="es-ES_tradnl"/>
        </w:rPr>
        <w:t>exigencia se establece de manera individualizada para cada partido político, además de que no se prevé alguna disposición que condicione su cumplimiento a la forma como se decide participar en un proceso electoral en concreto (de manera individual o asociada).</w:t>
      </w:r>
    </w:p>
    <w:p w14:paraId="2D8D0A96"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1786039C" w14:textId="12F70E8A" w:rsidR="00AF20F8" w:rsidRPr="002D7808" w:rsidRDefault="00AF20F8"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 ese sentido, </w:t>
      </w:r>
      <w:r w:rsidR="002C677B" w:rsidRPr="002D7808">
        <w:rPr>
          <w:rFonts w:ascii="Century Gothic" w:hAnsi="Century Gothic" w:cs="Arial"/>
          <w:sz w:val="27"/>
          <w:szCs w:val="27"/>
          <w:lang w:val="es-ES_tradnl"/>
        </w:rPr>
        <w:t>para efectos extraer el género subrepresentado de las postulaciones de mayoría relativa y determinar qui</w:t>
      </w:r>
      <w:r w:rsidR="00A633EF">
        <w:rPr>
          <w:rFonts w:ascii="Century Gothic" w:hAnsi="Century Gothic" w:cs="Arial"/>
          <w:sz w:val="27"/>
          <w:szCs w:val="27"/>
          <w:lang w:val="es-ES_tradnl"/>
        </w:rPr>
        <w:t>é</w:t>
      </w:r>
      <w:r w:rsidR="002C677B" w:rsidRPr="002D7808">
        <w:rPr>
          <w:rFonts w:ascii="Century Gothic" w:hAnsi="Century Gothic" w:cs="Arial"/>
          <w:sz w:val="27"/>
          <w:szCs w:val="27"/>
          <w:lang w:val="es-ES_tradnl"/>
        </w:rPr>
        <w:t>n encabezar</w:t>
      </w:r>
      <w:r w:rsidR="00A633EF">
        <w:rPr>
          <w:rFonts w:ascii="Century Gothic" w:hAnsi="Century Gothic" w:cs="Arial"/>
          <w:sz w:val="27"/>
          <w:szCs w:val="27"/>
          <w:lang w:val="es-ES_tradnl"/>
        </w:rPr>
        <w:t>á</w:t>
      </w:r>
      <w:r w:rsidR="002C677B" w:rsidRPr="002D7808">
        <w:rPr>
          <w:rFonts w:ascii="Century Gothic" w:hAnsi="Century Gothic" w:cs="Arial"/>
          <w:sz w:val="27"/>
          <w:szCs w:val="27"/>
          <w:lang w:val="es-ES_tradnl"/>
        </w:rPr>
        <w:t xml:space="preserve"> la lista de diputaciones por el principio de representación proporcional deben considerarse las postulaciones de forma íntegra, es decir, de cada partido más allá de que lo haya hecho en lo individual o en coalición.</w:t>
      </w:r>
    </w:p>
    <w:p w14:paraId="0AF12152"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3FB3EC33" w14:textId="5F97F338" w:rsidR="002C677B" w:rsidRPr="002D7808" w:rsidRDefault="002C677B"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lastRenderedPageBreak/>
        <w:t xml:space="preserve">Lo anterior, es congruente con la modificación a los propios Lineamientos, </w:t>
      </w:r>
      <w:bookmarkStart w:id="4" w:name="_Hlk517111721"/>
      <w:r w:rsidRPr="002D7808">
        <w:rPr>
          <w:rFonts w:ascii="Century Gothic" w:hAnsi="Century Gothic" w:cs="Arial"/>
          <w:sz w:val="27"/>
          <w:szCs w:val="27"/>
          <w:lang w:val="es-ES_tradnl"/>
        </w:rPr>
        <w:t>en la que se desagregó la figura de la coalición, precisamente, en cumplimiento al artículo 278 del Reglamento de Elecciones del instituto Nacional Electoral.</w:t>
      </w:r>
    </w:p>
    <w:bookmarkEnd w:id="4"/>
    <w:p w14:paraId="635AA088"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183E5CDA" w14:textId="26CD5E8B" w:rsidR="00CB4DF7" w:rsidRPr="002D7808" w:rsidRDefault="00CB4DF7" w:rsidP="003D714D">
      <w:pPr>
        <w:spacing w:after="0" w:line="360" w:lineRule="auto"/>
        <w:jc w:val="both"/>
        <w:rPr>
          <w:rFonts w:ascii="Century Gothic" w:hAnsi="Century Gothic" w:cs="Arial"/>
          <w:sz w:val="27"/>
          <w:szCs w:val="27"/>
          <w:lang w:val="es-ES_tradnl"/>
        </w:rPr>
      </w:pPr>
      <w:bookmarkStart w:id="5" w:name="_Hlk517111929"/>
      <w:r w:rsidRPr="002D7808">
        <w:rPr>
          <w:rFonts w:ascii="Century Gothic" w:hAnsi="Century Gothic" w:cs="Arial"/>
          <w:sz w:val="27"/>
          <w:szCs w:val="27"/>
          <w:lang w:val="es-ES_tradnl"/>
        </w:rPr>
        <w:t>Ello, porque en estima de esta Sala la intención del referido artículo es asegurar que los partidos que se han coaligado parcialmente respeten también por la coalición las postulaciones paritarias.</w:t>
      </w:r>
    </w:p>
    <w:bookmarkEnd w:id="5"/>
    <w:p w14:paraId="2FB0CBDF"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7DDBE5C4" w14:textId="61F7E812" w:rsidR="000A69D7" w:rsidRPr="002D7808" w:rsidRDefault="00435FF6"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 partir de ello</w:t>
      </w:r>
      <w:r w:rsidR="002C677B" w:rsidRPr="002D7808">
        <w:rPr>
          <w:rFonts w:ascii="Century Gothic" w:hAnsi="Century Gothic" w:cs="Arial"/>
          <w:sz w:val="27"/>
          <w:szCs w:val="27"/>
          <w:lang w:val="es-ES_tradnl"/>
        </w:rPr>
        <w:t xml:space="preserve">, </w:t>
      </w:r>
      <w:bookmarkStart w:id="6" w:name="_Hlk517112013"/>
      <w:r w:rsidR="002C677B" w:rsidRPr="002D7808">
        <w:rPr>
          <w:rFonts w:ascii="Century Gothic" w:hAnsi="Century Gothic" w:cs="Arial"/>
          <w:sz w:val="27"/>
          <w:szCs w:val="27"/>
          <w:lang w:val="es-ES_tradnl"/>
        </w:rPr>
        <w:t>se considera incorrecta la interpretación realizada por la Sal</w:t>
      </w:r>
      <w:r w:rsidR="000A69D7" w:rsidRPr="002D7808">
        <w:rPr>
          <w:rFonts w:ascii="Century Gothic" w:hAnsi="Century Gothic" w:cs="Arial"/>
          <w:sz w:val="27"/>
          <w:szCs w:val="27"/>
          <w:lang w:val="es-ES_tradnl"/>
        </w:rPr>
        <w:t>a</w:t>
      </w:r>
      <w:r w:rsidR="002C677B" w:rsidRPr="002D7808">
        <w:rPr>
          <w:rFonts w:ascii="Century Gothic" w:hAnsi="Century Gothic" w:cs="Arial"/>
          <w:sz w:val="27"/>
          <w:szCs w:val="27"/>
          <w:lang w:val="es-ES_tradnl"/>
        </w:rPr>
        <w:t xml:space="preserve"> responsable, </w:t>
      </w:r>
      <w:r w:rsidR="000A69D7" w:rsidRPr="002D7808">
        <w:rPr>
          <w:rFonts w:ascii="Century Gothic" w:hAnsi="Century Gothic" w:cs="Arial"/>
          <w:sz w:val="27"/>
          <w:szCs w:val="27"/>
          <w:lang w:val="es-ES_tradnl"/>
        </w:rPr>
        <w:t xml:space="preserve">porque </w:t>
      </w:r>
      <w:r w:rsidRPr="002D7808">
        <w:rPr>
          <w:rFonts w:ascii="Century Gothic" w:hAnsi="Century Gothic" w:cs="Arial"/>
          <w:sz w:val="27"/>
          <w:szCs w:val="27"/>
          <w:lang w:val="es-ES_tradnl"/>
        </w:rPr>
        <w:t>derivado</w:t>
      </w:r>
      <w:r w:rsidR="000A69D7" w:rsidRPr="002D7808">
        <w:rPr>
          <w:rFonts w:ascii="Century Gothic" w:hAnsi="Century Gothic" w:cs="Arial"/>
          <w:sz w:val="27"/>
          <w:szCs w:val="27"/>
          <w:lang w:val="es-ES_tradnl"/>
        </w:rPr>
        <w:t xml:space="preserve"> del criterio sustentado por esta </w:t>
      </w:r>
      <w:r w:rsidRPr="002D7808">
        <w:rPr>
          <w:rFonts w:ascii="Century Gothic" w:hAnsi="Century Gothic" w:cs="Arial"/>
          <w:sz w:val="27"/>
          <w:szCs w:val="27"/>
          <w:lang w:val="es-ES_tradnl"/>
        </w:rPr>
        <w:t>S</w:t>
      </w:r>
      <w:r w:rsidR="000A69D7" w:rsidRPr="002D7808">
        <w:rPr>
          <w:rFonts w:ascii="Century Gothic" w:hAnsi="Century Gothic" w:cs="Arial"/>
          <w:sz w:val="27"/>
          <w:szCs w:val="27"/>
          <w:lang w:val="es-ES_tradnl"/>
        </w:rPr>
        <w:t xml:space="preserve">ala </w:t>
      </w:r>
      <w:r w:rsidRPr="002D7808">
        <w:rPr>
          <w:rFonts w:ascii="Century Gothic" w:hAnsi="Century Gothic" w:cs="Arial"/>
          <w:sz w:val="27"/>
          <w:szCs w:val="27"/>
          <w:lang w:val="es-ES_tradnl"/>
        </w:rPr>
        <w:t xml:space="preserve">Superior </w:t>
      </w:r>
      <w:r w:rsidR="000A69D7" w:rsidRPr="002D7808">
        <w:rPr>
          <w:rFonts w:ascii="Century Gothic" w:hAnsi="Century Gothic" w:cs="Arial"/>
          <w:sz w:val="27"/>
          <w:szCs w:val="27"/>
          <w:lang w:val="es-ES_tradnl"/>
        </w:rPr>
        <w:t>en el fallo referido, debió atender la postulación de las candidaturas de cada partido, con independencia de que hayan postulado en coalición o de manera separado.</w:t>
      </w:r>
    </w:p>
    <w:bookmarkEnd w:id="6"/>
    <w:p w14:paraId="7E8EDD97"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2FF84A6F" w14:textId="1B1658C4" w:rsidR="00F3175E" w:rsidRPr="002D7808" w:rsidRDefault="00F3175E"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Tomando como base la interpretación anterior, debe</w:t>
      </w:r>
      <w:r w:rsidR="00397B0C" w:rsidRPr="002D7808">
        <w:rPr>
          <w:rFonts w:ascii="Century Gothic" w:hAnsi="Century Gothic" w:cs="Arial"/>
          <w:sz w:val="27"/>
          <w:szCs w:val="27"/>
          <w:lang w:val="es-ES_tradnl"/>
        </w:rPr>
        <w:t>n</w:t>
      </w:r>
      <w:r w:rsidRPr="002D7808">
        <w:rPr>
          <w:rFonts w:ascii="Century Gothic" w:hAnsi="Century Gothic" w:cs="Arial"/>
          <w:sz w:val="27"/>
          <w:szCs w:val="27"/>
          <w:lang w:val="es-ES_tradnl"/>
        </w:rPr>
        <w:t xml:space="preserve"> verificarse las postulaciones de </w:t>
      </w:r>
      <w:r w:rsidR="00A6401A" w:rsidRPr="002D7808">
        <w:rPr>
          <w:rFonts w:ascii="Century Gothic" w:hAnsi="Century Gothic" w:cs="Arial"/>
          <w:sz w:val="27"/>
          <w:szCs w:val="27"/>
          <w:lang w:val="es-ES_tradnl"/>
        </w:rPr>
        <w:t>candidaturas las diputaciones locales de mayoría relativa postuladas por el PT, para poder determinar el género que debía encabezar la lista.</w:t>
      </w:r>
    </w:p>
    <w:p w14:paraId="0458CFEB" w14:textId="77777777" w:rsidR="00A0236E" w:rsidRPr="002D7808" w:rsidRDefault="00A0236E" w:rsidP="003D714D">
      <w:pPr>
        <w:spacing w:after="0" w:line="360" w:lineRule="auto"/>
        <w:jc w:val="both"/>
        <w:rPr>
          <w:rFonts w:ascii="Century Gothic" w:hAnsi="Century Gothic" w:cs="Arial"/>
          <w:sz w:val="27"/>
          <w:szCs w:val="27"/>
          <w:lang w:val="es-ES_tradnl"/>
        </w:rPr>
      </w:pPr>
    </w:p>
    <w:p w14:paraId="3EFE270E" w14:textId="65891035" w:rsidR="00435FF6" w:rsidRDefault="00F3175E" w:rsidP="003D714D">
      <w:pPr>
        <w:spacing w:after="0" w:line="360" w:lineRule="auto"/>
        <w:jc w:val="both"/>
        <w:rPr>
          <w:rFonts w:ascii="Century Gothic" w:hAnsi="Century Gothic" w:cs="Arial"/>
          <w:b/>
          <w:sz w:val="27"/>
          <w:szCs w:val="27"/>
          <w:lang w:val="es-ES_tradnl"/>
        </w:rPr>
      </w:pPr>
      <w:r w:rsidRPr="002D7808">
        <w:rPr>
          <w:rFonts w:ascii="Century Gothic" w:hAnsi="Century Gothic" w:cs="Arial"/>
          <w:b/>
          <w:sz w:val="27"/>
          <w:szCs w:val="27"/>
          <w:lang w:val="es-ES_tradnl"/>
        </w:rPr>
        <w:t>3. Postulación de candidaturas del PT en mayoría relativa y género subrepresentado.</w:t>
      </w:r>
    </w:p>
    <w:p w14:paraId="07BD7B1A" w14:textId="77777777" w:rsidR="00A51E52" w:rsidRDefault="00A51E52" w:rsidP="003D714D">
      <w:pPr>
        <w:spacing w:after="0" w:line="360" w:lineRule="auto"/>
        <w:jc w:val="both"/>
        <w:rPr>
          <w:rFonts w:ascii="Century Gothic" w:hAnsi="Century Gothic" w:cs="Arial"/>
          <w:sz w:val="27"/>
          <w:szCs w:val="27"/>
          <w:lang w:val="es-ES_tradnl"/>
        </w:rPr>
      </w:pPr>
    </w:p>
    <w:p w14:paraId="167A7A92" w14:textId="3FFDD412" w:rsidR="00F3175E" w:rsidRDefault="00F3175E"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lastRenderedPageBreak/>
        <w:t>En principio, debe dejarse claro que está fuera de controversia el cumplimiento del mandato de paridad de género en las candidaturas a las diputaciones locales por el principio de mayoría relativa postuladas por el PT.</w:t>
      </w:r>
    </w:p>
    <w:p w14:paraId="364FF0AE" w14:textId="77777777" w:rsidR="005D41E4" w:rsidRPr="002D7808" w:rsidRDefault="005D41E4" w:rsidP="003D714D">
      <w:pPr>
        <w:spacing w:after="0" w:line="360" w:lineRule="auto"/>
        <w:jc w:val="both"/>
        <w:rPr>
          <w:rFonts w:ascii="Century Gothic" w:hAnsi="Century Gothic" w:cs="Arial"/>
          <w:sz w:val="27"/>
          <w:szCs w:val="27"/>
          <w:lang w:val="es-ES_tradnl"/>
        </w:rPr>
      </w:pPr>
    </w:p>
    <w:p w14:paraId="1753D218" w14:textId="00B72A5F" w:rsidR="00C91B1B" w:rsidRPr="002D7808" w:rsidRDefault="00F3175E"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Empero, es necesario verificar las postulaciones por dicho principio, </w:t>
      </w:r>
      <w:r w:rsidR="00C91B1B" w:rsidRPr="002D7808">
        <w:rPr>
          <w:rFonts w:ascii="Century Gothic" w:hAnsi="Century Gothic" w:cs="Arial"/>
          <w:sz w:val="27"/>
          <w:szCs w:val="27"/>
          <w:lang w:val="es-ES_tradnl"/>
        </w:rPr>
        <w:t xml:space="preserve">únicamente </w:t>
      </w:r>
      <w:r w:rsidRPr="002D7808">
        <w:rPr>
          <w:rFonts w:ascii="Century Gothic" w:hAnsi="Century Gothic" w:cs="Arial"/>
          <w:sz w:val="27"/>
          <w:szCs w:val="27"/>
          <w:lang w:val="es-ES_tradnl"/>
        </w:rPr>
        <w:t xml:space="preserve">para </w:t>
      </w:r>
      <w:r w:rsidR="00A6401A" w:rsidRPr="002D7808">
        <w:rPr>
          <w:rFonts w:ascii="Century Gothic" w:hAnsi="Century Gothic" w:cs="Arial"/>
          <w:sz w:val="27"/>
          <w:szCs w:val="27"/>
          <w:lang w:val="es-ES_tradnl"/>
        </w:rPr>
        <w:t xml:space="preserve">efectos de determinar </w:t>
      </w:r>
      <w:r w:rsidRPr="002D7808">
        <w:rPr>
          <w:rFonts w:ascii="Century Gothic" w:hAnsi="Century Gothic" w:cs="Arial"/>
          <w:sz w:val="27"/>
          <w:szCs w:val="27"/>
          <w:lang w:val="es-ES_tradnl"/>
        </w:rPr>
        <w:t>si, como lo refirió la actora, el género de mujer deb</w:t>
      </w:r>
      <w:r w:rsidR="00A6401A" w:rsidRPr="002D7808">
        <w:rPr>
          <w:rFonts w:ascii="Century Gothic" w:hAnsi="Century Gothic" w:cs="Arial"/>
          <w:sz w:val="27"/>
          <w:szCs w:val="27"/>
          <w:lang w:val="es-ES_tradnl"/>
        </w:rPr>
        <w:t>ía</w:t>
      </w:r>
      <w:r w:rsidRPr="002D7808">
        <w:rPr>
          <w:rFonts w:ascii="Century Gothic" w:hAnsi="Century Gothic" w:cs="Arial"/>
          <w:sz w:val="27"/>
          <w:szCs w:val="27"/>
          <w:lang w:val="es-ES_tradnl"/>
        </w:rPr>
        <w:t xml:space="preserve"> encabezar la lista de candidaturas a las </w:t>
      </w:r>
      <w:r w:rsidR="00C91B1B" w:rsidRPr="002D7808">
        <w:rPr>
          <w:rFonts w:ascii="Century Gothic" w:hAnsi="Century Gothic" w:cs="Arial"/>
          <w:sz w:val="27"/>
          <w:szCs w:val="27"/>
          <w:lang w:val="es-ES_tradnl"/>
        </w:rPr>
        <w:t>diputaciones por el principio de representación proporcional, al haber quedo subrepresentadas</w:t>
      </w:r>
      <w:r w:rsidR="00A6401A" w:rsidRPr="002D7808">
        <w:rPr>
          <w:rFonts w:ascii="Century Gothic" w:hAnsi="Century Gothic" w:cs="Arial"/>
          <w:sz w:val="27"/>
          <w:szCs w:val="27"/>
          <w:lang w:val="es-ES_tradnl"/>
        </w:rPr>
        <w:t xml:space="preserve"> en mayoría relativa</w:t>
      </w:r>
      <w:r w:rsidR="00C91B1B" w:rsidRPr="002D7808">
        <w:rPr>
          <w:rFonts w:ascii="Century Gothic" w:hAnsi="Century Gothic" w:cs="Arial"/>
          <w:sz w:val="27"/>
          <w:szCs w:val="27"/>
          <w:lang w:val="es-ES_tradnl"/>
        </w:rPr>
        <w:t>.</w:t>
      </w:r>
    </w:p>
    <w:p w14:paraId="0DE13237"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26F1E14E" w14:textId="19BCF2B2" w:rsidR="00C22FA0" w:rsidRPr="002D7808" w:rsidRDefault="00C91B1B"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Como se señaló en los antecedentes, el doce de enero último, el Consejo General del Instituto Electoral local aprobó el convenio de coalición parcial suscrito por los partidos MORENA, PES y PT, </w:t>
      </w:r>
      <w:r w:rsidRPr="002D7808">
        <w:rPr>
          <w:rStyle w:val="Ttulo2Car"/>
          <w:rFonts w:ascii="Century Gothic" w:hAnsi="Century Gothic" w:cs="Arial"/>
          <w:b w:val="0"/>
          <w:sz w:val="27"/>
          <w:szCs w:val="27"/>
        </w:rPr>
        <w:t xml:space="preserve">con la finalidad de postular por el principio de mayoría relativa, catorce fórmulas de candidaturas a las diputaciones locales </w:t>
      </w:r>
      <w:r w:rsidR="00C22FA0" w:rsidRPr="002D7808">
        <w:rPr>
          <w:rStyle w:val="Ttulo2Car"/>
          <w:rFonts w:ascii="Century Gothic" w:hAnsi="Century Gothic" w:cs="Arial"/>
          <w:b w:val="0"/>
          <w:sz w:val="27"/>
          <w:szCs w:val="27"/>
        </w:rPr>
        <w:t>de</w:t>
      </w:r>
      <w:r w:rsidRPr="002D7808">
        <w:rPr>
          <w:rStyle w:val="Ttulo2Car"/>
          <w:rFonts w:ascii="Century Gothic" w:hAnsi="Century Gothic" w:cs="Arial"/>
          <w:b w:val="0"/>
          <w:sz w:val="27"/>
          <w:szCs w:val="27"/>
        </w:rPr>
        <w:t xml:space="preserve"> quince distritos</w:t>
      </w:r>
      <w:r w:rsidRPr="002D7808">
        <w:rPr>
          <w:rFonts w:ascii="Century Gothic" w:hAnsi="Century Gothic" w:cs="Arial"/>
          <w:sz w:val="27"/>
          <w:szCs w:val="27"/>
          <w:lang w:val="es-ES_tradnl"/>
        </w:rPr>
        <w:t>.</w:t>
      </w:r>
    </w:p>
    <w:p w14:paraId="0522DEB2"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695789F8" w14:textId="6231708D" w:rsidR="00C91B1B" w:rsidRPr="002D7808" w:rsidRDefault="00C91B1B"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 un anexo agregado al final del acuerdo se advierte que al PT le correspondió postular </w:t>
      </w:r>
      <w:r w:rsidR="00C22FA0" w:rsidRPr="002D7808">
        <w:rPr>
          <w:rFonts w:ascii="Century Gothic" w:hAnsi="Century Gothic" w:cs="Arial"/>
          <w:sz w:val="27"/>
          <w:szCs w:val="27"/>
          <w:lang w:val="es-ES_tradnl"/>
        </w:rPr>
        <w:t>en los distritos IV, V, VII</w:t>
      </w:r>
      <w:r w:rsidR="00872CCB">
        <w:rPr>
          <w:rFonts w:ascii="Century Gothic" w:hAnsi="Century Gothic" w:cs="Arial"/>
          <w:sz w:val="27"/>
          <w:szCs w:val="27"/>
          <w:lang w:val="es-ES_tradnl"/>
        </w:rPr>
        <w:t>I</w:t>
      </w:r>
      <w:r w:rsidR="00C22FA0" w:rsidRPr="002D7808">
        <w:rPr>
          <w:rFonts w:ascii="Century Gothic" w:hAnsi="Century Gothic" w:cs="Arial"/>
          <w:sz w:val="27"/>
          <w:szCs w:val="27"/>
          <w:lang w:val="es-ES_tradnl"/>
        </w:rPr>
        <w:t xml:space="preserve"> y XI, mientras que dicho partido postularía de manera individual en el distrito XII.</w:t>
      </w:r>
    </w:p>
    <w:p w14:paraId="3985ED93" w14:textId="77777777" w:rsidR="00EC4220" w:rsidRPr="002D7808" w:rsidRDefault="00EC4220" w:rsidP="003D714D">
      <w:pPr>
        <w:spacing w:after="0" w:line="360" w:lineRule="auto"/>
        <w:jc w:val="both"/>
        <w:rPr>
          <w:rFonts w:ascii="Century Gothic" w:hAnsi="Century Gothic" w:cs="Arial"/>
          <w:sz w:val="27"/>
          <w:szCs w:val="27"/>
          <w:lang w:val="es-ES_tradnl"/>
        </w:rPr>
      </w:pPr>
    </w:p>
    <w:p w14:paraId="44368709" w14:textId="1283924F" w:rsidR="00F3175E" w:rsidRPr="002D7808" w:rsidRDefault="00C22FA0" w:rsidP="003D714D">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Ahora bien, del acuerdo por el que el referido Consejo General determinó el cumplimiento del principio de paridad </w:t>
      </w:r>
      <w:r w:rsidRPr="002D7808">
        <w:rPr>
          <w:rFonts w:ascii="Century Gothic" w:hAnsi="Century Gothic" w:cs="Arial"/>
          <w:sz w:val="27"/>
          <w:szCs w:val="27"/>
          <w:lang w:val="es-ES_tradnl"/>
        </w:rPr>
        <w:lastRenderedPageBreak/>
        <w:t>de género en las candidaturas de mayoría relativa de la coalición, se advierte que el PT postuló de la siguiente forma:</w:t>
      </w:r>
    </w:p>
    <w:p w14:paraId="3370F51F" w14:textId="77777777" w:rsidR="00173F34" w:rsidRPr="002D7808" w:rsidRDefault="00173F34" w:rsidP="003D714D">
      <w:pPr>
        <w:spacing w:after="0" w:line="360" w:lineRule="auto"/>
        <w:jc w:val="both"/>
        <w:rPr>
          <w:rFonts w:ascii="Century Gothic" w:hAnsi="Century Gothic" w:cs="Arial"/>
          <w:sz w:val="27"/>
          <w:szCs w:val="27"/>
          <w:lang w:val="es-ES_tradnl"/>
        </w:rPr>
      </w:pPr>
    </w:p>
    <w:tbl>
      <w:tblPr>
        <w:tblStyle w:val="Tablaconcuadrcula"/>
        <w:tblW w:w="0" w:type="auto"/>
        <w:jc w:val="center"/>
        <w:tblLook w:val="04A0" w:firstRow="1" w:lastRow="0" w:firstColumn="1" w:lastColumn="0" w:noHBand="0" w:noVBand="1"/>
      </w:tblPr>
      <w:tblGrid>
        <w:gridCol w:w="948"/>
        <w:gridCol w:w="1063"/>
      </w:tblGrid>
      <w:tr w:rsidR="00CC60F6" w:rsidRPr="00A51E52" w14:paraId="28F73368" w14:textId="77777777" w:rsidTr="00C22FA0">
        <w:trPr>
          <w:trHeight w:val="459"/>
          <w:tblHeader/>
          <w:jc w:val="center"/>
        </w:trPr>
        <w:tc>
          <w:tcPr>
            <w:tcW w:w="0" w:type="auto"/>
            <w:shd w:val="clear" w:color="auto" w:fill="BFBFBF" w:themeFill="background1" w:themeFillShade="BF"/>
            <w:vAlign w:val="center"/>
          </w:tcPr>
          <w:p w14:paraId="25E17E47" w14:textId="75DA7902" w:rsidR="00C22FA0" w:rsidRPr="00A51E52" w:rsidRDefault="00C22FA0" w:rsidP="003D714D">
            <w:pPr>
              <w:tabs>
                <w:tab w:val="left" w:pos="7185"/>
              </w:tabs>
              <w:spacing w:before="100" w:beforeAutospacing="1" w:after="100" w:afterAutospacing="1"/>
              <w:jc w:val="center"/>
              <w:rPr>
                <w:rFonts w:ascii="Century Gothic" w:hAnsi="Century Gothic" w:cs="Arial"/>
                <w:b/>
                <w:bCs/>
                <w:sz w:val="23"/>
                <w:szCs w:val="23"/>
              </w:rPr>
            </w:pPr>
            <w:r w:rsidRPr="00A51E52">
              <w:rPr>
                <w:rFonts w:ascii="Century Gothic" w:hAnsi="Century Gothic" w:cs="Arial"/>
                <w:b/>
                <w:bCs/>
                <w:sz w:val="23"/>
                <w:szCs w:val="23"/>
              </w:rPr>
              <w:t>Distrito</w:t>
            </w:r>
          </w:p>
        </w:tc>
        <w:tc>
          <w:tcPr>
            <w:tcW w:w="0" w:type="auto"/>
            <w:shd w:val="clear" w:color="auto" w:fill="BFBFBF" w:themeFill="background1" w:themeFillShade="BF"/>
            <w:vAlign w:val="center"/>
          </w:tcPr>
          <w:p w14:paraId="56B64162" w14:textId="5DBEC653" w:rsidR="00C22FA0" w:rsidRPr="00A51E52" w:rsidRDefault="000E2E6A" w:rsidP="003D714D">
            <w:pPr>
              <w:tabs>
                <w:tab w:val="left" w:pos="7185"/>
              </w:tabs>
              <w:spacing w:before="100" w:beforeAutospacing="1" w:after="100" w:afterAutospacing="1"/>
              <w:jc w:val="center"/>
              <w:rPr>
                <w:rFonts w:ascii="Century Gothic" w:hAnsi="Century Gothic" w:cs="Arial"/>
                <w:b/>
                <w:bCs/>
                <w:sz w:val="23"/>
                <w:szCs w:val="23"/>
              </w:rPr>
            </w:pPr>
            <w:r w:rsidRPr="00A51E52">
              <w:rPr>
                <w:rFonts w:ascii="Century Gothic" w:hAnsi="Century Gothic" w:cs="Arial"/>
                <w:b/>
                <w:bCs/>
                <w:sz w:val="23"/>
                <w:szCs w:val="23"/>
              </w:rPr>
              <w:t>Género</w:t>
            </w:r>
          </w:p>
        </w:tc>
      </w:tr>
      <w:tr w:rsidR="00CC60F6" w:rsidRPr="00A51E52" w14:paraId="6EBE76E2" w14:textId="77777777" w:rsidTr="00C22FA0">
        <w:trPr>
          <w:trHeight w:val="229"/>
          <w:jc w:val="center"/>
        </w:trPr>
        <w:tc>
          <w:tcPr>
            <w:tcW w:w="0" w:type="auto"/>
            <w:vAlign w:val="center"/>
          </w:tcPr>
          <w:p w14:paraId="2E7BD85A" w14:textId="38047770" w:rsidR="00C22FA0" w:rsidRPr="00A51E52" w:rsidRDefault="00C22FA0"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IV</w:t>
            </w:r>
          </w:p>
        </w:tc>
        <w:tc>
          <w:tcPr>
            <w:tcW w:w="0" w:type="auto"/>
            <w:vAlign w:val="center"/>
          </w:tcPr>
          <w:p w14:paraId="6027B7AE" w14:textId="7ACB5031" w:rsidR="00C22FA0" w:rsidRPr="00A51E52" w:rsidRDefault="000E2E6A"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H</w:t>
            </w:r>
          </w:p>
        </w:tc>
      </w:tr>
      <w:tr w:rsidR="00CC60F6" w:rsidRPr="00A51E52" w14:paraId="4DC36019" w14:textId="77777777" w:rsidTr="00C22FA0">
        <w:trPr>
          <w:trHeight w:val="229"/>
          <w:jc w:val="center"/>
        </w:trPr>
        <w:tc>
          <w:tcPr>
            <w:tcW w:w="0" w:type="auto"/>
            <w:vAlign w:val="center"/>
          </w:tcPr>
          <w:p w14:paraId="062B0F60" w14:textId="2C967682" w:rsidR="00C22FA0" w:rsidRPr="00A51E52" w:rsidRDefault="00C22FA0"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V</w:t>
            </w:r>
          </w:p>
        </w:tc>
        <w:tc>
          <w:tcPr>
            <w:tcW w:w="0" w:type="auto"/>
            <w:vAlign w:val="center"/>
          </w:tcPr>
          <w:p w14:paraId="3CF99484" w14:textId="64D0532C" w:rsidR="00C22FA0" w:rsidRPr="00A51E52" w:rsidRDefault="000E2E6A"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M</w:t>
            </w:r>
          </w:p>
        </w:tc>
      </w:tr>
      <w:tr w:rsidR="00CC60F6" w:rsidRPr="00A51E52" w14:paraId="22EDBD34" w14:textId="77777777" w:rsidTr="00C22FA0">
        <w:trPr>
          <w:trHeight w:val="229"/>
          <w:jc w:val="center"/>
        </w:trPr>
        <w:tc>
          <w:tcPr>
            <w:tcW w:w="0" w:type="auto"/>
            <w:vAlign w:val="center"/>
          </w:tcPr>
          <w:p w14:paraId="69EF2662" w14:textId="2ABDC4B8" w:rsidR="00C22FA0" w:rsidRPr="00A51E52" w:rsidRDefault="00C22FA0"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VII</w:t>
            </w:r>
            <w:r w:rsidR="007C5EAC" w:rsidRPr="00A51E52">
              <w:rPr>
                <w:rFonts w:ascii="Century Gothic" w:hAnsi="Century Gothic" w:cs="Arial"/>
                <w:bCs/>
                <w:sz w:val="23"/>
                <w:szCs w:val="23"/>
              </w:rPr>
              <w:t>I</w:t>
            </w:r>
          </w:p>
        </w:tc>
        <w:tc>
          <w:tcPr>
            <w:tcW w:w="0" w:type="auto"/>
            <w:vAlign w:val="center"/>
          </w:tcPr>
          <w:p w14:paraId="16A06920" w14:textId="2713A411" w:rsidR="00C22FA0" w:rsidRPr="00A51E52" w:rsidRDefault="000E2E6A"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H</w:t>
            </w:r>
          </w:p>
        </w:tc>
      </w:tr>
      <w:tr w:rsidR="00C22FA0" w:rsidRPr="00A51E52" w14:paraId="224FEC5E" w14:textId="77777777" w:rsidTr="00C22FA0">
        <w:trPr>
          <w:trHeight w:val="229"/>
          <w:jc w:val="center"/>
        </w:trPr>
        <w:tc>
          <w:tcPr>
            <w:tcW w:w="0" w:type="auto"/>
            <w:vAlign w:val="center"/>
          </w:tcPr>
          <w:p w14:paraId="6E17929C" w14:textId="0E5509BB" w:rsidR="00C22FA0" w:rsidRPr="00A51E52" w:rsidRDefault="00C22FA0"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XI</w:t>
            </w:r>
          </w:p>
        </w:tc>
        <w:tc>
          <w:tcPr>
            <w:tcW w:w="0" w:type="auto"/>
            <w:vAlign w:val="center"/>
          </w:tcPr>
          <w:p w14:paraId="196066AE" w14:textId="3789D4ED" w:rsidR="00C22FA0" w:rsidRPr="00A51E52" w:rsidRDefault="000E2E6A" w:rsidP="003D714D">
            <w:pPr>
              <w:tabs>
                <w:tab w:val="left" w:pos="7185"/>
              </w:tabs>
              <w:spacing w:before="100" w:beforeAutospacing="1" w:after="100" w:afterAutospacing="1"/>
              <w:jc w:val="center"/>
              <w:rPr>
                <w:rFonts w:ascii="Century Gothic" w:hAnsi="Century Gothic" w:cs="Arial"/>
                <w:bCs/>
                <w:sz w:val="23"/>
                <w:szCs w:val="23"/>
              </w:rPr>
            </w:pPr>
            <w:r w:rsidRPr="00A51E52">
              <w:rPr>
                <w:rFonts w:ascii="Century Gothic" w:hAnsi="Century Gothic" w:cs="Arial"/>
                <w:bCs/>
                <w:sz w:val="23"/>
                <w:szCs w:val="23"/>
              </w:rPr>
              <w:t>H</w:t>
            </w:r>
          </w:p>
        </w:tc>
      </w:tr>
    </w:tbl>
    <w:p w14:paraId="4FAEAD92" w14:textId="77777777" w:rsidR="00EC4220" w:rsidRPr="002D7808" w:rsidRDefault="00EC4220" w:rsidP="00EC4220">
      <w:pPr>
        <w:spacing w:after="0" w:line="360" w:lineRule="auto"/>
        <w:jc w:val="both"/>
        <w:rPr>
          <w:rFonts w:ascii="Century Gothic" w:hAnsi="Century Gothic" w:cs="Arial"/>
          <w:sz w:val="27"/>
          <w:szCs w:val="27"/>
          <w:lang w:val="es-ES_tradnl"/>
        </w:rPr>
      </w:pPr>
    </w:p>
    <w:p w14:paraId="1FD768F0" w14:textId="21E0FF4B" w:rsidR="00C22FA0" w:rsidRPr="002D7808" w:rsidRDefault="000E2E6A" w:rsidP="00EC4220">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Como se observa, de las candidaturas de mayoría relativa que el PT postuló en coalición correspondieron a tres hombres y una mujer.</w:t>
      </w:r>
    </w:p>
    <w:p w14:paraId="0F42E2EE" w14:textId="77777777" w:rsidR="00EC4220" w:rsidRPr="002D7808" w:rsidRDefault="00EC4220" w:rsidP="00EC4220">
      <w:pPr>
        <w:spacing w:after="0" w:line="360" w:lineRule="auto"/>
        <w:jc w:val="both"/>
        <w:rPr>
          <w:rFonts w:ascii="Century Gothic" w:hAnsi="Century Gothic" w:cs="Arial"/>
          <w:sz w:val="27"/>
          <w:szCs w:val="27"/>
          <w:lang w:val="es-ES_tradnl"/>
        </w:rPr>
      </w:pPr>
    </w:p>
    <w:p w14:paraId="24B65B32" w14:textId="7FA851A7" w:rsidR="000E2E6A" w:rsidRDefault="000E2E6A" w:rsidP="00EC4220">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Ahora, de manera individual, esto es, fuera de la coalición, el PT no postuló ninguna candidatura, pues en el distrito XII</w:t>
      </w:r>
      <w:r w:rsidR="00A6401A" w:rsidRPr="002D7808">
        <w:rPr>
          <w:rFonts w:ascii="Century Gothic" w:hAnsi="Century Gothic" w:cs="Arial"/>
          <w:sz w:val="27"/>
          <w:szCs w:val="27"/>
          <w:lang w:val="es-ES_tradnl"/>
        </w:rPr>
        <w:t>,</w:t>
      </w:r>
      <w:r w:rsidRPr="002D7808">
        <w:rPr>
          <w:rFonts w:ascii="Century Gothic" w:hAnsi="Century Gothic" w:cs="Arial"/>
          <w:sz w:val="27"/>
          <w:szCs w:val="27"/>
          <w:lang w:val="es-ES_tradnl"/>
        </w:rPr>
        <w:t xml:space="preserve"> en el que postularía en lo </w:t>
      </w:r>
      <w:r w:rsidR="00A6401A" w:rsidRPr="002D7808">
        <w:rPr>
          <w:rFonts w:ascii="Century Gothic" w:hAnsi="Century Gothic" w:cs="Arial"/>
          <w:sz w:val="27"/>
          <w:szCs w:val="27"/>
          <w:lang w:val="es-ES_tradnl"/>
        </w:rPr>
        <w:t xml:space="preserve">individual, la fórmula </w:t>
      </w:r>
      <w:r w:rsidRPr="002D7808">
        <w:rPr>
          <w:rFonts w:ascii="Century Gothic" w:hAnsi="Century Gothic" w:cs="Arial"/>
          <w:sz w:val="27"/>
          <w:szCs w:val="27"/>
          <w:lang w:val="es-ES_tradnl"/>
        </w:rPr>
        <w:t>no fue ratificada</w:t>
      </w:r>
      <w:r w:rsidR="00A6401A" w:rsidRPr="002D7808">
        <w:rPr>
          <w:rFonts w:ascii="Century Gothic" w:hAnsi="Century Gothic" w:cs="Arial"/>
          <w:sz w:val="27"/>
          <w:szCs w:val="27"/>
          <w:lang w:val="es-ES_tradnl"/>
        </w:rPr>
        <w:t xml:space="preserve"> por dicho instituto político.</w:t>
      </w:r>
    </w:p>
    <w:p w14:paraId="77518254" w14:textId="77777777" w:rsidR="003A4BBC" w:rsidRPr="002D7808" w:rsidRDefault="003A4BBC" w:rsidP="00EC4220">
      <w:pPr>
        <w:spacing w:after="0" w:line="360" w:lineRule="auto"/>
        <w:jc w:val="both"/>
        <w:rPr>
          <w:rFonts w:ascii="Century Gothic" w:hAnsi="Century Gothic" w:cs="Arial"/>
          <w:sz w:val="27"/>
          <w:szCs w:val="27"/>
          <w:lang w:val="es-ES_tradnl"/>
        </w:rPr>
      </w:pPr>
    </w:p>
    <w:p w14:paraId="7F04EDCB" w14:textId="43582414" w:rsidR="000E2E6A" w:rsidRPr="002D7808" w:rsidRDefault="000E2E6A" w:rsidP="00EC4220">
      <w:pPr>
        <w:spacing w:after="0" w:line="360" w:lineRule="auto"/>
        <w:jc w:val="both"/>
        <w:rPr>
          <w:rFonts w:ascii="Century Gothic" w:hAnsi="Century Gothic" w:cs="Arial"/>
          <w:sz w:val="27"/>
          <w:szCs w:val="27"/>
          <w:lang w:val="es-ES_tradnl"/>
        </w:rPr>
      </w:pPr>
      <w:bookmarkStart w:id="7" w:name="_Hlk517113106"/>
      <w:r w:rsidRPr="002D7808">
        <w:rPr>
          <w:rFonts w:ascii="Century Gothic" w:hAnsi="Century Gothic" w:cs="Arial"/>
          <w:sz w:val="27"/>
          <w:szCs w:val="27"/>
          <w:lang w:val="es-ES_tradnl"/>
        </w:rPr>
        <w:t xml:space="preserve">A partir de lo anterior se advierte que el género subrepresentado en </w:t>
      </w:r>
      <w:r w:rsidR="00A6401A" w:rsidRPr="002D7808">
        <w:rPr>
          <w:rFonts w:ascii="Century Gothic" w:hAnsi="Century Gothic" w:cs="Arial"/>
          <w:sz w:val="27"/>
          <w:szCs w:val="27"/>
          <w:lang w:val="es-ES_tradnl"/>
        </w:rPr>
        <w:t>las postulaciones</w:t>
      </w:r>
      <w:r w:rsidRPr="002D7808">
        <w:rPr>
          <w:rFonts w:ascii="Century Gothic" w:hAnsi="Century Gothic" w:cs="Arial"/>
          <w:sz w:val="27"/>
          <w:szCs w:val="27"/>
          <w:lang w:val="es-ES_tradnl"/>
        </w:rPr>
        <w:t xml:space="preserve"> de candidaturas a diputaciones locales </w:t>
      </w:r>
      <w:r w:rsidR="00A6401A" w:rsidRPr="002D7808">
        <w:rPr>
          <w:rFonts w:ascii="Century Gothic" w:hAnsi="Century Gothic" w:cs="Arial"/>
          <w:sz w:val="27"/>
          <w:szCs w:val="27"/>
          <w:lang w:val="es-ES_tradnl"/>
        </w:rPr>
        <w:t xml:space="preserve">de mayoría relativa </w:t>
      </w:r>
      <w:r w:rsidRPr="002D7808">
        <w:rPr>
          <w:rFonts w:ascii="Century Gothic" w:hAnsi="Century Gothic" w:cs="Arial"/>
          <w:sz w:val="27"/>
          <w:szCs w:val="27"/>
          <w:lang w:val="es-ES_tradnl"/>
        </w:rPr>
        <w:t xml:space="preserve">postuladas por el PT </w:t>
      </w:r>
      <w:r w:rsidR="00A6401A" w:rsidRPr="002D7808">
        <w:rPr>
          <w:rFonts w:ascii="Century Gothic" w:hAnsi="Century Gothic" w:cs="Arial"/>
          <w:sz w:val="27"/>
          <w:szCs w:val="27"/>
          <w:lang w:val="es-ES_tradnl"/>
        </w:rPr>
        <w:t>fue el de mujeres, por lo que dicho género es quien debió encabezar la lista de diputaciones de representación proporcional.</w:t>
      </w:r>
    </w:p>
    <w:p w14:paraId="26346E0E" w14:textId="77777777" w:rsidR="00EC4220" w:rsidRPr="002D7808" w:rsidRDefault="00EC4220" w:rsidP="00EC4220">
      <w:pPr>
        <w:spacing w:after="0" w:line="360" w:lineRule="auto"/>
        <w:jc w:val="both"/>
        <w:rPr>
          <w:rFonts w:ascii="Century Gothic" w:hAnsi="Century Gothic" w:cs="Arial"/>
          <w:sz w:val="27"/>
          <w:szCs w:val="27"/>
          <w:lang w:val="es-ES_tradnl"/>
        </w:rPr>
      </w:pPr>
    </w:p>
    <w:p w14:paraId="25AFF6A0" w14:textId="78F9E798" w:rsidR="00A6401A" w:rsidRPr="002D7808" w:rsidRDefault="00A6401A" w:rsidP="00EC4220">
      <w:pPr>
        <w:spacing w:after="0" w:line="360" w:lineRule="auto"/>
        <w:jc w:val="both"/>
        <w:rPr>
          <w:rFonts w:ascii="Century Gothic" w:hAnsi="Century Gothic" w:cs="Arial"/>
          <w:sz w:val="27"/>
          <w:szCs w:val="27"/>
          <w:lang w:val="es-ES_tradnl"/>
        </w:rPr>
      </w:pPr>
      <w:proofErr w:type="gramStart"/>
      <w:r w:rsidRPr="002D7808">
        <w:rPr>
          <w:rFonts w:ascii="Century Gothic" w:hAnsi="Century Gothic" w:cs="Arial"/>
          <w:sz w:val="27"/>
          <w:szCs w:val="27"/>
          <w:lang w:val="es-ES_tradnl"/>
        </w:rPr>
        <w:t>En razón de</w:t>
      </w:r>
      <w:proofErr w:type="gramEnd"/>
      <w:r w:rsidRPr="002D7808">
        <w:rPr>
          <w:rFonts w:ascii="Century Gothic" w:hAnsi="Century Gothic" w:cs="Arial"/>
          <w:sz w:val="27"/>
          <w:szCs w:val="27"/>
          <w:lang w:val="es-ES_tradnl"/>
        </w:rPr>
        <w:t xml:space="preserve"> ello, </w:t>
      </w:r>
      <w:bookmarkStart w:id="8" w:name="_Hlk517093818"/>
      <w:r w:rsidRPr="002D7808">
        <w:rPr>
          <w:rFonts w:ascii="Century Gothic" w:hAnsi="Century Gothic" w:cs="Arial"/>
          <w:sz w:val="27"/>
          <w:szCs w:val="27"/>
          <w:lang w:val="es-ES_tradnl"/>
        </w:rPr>
        <w:t xml:space="preserve">más allá de que la medida que implementó el Tribunal local a partir de un contexto histórico fuera idónea </w:t>
      </w:r>
      <w:r w:rsidR="001A500C" w:rsidRPr="002D7808">
        <w:rPr>
          <w:rFonts w:ascii="Century Gothic" w:hAnsi="Century Gothic" w:cs="Arial"/>
          <w:sz w:val="27"/>
          <w:szCs w:val="27"/>
          <w:lang w:val="es-ES_tradnl"/>
        </w:rPr>
        <w:t>o</w:t>
      </w:r>
      <w:r w:rsidRPr="002D7808">
        <w:rPr>
          <w:rFonts w:ascii="Century Gothic" w:hAnsi="Century Gothic" w:cs="Arial"/>
          <w:sz w:val="27"/>
          <w:szCs w:val="27"/>
          <w:lang w:val="es-ES_tradnl"/>
        </w:rPr>
        <w:t xml:space="preserve"> no, </w:t>
      </w:r>
      <w:r w:rsidR="001A500C" w:rsidRPr="002D7808">
        <w:rPr>
          <w:rFonts w:ascii="Century Gothic" w:hAnsi="Century Gothic" w:cs="Arial"/>
          <w:sz w:val="27"/>
          <w:szCs w:val="27"/>
          <w:lang w:val="es-ES_tradnl"/>
        </w:rPr>
        <w:t xml:space="preserve">lo cierto es que, para este caso, </w:t>
      </w:r>
      <w:r w:rsidR="006C1AE7" w:rsidRPr="002D7808">
        <w:rPr>
          <w:rFonts w:ascii="Century Gothic" w:hAnsi="Century Gothic" w:cs="Arial"/>
          <w:sz w:val="27"/>
          <w:szCs w:val="27"/>
          <w:lang w:val="es-ES_tradnl"/>
        </w:rPr>
        <w:t xml:space="preserve">al haber quedado </w:t>
      </w:r>
      <w:r w:rsidR="006C1AE7" w:rsidRPr="002D7808">
        <w:rPr>
          <w:rFonts w:ascii="Century Gothic" w:hAnsi="Century Gothic" w:cs="Arial"/>
          <w:sz w:val="27"/>
          <w:szCs w:val="27"/>
          <w:lang w:val="es-ES_tradnl"/>
        </w:rPr>
        <w:lastRenderedPageBreak/>
        <w:t>subrepresentadas</w:t>
      </w:r>
      <w:r w:rsidR="001A500C" w:rsidRPr="002D7808">
        <w:rPr>
          <w:rFonts w:ascii="Century Gothic" w:hAnsi="Century Gothic" w:cs="Arial"/>
          <w:sz w:val="27"/>
          <w:szCs w:val="27"/>
          <w:lang w:val="es-ES_tradnl"/>
        </w:rPr>
        <w:t xml:space="preserve"> las mujeres en mayoría relativa</w:t>
      </w:r>
      <w:r w:rsidR="006C1AE7" w:rsidRPr="002D7808">
        <w:rPr>
          <w:rFonts w:ascii="Century Gothic" w:hAnsi="Century Gothic" w:cs="Arial"/>
          <w:sz w:val="27"/>
          <w:szCs w:val="27"/>
          <w:lang w:val="es-ES_tradnl"/>
        </w:rPr>
        <w:t>,</w:t>
      </w:r>
      <w:r w:rsidR="001A500C" w:rsidRPr="002D7808">
        <w:rPr>
          <w:rFonts w:ascii="Century Gothic" w:hAnsi="Century Gothic" w:cs="Arial"/>
          <w:sz w:val="27"/>
          <w:szCs w:val="27"/>
          <w:lang w:val="es-ES_tradnl"/>
        </w:rPr>
        <w:t xml:space="preserve"> era suficiente para determinar la modificación del orden de prelación en la lista de representación proporcional.</w:t>
      </w:r>
    </w:p>
    <w:bookmarkEnd w:id="7"/>
    <w:bookmarkEnd w:id="8"/>
    <w:p w14:paraId="6B21BDD7" w14:textId="77777777" w:rsidR="00EC4220" w:rsidRPr="002D7808" w:rsidRDefault="00EC4220" w:rsidP="00EC4220">
      <w:pPr>
        <w:spacing w:after="0" w:line="360" w:lineRule="auto"/>
        <w:jc w:val="both"/>
        <w:rPr>
          <w:rFonts w:ascii="Century Gothic" w:hAnsi="Century Gothic" w:cs="Arial"/>
          <w:sz w:val="27"/>
          <w:szCs w:val="27"/>
          <w:lang w:val="es-ES_tradnl"/>
        </w:rPr>
      </w:pPr>
    </w:p>
    <w:p w14:paraId="5BEA911B" w14:textId="3575107C" w:rsidR="00CB4DF7" w:rsidRPr="002D7808" w:rsidRDefault="00A6401A" w:rsidP="00EC4220">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 xml:space="preserve">En ese sentido, </w:t>
      </w:r>
      <w:bookmarkStart w:id="9" w:name="_Hlk517112247"/>
      <w:r w:rsidRPr="002D7808">
        <w:rPr>
          <w:rFonts w:ascii="Century Gothic" w:hAnsi="Century Gothic" w:cs="Arial"/>
          <w:sz w:val="27"/>
          <w:szCs w:val="27"/>
          <w:lang w:val="es-ES_tradnl"/>
        </w:rPr>
        <w:t xml:space="preserve">es </w:t>
      </w:r>
      <w:r w:rsidRPr="002D7808">
        <w:rPr>
          <w:rFonts w:ascii="Century Gothic" w:hAnsi="Century Gothic" w:cs="Arial"/>
          <w:b/>
          <w:sz w:val="27"/>
          <w:szCs w:val="27"/>
          <w:lang w:val="es-ES_tradnl"/>
        </w:rPr>
        <w:t xml:space="preserve">fundado </w:t>
      </w:r>
      <w:r w:rsidRPr="002D7808">
        <w:rPr>
          <w:rFonts w:ascii="Century Gothic" w:hAnsi="Century Gothic" w:cs="Arial"/>
          <w:sz w:val="27"/>
          <w:szCs w:val="27"/>
          <w:lang w:val="es-ES_tradnl"/>
        </w:rPr>
        <w:t xml:space="preserve">el planteamiento de la actora que subsiste desde la primera instancia respecto a que </w:t>
      </w:r>
      <w:r w:rsidR="001A500C" w:rsidRPr="002D7808">
        <w:rPr>
          <w:rFonts w:ascii="Century Gothic" w:hAnsi="Century Gothic" w:cs="Arial"/>
          <w:sz w:val="27"/>
          <w:szCs w:val="27"/>
          <w:lang w:val="es-ES_tradnl"/>
        </w:rPr>
        <w:t>le correspondía encabezar la referida lista de candidaturas.</w:t>
      </w:r>
    </w:p>
    <w:bookmarkEnd w:id="9"/>
    <w:p w14:paraId="6706245C" w14:textId="71ADC9EA" w:rsidR="00310A3E" w:rsidRPr="002D7808" w:rsidRDefault="00310A3E" w:rsidP="00EC4220">
      <w:pPr>
        <w:spacing w:after="0" w:line="360" w:lineRule="auto"/>
        <w:jc w:val="both"/>
        <w:rPr>
          <w:rFonts w:ascii="Century Gothic" w:hAnsi="Century Gothic" w:cs="Arial"/>
          <w:sz w:val="27"/>
          <w:szCs w:val="27"/>
          <w:lang w:val="es-ES_tradnl"/>
        </w:rPr>
      </w:pPr>
    </w:p>
    <w:p w14:paraId="23FFE655" w14:textId="77777777" w:rsidR="00310A3E" w:rsidRPr="002D7808" w:rsidRDefault="00310A3E" w:rsidP="00310A3E">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Lo anterior, porque la Sala responsable perdió de vista la existencia de un género subrepresentado en las postulaciones del PT, por lo que lo conducente era que la lista de representación proporcional fuera encabezada por mujeres.</w:t>
      </w:r>
    </w:p>
    <w:p w14:paraId="37BA3E05" w14:textId="77777777" w:rsidR="00EC4220" w:rsidRPr="002D7808" w:rsidRDefault="00EC4220" w:rsidP="00EC4220">
      <w:pPr>
        <w:spacing w:after="0" w:line="360" w:lineRule="auto"/>
        <w:jc w:val="both"/>
        <w:rPr>
          <w:rFonts w:ascii="Century Gothic" w:hAnsi="Century Gothic" w:cs="Arial"/>
          <w:sz w:val="27"/>
          <w:szCs w:val="27"/>
          <w:lang w:val="es-ES_tradnl"/>
        </w:rPr>
      </w:pPr>
    </w:p>
    <w:p w14:paraId="5205E74A" w14:textId="7EEA0F8B" w:rsidR="00CB4DF7" w:rsidRPr="002D7808" w:rsidRDefault="00CB4DF7" w:rsidP="00EC4220">
      <w:pPr>
        <w:spacing w:after="0" w:line="360" w:lineRule="auto"/>
        <w:jc w:val="both"/>
        <w:rPr>
          <w:rFonts w:ascii="Century Gothic" w:hAnsi="Century Gothic" w:cs="Arial"/>
          <w:sz w:val="27"/>
          <w:szCs w:val="27"/>
          <w:lang w:val="es-ES_tradnl"/>
        </w:rPr>
      </w:pPr>
      <w:bookmarkStart w:id="10" w:name="_Hlk517113440"/>
      <w:r w:rsidRPr="002D7808">
        <w:rPr>
          <w:rFonts w:ascii="Century Gothic" w:hAnsi="Century Gothic" w:cs="Arial"/>
          <w:sz w:val="27"/>
          <w:szCs w:val="27"/>
          <w:lang w:val="es-ES_tradnl"/>
        </w:rPr>
        <w:t xml:space="preserve">Por otra parte, se </w:t>
      </w:r>
      <w:r w:rsidRPr="002D7808">
        <w:rPr>
          <w:rFonts w:ascii="Century Gothic" w:hAnsi="Century Gothic" w:cs="Arial"/>
          <w:b/>
          <w:sz w:val="27"/>
          <w:szCs w:val="27"/>
          <w:lang w:val="es-ES_tradnl"/>
        </w:rPr>
        <w:t>desestiman</w:t>
      </w:r>
      <w:r w:rsidRPr="002D7808">
        <w:rPr>
          <w:rFonts w:ascii="Century Gothic" w:hAnsi="Century Gothic" w:cs="Arial"/>
          <w:sz w:val="27"/>
          <w:szCs w:val="27"/>
          <w:lang w:val="es-ES_tradnl"/>
        </w:rPr>
        <w:t xml:space="preserve"> los planteamientos de la actora en los que sostiene que la demanda del juicio ciudadano presentada por José </w:t>
      </w:r>
      <w:proofErr w:type="spellStart"/>
      <w:r w:rsidRPr="002D7808">
        <w:rPr>
          <w:rFonts w:ascii="Century Gothic" w:hAnsi="Century Gothic" w:cs="Arial"/>
          <w:sz w:val="27"/>
          <w:szCs w:val="27"/>
          <w:lang w:val="es-ES_tradnl"/>
        </w:rPr>
        <w:t>Belmarez</w:t>
      </w:r>
      <w:proofErr w:type="spellEnd"/>
      <w:r w:rsidRPr="002D7808">
        <w:rPr>
          <w:rFonts w:ascii="Century Gothic" w:hAnsi="Century Gothic" w:cs="Arial"/>
          <w:sz w:val="27"/>
          <w:szCs w:val="27"/>
          <w:lang w:val="es-ES_tradnl"/>
        </w:rPr>
        <w:t xml:space="preserve"> Herrera debió desecharse y la indebida suplencia del agravio en el juicio de revisión constitucional electoral en cuanto a la presunta vulneración al derecho de autodeterminación del PT.</w:t>
      </w:r>
    </w:p>
    <w:p w14:paraId="74633D81" w14:textId="77777777" w:rsidR="00EC4220" w:rsidRPr="002D7808" w:rsidRDefault="00EC4220" w:rsidP="00EC4220">
      <w:pPr>
        <w:spacing w:after="0" w:line="360" w:lineRule="auto"/>
        <w:jc w:val="both"/>
        <w:rPr>
          <w:rFonts w:ascii="Century Gothic" w:hAnsi="Century Gothic" w:cs="Arial"/>
          <w:sz w:val="27"/>
          <w:szCs w:val="27"/>
          <w:lang w:val="es-ES_tradnl"/>
        </w:rPr>
      </w:pPr>
    </w:p>
    <w:p w14:paraId="0DC6B0FC" w14:textId="1E3B815D" w:rsidR="00CB4DF7" w:rsidRPr="002D7808" w:rsidRDefault="00CB4DF7" w:rsidP="00EC4220">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t>Ello, porque la actora alcanzó su pretensión en el estudio efectuado por esta Sala Superior, además de que dichos planteamientos se constri</w:t>
      </w:r>
      <w:r w:rsidR="003D714D" w:rsidRPr="002D7808">
        <w:rPr>
          <w:rFonts w:ascii="Century Gothic" w:hAnsi="Century Gothic" w:cs="Arial"/>
          <w:sz w:val="27"/>
          <w:szCs w:val="27"/>
          <w:lang w:val="es-ES_tradnl"/>
        </w:rPr>
        <w:t>ñen a aspectos de estricta legalidad.</w:t>
      </w:r>
    </w:p>
    <w:bookmarkEnd w:id="10"/>
    <w:p w14:paraId="6BDE9E3B" w14:textId="77777777" w:rsidR="00EC4220" w:rsidRPr="002D7808" w:rsidRDefault="00EC4220" w:rsidP="00EC4220">
      <w:pPr>
        <w:spacing w:after="0" w:line="360" w:lineRule="auto"/>
        <w:jc w:val="both"/>
        <w:rPr>
          <w:rFonts w:ascii="Century Gothic" w:hAnsi="Century Gothic" w:cs="Arial"/>
          <w:sz w:val="27"/>
          <w:szCs w:val="27"/>
          <w:lang w:val="es-ES_tradnl"/>
        </w:rPr>
      </w:pPr>
    </w:p>
    <w:p w14:paraId="6A373E39" w14:textId="73219765" w:rsidR="00C22FA0" w:rsidRPr="002D7808" w:rsidRDefault="003D714D" w:rsidP="00EC4220">
      <w:pPr>
        <w:spacing w:after="0" w:line="360" w:lineRule="auto"/>
        <w:jc w:val="both"/>
        <w:rPr>
          <w:rFonts w:ascii="Century Gothic" w:hAnsi="Century Gothic" w:cs="Arial"/>
          <w:sz w:val="27"/>
          <w:szCs w:val="27"/>
          <w:lang w:val="es-ES_tradnl"/>
        </w:rPr>
      </w:pPr>
      <w:r w:rsidRPr="002D7808">
        <w:rPr>
          <w:rFonts w:ascii="Century Gothic" w:hAnsi="Century Gothic" w:cs="Arial"/>
          <w:sz w:val="27"/>
          <w:szCs w:val="27"/>
          <w:lang w:val="es-ES_tradnl"/>
        </w:rPr>
        <w:lastRenderedPageBreak/>
        <w:t xml:space="preserve">En consecuencia, lo procedente es revocar la sentencia dictada por la Sala responsable </w:t>
      </w:r>
      <w:bookmarkStart w:id="11" w:name="_Hlk517113635"/>
      <w:r w:rsidRPr="002D7808">
        <w:rPr>
          <w:rFonts w:ascii="Century Gothic" w:hAnsi="Century Gothic" w:cs="Arial"/>
          <w:sz w:val="27"/>
          <w:szCs w:val="27"/>
          <w:lang w:val="es-ES_tradnl"/>
        </w:rPr>
        <w:t xml:space="preserve">y </w:t>
      </w:r>
      <w:r w:rsidRPr="002D7808">
        <w:rPr>
          <w:rFonts w:ascii="Century Gothic" w:hAnsi="Century Gothic" w:cs="Arial"/>
          <w:b/>
          <w:sz w:val="27"/>
          <w:szCs w:val="27"/>
          <w:lang w:val="es-ES_tradnl"/>
        </w:rPr>
        <w:t xml:space="preserve">confirmar </w:t>
      </w:r>
      <w:r w:rsidRPr="002D7808">
        <w:rPr>
          <w:rFonts w:ascii="Century Gothic" w:hAnsi="Century Gothic" w:cs="Arial"/>
          <w:sz w:val="27"/>
          <w:szCs w:val="27"/>
          <w:lang w:val="es-ES_tradnl"/>
        </w:rPr>
        <w:t>la resolución del Tribunal Electoral de</w:t>
      </w:r>
      <w:r w:rsidR="000F69AA" w:rsidRPr="002D7808">
        <w:rPr>
          <w:rFonts w:ascii="Century Gothic" w:hAnsi="Century Gothic" w:cs="Arial"/>
          <w:sz w:val="27"/>
          <w:szCs w:val="27"/>
          <w:lang w:val="es-ES_tradnl"/>
        </w:rPr>
        <w:t>l Estado</w:t>
      </w:r>
      <w:r w:rsidRPr="002D7808">
        <w:rPr>
          <w:rFonts w:ascii="Century Gothic" w:hAnsi="Century Gothic" w:cs="Arial"/>
          <w:sz w:val="27"/>
          <w:szCs w:val="27"/>
          <w:lang w:val="es-ES_tradnl"/>
        </w:rPr>
        <w:t xml:space="preserve"> San Luis Potosí, pero por las razones expresadas en esta ejecutoria.</w:t>
      </w:r>
    </w:p>
    <w:bookmarkEnd w:id="11"/>
    <w:p w14:paraId="2636BC9D" w14:textId="77777777" w:rsidR="006C1AE7" w:rsidRPr="002D7808" w:rsidRDefault="006C1AE7" w:rsidP="00EC4220">
      <w:pPr>
        <w:spacing w:after="0" w:line="360" w:lineRule="auto"/>
        <w:jc w:val="both"/>
        <w:rPr>
          <w:rFonts w:ascii="Century Gothic" w:hAnsi="Century Gothic" w:cs="Arial"/>
          <w:sz w:val="27"/>
          <w:szCs w:val="27"/>
          <w:lang w:val="es-ES_tradnl"/>
        </w:rPr>
      </w:pPr>
    </w:p>
    <w:p w14:paraId="2B88C180" w14:textId="56692848" w:rsidR="003D714D" w:rsidRPr="002D7808" w:rsidRDefault="003D714D" w:rsidP="00EC4220">
      <w:pPr>
        <w:spacing w:after="0" w:line="360" w:lineRule="auto"/>
        <w:jc w:val="both"/>
        <w:rPr>
          <w:rFonts w:ascii="Century Gothic" w:hAnsi="Century Gothic" w:cs="Arial"/>
          <w:bCs/>
          <w:sz w:val="27"/>
          <w:szCs w:val="27"/>
        </w:rPr>
      </w:pPr>
      <w:r w:rsidRPr="002D7808">
        <w:rPr>
          <w:rFonts w:ascii="Century Gothic" w:hAnsi="Century Gothic" w:cs="Arial"/>
          <w:bCs/>
          <w:sz w:val="27"/>
          <w:szCs w:val="27"/>
        </w:rPr>
        <w:t>Por lo expuesto y fundado, se:</w:t>
      </w:r>
    </w:p>
    <w:p w14:paraId="1B3B2CE6" w14:textId="77777777" w:rsidR="00EC4220" w:rsidRPr="002D7808" w:rsidRDefault="00EC4220" w:rsidP="00EC4220">
      <w:pPr>
        <w:spacing w:after="0" w:line="360" w:lineRule="auto"/>
        <w:jc w:val="both"/>
        <w:rPr>
          <w:rFonts w:ascii="Century Gothic" w:hAnsi="Century Gothic" w:cs="Arial"/>
          <w:bCs/>
          <w:sz w:val="27"/>
          <w:szCs w:val="27"/>
        </w:rPr>
      </w:pPr>
    </w:p>
    <w:p w14:paraId="55F26404" w14:textId="483625C2" w:rsidR="003D714D" w:rsidRPr="002D7808" w:rsidRDefault="003D714D" w:rsidP="00EC4220">
      <w:pPr>
        <w:spacing w:after="0" w:line="360" w:lineRule="auto"/>
        <w:jc w:val="center"/>
        <w:rPr>
          <w:rFonts w:ascii="Century Gothic" w:hAnsi="Century Gothic" w:cs="Arial"/>
          <w:b/>
          <w:bCs/>
          <w:spacing w:val="80"/>
          <w:sz w:val="27"/>
          <w:szCs w:val="27"/>
          <w:lang w:eastAsia="es-MX"/>
        </w:rPr>
      </w:pPr>
      <w:r w:rsidRPr="002D7808">
        <w:rPr>
          <w:rFonts w:ascii="Century Gothic" w:hAnsi="Century Gothic" w:cs="Arial"/>
          <w:b/>
          <w:bCs/>
          <w:spacing w:val="80"/>
          <w:sz w:val="27"/>
          <w:szCs w:val="27"/>
          <w:lang w:eastAsia="es-MX"/>
        </w:rPr>
        <w:t>RESUELVE</w:t>
      </w:r>
    </w:p>
    <w:p w14:paraId="605351C6" w14:textId="77777777" w:rsidR="00EC4220" w:rsidRPr="002D7808" w:rsidRDefault="00EC4220" w:rsidP="00EC4220">
      <w:pPr>
        <w:spacing w:after="0" w:line="360" w:lineRule="auto"/>
        <w:jc w:val="center"/>
        <w:rPr>
          <w:rFonts w:ascii="Century Gothic" w:hAnsi="Century Gothic" w:cs="Arial"/>
          <w:b/>
          <w:bCs/>
          <w:spacing w:val="80"/>
          <w:sz w:val="27"/>
          <w:szCs w:val="27"/>
          <w:lang w:eastAsia="es-MX"/>
        </w:rPr>
      </w:pPr>
    </w:p>
    <w:p w14:paraId="4EF3D24E" w14:textId="78FE1203" w:rsidR="003D714D" w:rsidRPr="002D7808" w:rsidRDefault="003D714D" w:rsidP="00EC4220">
      <w:pPr>
        <w:spacing w:after="0" w:line="360" w:lineRule="auto"/>
        <w:jc w:val="both"/>
        <w:rPr>
          <w:rFonts w:ascii="Century Gothic" w:hAnsi="Century Gothic" w:cs="Arial"/>
          <w:bCs/>
          <w:sz w:val="27"/>
          <w:szCs w:val="27"/>
        </w:rPr>
      </w:pPr>
      <w:r w:rsidRPr="002D7808">
        <w:rPr>
          <w:rFonts w:ascii="Century Gothic" w:hAnsi="Century Gothic" w:cs="Arial"/>
          <w:b/>
          <w:sz w:val="27"/>
          <w:szCs w:val="27"/>
          <w:lang w:val="es-ES_tradnl" w:eastAsia="es-MX"/>
        </w:rPr>
        <w:t>PRIMERO.</w:t>
      </w:r>
      <w:r w:rsidRPr="002D7808">
        <w:rPr>
          <w:rFonts w:ascii="Century Gothic" w:hAnsi="Century Gothic" w:cs="Arial"/>
          <w:sz w:val="27"/>
          <w:szCs w:val="27"/>
          <w:lang w:val="es-ES_tradnl" w:eastAsia="es-MX"/>
        </w:rPr>
        <w:t xml:space="preserve"> Se </w:t>
      </w:r>
      <w:r w:rsidR="000F69AA" w:rsidRPr="002D7808">
        <w:rPr>
          <w:rFonts w:ascii="Century Gothic" w:hAnsi="Century Gothic" w:cs="Arial"/>
          <w:b/>
          <w:sz w:val="27"/>
          <w:szCs w:val="27"/>
          <w:lang w:val="es-ES_tradnl" w:eastAsia="es-MX"/>
        </w:rPr>
        <w:t>r</w:t>
      </w:r>
      <w:r w:rsidRPr="002D7808">
        <w:rPr>
          <w:rFonts w:ascii="Century Gothic" w:hAnsi="Century Gothic" w:cs="Arial"/>
          <w:b/>
          <w:sz w:val="27"/>
          <w:szCs w:val="27"/>
          <w:lang w:val="es-ES_tradnl" w:eastAsia="es-MX"/>
        </w:rPr>
        <w:t xml:space="preserve">evoca </w:t>
      </w:r>
      <w:r w:rsidRPr="002D7808">
        <w:rPr>
          <w:rFonts w:ascii="Century Gothic" w:hAnsi="Century Gothic" w:cs="Arial"/>
          <w:sz w:val="27"/>
          <w:szCs w:val="27"/>
          <w:lang w:val="es-ES_tradnl" w:eastAsia="es-MX"/>
        </w:rPr>
        <w:t xml:space="preserve">la sentencia emitida por la </w:t>
      </w:r>
      <w:r w:rsidRPr="002D7808">
        <w:rPr>
          <w:rFonts w:ascii="Century Gothic" w:hAnsi="Century Gothic" w:cs="Arial"/>
          <w:bCs/>
          <w:sz w:val="27"/>
          <w:szCs w:val="27"/>
        </w:rPr>
        <w:t>Sala Regional del Tribunal Electoral del Poder Judicial de la Federación correspondiente a la Segunda Circunscripción Electoral Plurinominal, con sede en Monterrey, Nuevo León.</w:t>
      </w:r>
    </w:p>
    <w:p w14:paraId="6140EB4F" w14:textId="77777777" w:rsidR="00EC4220" w:rsidRPr="002D7808" w:rsidRDefault="00EC4220" w:rsidP="00EC4220">
      <w:pPr>
        <w:spacing w:after="0" w:line="360" w:lineRule="auto"/>
        <w:jc w:val="both"/>
        <w:rPr>
          <w:rFonts w:ascii="Century Gothic" w:hAnsi="Century Gothic" w:cs="Arial"/>
          <w:bCs/>
          <w:sz w:val="27"/>
          <w:szCs w:val="27"/>
        </w:rPr>
      </w:pPr>
    </w:p>
    <w:p w14:paraId="58B9A4E3" w14:textId="581474A7" w:rsidR="003D714D" w:rsidRPr="002D7808" w:rsidRDefault="003D714D" w:rsidP="00EC4220">
      <w:pPr>
        <w:spacing w:after="0" w:line="360" w:lineRule="auto"/>
        <w:jc w:val="both"/>
        <w:rPr>
          <w:rFonts w:ascii="Century Gothic" w:hAnsi="Century Gothic" w:cs="Arial"/>
          <w:sz w:val="27"/>
          <w:szCs w:val="27"/>
          <w:lang w:val="es-ES_tradnl" w:eastAsia="es-MX"/>
        </w:rPr>
      </w:pPr>
      <w:r w:rsidRPr="002D7808">
        <w:rPr>
          <w:rFonts w:ascii="Century Gothic" w:hAnsi="Century Gothic" w:cs="Arial"/>
          <w:b/>
          <w:sz w:val="27"/>
          <w:szCs w:val="27"/>
          <w:lang w:val="es-ES_tradnl" w:eastAsia="es-MX"/>
        </w:rPr>
        <w:t>SEGUNDO.</w:t>
      </w:r>
      <w:r w:rsidRPr="002D7808">
        <w:rPr>
          <w:rFonts w:ascii="Century Gothic" w:hAnsi="Century Gothic" w:cs="Arial"/>
          <w:sz w:val="27"/>
          <w:szCs w:val="27"/>
          <w:lang w:val="es-ES_tradnl" w:eastAsia="es-MX"/>
        </w:rPr>
        <w:t xml:space="preserve"> Se </w:t>
      </w:r>
      <w:r w:rsidRPr="002D7808">
        <w:rPr>
          <w:rFonts w:ascii="Century Gothic" w:hAnsi="Century Gothic" w:cs="Arial"/>
          <w:b/>
          <w:sz w:val="27"/>
          <w:szCs w:val="27"/>
          <w:lang w:val="es-ES_tradnl" w:eastAsia="es-MX"/>
        </w:rPr>
        <w:t>confirma</w:t>
      </w:r>
      <w:r w:rsidRPr="002D7808">
        <w:rPr>
          <w:rFonts w:ascii="Century Gothic" w:hAnsi="Century Gothic" w:cs="Arial"/>
          <w:sz w:val="27"/>
          <w:szCs w:val="27"/>
          <w:lang w:val="es-ES_tradnl" w:eastAsia="es-MX"/>
        </w:rPr>
        <w:t xml:space="preserve"> la resolución dictada por el Tribunal Electora</w:t>
      </w:r>
      <w:r w:rsidR="000F69AA" w:rsidRPr="002D7808">
        <w:rPr>
          <w:rFonts w:ascii="Century Gothic" w:hAnsi="Century Gothic" w:cs="Arial"/>
          <w:sz w:val="27"/>
          <w:szCs w:val="27"/>
          <w:lang w:val="es-ES_tradnl" w:eastAsia="es-MX"/>
        </w:rPr>
        <w:t>l del Estado</w:t>
      </w:r>
      <w:r w:rsidRPr="002D7808">
        <w:rPr>
          <w:rFonts w:ascii="Century Gothic" w:hAnsi="Century Gothic" w:cs="Arial"/>
          <w:sz w:val="27"/>
          <w:szCs w:val="27"/>
          <w:lang w:val="es-ES_tradnl" w:eastAsia="es-MX"/>
        </w:rPr>
        <w:t xml:space="preserve"> de San Luis Potosí, pero por las razones expresadas en esta ejecutoria.</w:t>
      </w:r>
    </w:p>
    <w:p w14:paraId="3CD065DF" w14:textId="77777777" w:rsidR="00EC4220" w:rsidRPr="002D7808" w:rsidRDefault="00EC4220" w:rsidP="00EC4220">
      <w:pPr>
        <w:spacing w:after="0" w:line="360" w:lineRule="auto"/>
        <w:jc w:val="both"/>
        <w:rPr>
          <w:rFonts w:ascii="Century Gothic" w:hAnsi="Century Gothic" w:cs="Arial"/>
          <w:sz w:val="27"/>
          <w:szCs w:val="27"/>
          <w:lang w:val="es-ES_tradnl" w:eastAsia="es-MX"/>
        </w:rPr>
      </w:pPr>
    </w:p>
    <w:p w14:paraId="47C233B0" w14:textId="49DE08D2" w:rsidR="003D714D" w:rsidRPr="002D7808" w:rsidRDefault="003D714D" w:rsidP="00EC4220">
      <w:pPr>
        <w:spacing w:after="0" w:line="360" w:lineRule="auto"/>
        <w:jc w:val="both"/>
        <w:rPr>
          <w:rFonts w:ascii="Century Gothic" w:hAnsi="Century Gothic" w:cs="Arial"/>
          <w:bCs/>
          <w:iCs/>
          <w:sz w:val="27"/>
          <w:szCs w:val="27"/>
        </w:rPr>
      </w:pPr>
      <w:r w:rsidRPr="002D7808">
        <w:rPr>
          <w:rFonts w:ascii="Century Gothic" w:hAnsi="Century Gothic" w:cs="Arial"/>
          <w:b/>
          <w:bCs/>
          <w:iCs/>
          <w:sz w:val="27"/>
          <w:szCs w:val="27"/>
        </w:rPr>
        <w:t xml:space="preserve">NOTIFÍQUESE, </w:t>
      </w:r>
      <w:r w:rsidRPr="002D7808">
        <w:rPr>
          <w:rFonts w:ascii="Century Gothic" w:hAnsi="Century Gothic" w:cs="Arial"/>
          <w:bCs/>
          <w:iCs/>
          <w:sz w:val="27"/>
          <w:szCs w:val="27"/>
        </w:rPr>
        <w:t xml:space="preserve">como corresponda en términos de </w:t>
      </w:r>
      <w:r w:rsidR="00BB4519">
        <w:rPr>
          <w:rFonts w:ascii="Century Gothic" w:hAnsi="Century Gothic" w:cs="Arial"/>
          <w:bCs/>
          <w:iCs/>
          <w:sz w:val="27"/>
          <w:szCs w:val="27"/>
        </w:rPr>
        <w:t>L</w:t>
      </w:r>
      <w:r w:rsidRPr="002D7808">
        <w:rPr>
          <w:rFonts w:ascii="Century Gothic" w:hAnsi="Century Gothic" w:cs="Arial"/>
          <w:bCs/>
          <w:iCs/>
          <w:sz w:val="27"/>
          <w:szCs w:val="27"/>
        </w:rPr>
        <w:t xml:space="preserve">ey. </w:t>
      </w:r>
    </w:p>
    <w:p w14:paraId="0045C5E0" w14:textId="77777777" w:rsidR="003D714D" w:rsidRPr="002D7808" w:rsidRDefault="003D714D" w:rsidP="00EC4220">
      <w:pPr>
        <w:spacing w:after="0" w:line="360" w:lineRule="auto"/>
        <w:jc w:val="both"/>
        <w:rPr>
          <w:rFonts w:ascii="Century Gothic" w:hAnsi="Century Gothic" w:cs="Arial"/>
          <w:bCs/>
          <w:iCs/>
          <w:sz w:val="27"/>
          <w:szCs w:val="27"/>
        </w:rPr>
      </w:pPr>
    </w:p>
    <w:p w14:paraId="0FC4DB2D" w14:textId="77777777" w:rsidR="003D714D" w:rsidRPr="002D7808" w:rsidRDefault="003D714D" w:rsidP="00EC4220">
      <w:pPr>
        <w:spacing w:after="0" w:line="360" w:lineRule="auto"/>
        <w:jc w:val="both"/>
        <w:rPr>
          <w:rFonts w:ascii="Century Gothic" w:hAnsi="Century Gothic" w:cs="Arial"/>
          <w:bCs/>
          <w:iCs/>
          <w:sz w:val="27"/>
          <w:szCs w:val="27"/>
        </w:rPr>
      </w:pPr>
      <w:r w:rsidRPr="002D7808">
        <w:rPr>
          <w:rFonts w:ascii="Century Gothic" w:hAnsi="Century Gothic" w:cs="Arial"/>
          <w:bCs/>
          <w:iCs/>
          <w:sz w:val="27"/>
          <w:szCs w:val="27"/>
        </w:rPr>
        <w:t xml:space="preserve">En su oportunidad, devuélvase los documentos atinentes y </w:t>
      </w:r>
      <w:r w:rsidRPr="002D7808">
        <w:rPr>
          <w:rFonts w:ascii="Century Gothic" w:hAnsi="Century Gothic" w:cs="Arial"/>
          <w:sz w:val="27"/>
          <w:szCs w:val="27"/>
          <w:lang w:val="es-ES_tradnl"/>
        </w:rPr>
        <w:t>archívese</w:t>
      </w:r>
      <w:r w:rsidRPr="002D7808">
        <w:rPr>
          <w:rFonts w:ascii="Century Gothic" w:hAnsi="Century Gothic" w:cs="Arial"/>
          <w:bCs/>
          <w:iCs/>
          <w:sz w:val="27"/>
          <w:szCs w:val="27"/>
        </w:rPr>
        <w:t xml:space="preserve"> el expediente como asunto total y definitivamente concluido.</w:t>
      </w:r>
    </w:p>
    <w:p w14:paraId="0E18F4B1" w14:textId="77777777" w:rsidR="003D714D" w:rsidRPr="002D7808" w:rsidRDefault="003D714D" w:rsidP="00EC4220">
      <w:pPr>
        <w:spacing w:after="0" w:line="360" w:lineRule="auto"/>
        <w:jc w:val="both"/>
        <w:rPr>
          <w:rFonts w:ascii="Century Gothic" w:hAnsi="Century Gothic" w:cs="Arial"/>
          <w:bCs/>
          <w:iCs/>
          <w:sz w:val="27"/>
          <w:szCs w:val="27"/>
        </w:rPr>
      </w:pPr>
    </w:p>
    <w:p w14:paraId="6F245802" w14:textId="1479807C" w:rsidR="00BB4519" w:rsidRDefault="003D714D" w:rsidP="00EC4220">
      <w:pPr>
        <w:pStyle w:val="Sinespaciado"/>
        <w:spacing w:line="360" w:lineRule="auto"/>
        <w:jc w:val="both"/>
        <w:rPr>
          <w:rFonts w:ascii="Century Gothic" w:hAnsi="Century Gothic" w:cs="Arial"/>
          <w:sz w:val="27"/>
          <w:szCs w:val="27"/>
        </w:rPr>
      </w:pPr>
      <w:r w:rsidRPr="002D7808">
        <w:rPr>
          <w:rFonts w:ascii="Century Gothic" w:hAnsi="Century Gothic"/>
          <w:sz w:val="27"/>
          <w:szCs w:val="27"/>
        </w:rPr>
        <w:t xml:space="preserve">Así, por </w:t>
      </w:r>
      <w:r w:rsidR="00173F34">
        <w:rPr>
          <w:rFonts w:ascii="Century Gothic" w:hAnsi="Century Gothic"/>
          <w:b/>
          <w:sz w:val="27"/>
          <w:szCs w:val="27"/>
        </w:rPr>
        <w:t>UNANIMIDAD</w:t>
      </w:r>
      <w:r w:rsidRPr="002D7808">
        <w:rPr>
          <w:rFonts w:ascii="Century Gothic" w:hAnsi="Century Gothic"/>
          <w:sz w:val="27"/>
          <w:szCs w:val="27"/>
        </w:rPr>
        <w:t xml:space="preserve"> de votos, lo resolvieron </w:t>
      </w:r>
      <w:r w:rsidRPr="002D7808">
        <w:rPr>
          <w:rFonts w:ascii="Century Gothic" w:hAnsi="Century Gothic" w:cs="Arial"/>
          <w:sz w:val="27"/>
          <w:szCs w:val="27"/>
        </w:rPr>
        <w:t>las Magistradas y los Magistrados que integran la Sala Superior del Tribunal Electoral del Poder Judicial de la Federación,</w:t>
      </w:r>
      <w:r w:rsidR="00A51E52">
        <w:rPr>
          <w:rFonts w:ascii="Century Gothic" w:hAnsi="Century Gothic" w:cs="Arial"/>
          <w:sz w:val="27"/>
          <w:szCs w:val="27"/>
        </w:rPr>
        <w:t xml:space="preserve"> con la </w:t>
      </w:r>
      <w:r w:rsidR="00A51E52">
        <w:rPr>
          <w:rFonts w:ascii="Century Gothic" w:hAnsi="Century Gothic" w:cs="Arial"/>
          <w:sz w:val="27"/>
          <w:szCs w:val="27"/>
        </w:rPr>
        <w:lastRenderedPageBreak/>
        <w:t>ausencia del Magistrado José Luis Vargas Valdez,</w:t>
      </w:r>
      <w:r w:rsidRPr="002D7808">
        <w:rPr>
          <w:rFonts w:ascii="Century Gothic" w:hAnsi="Century Gothic" w:cs="Arial"/>
          <w:sz w:val="27"/>
          <w:szCs w:val="27"/>
        </w:rPr>
        <w:t xml:space="preserve"> ante la Secretaria General de Acuerdos, quien autoriza y da fe.</w:t>
      </w:r>
    </w:p>
    <w:p w14:paraId="6F1E498B" w14:textId="414E9FF6" w:rsidR="00BB4519" w:rsidRDefault="00BB4519" w:rsidP="00EC4220">
      <w:pPr>
        <w:pStyle w:val="Sinespaciado"/>
        <w:spacing w:line="360" w:lineRule="auto"/>
        <w:jc w:val="both"/>
        <w:rPr>
          <w:rFonts w:ascii="Century Gothic" w:hAnsi="Century Gothic" w:cs="Arial"/>
          <w:sz w:val="27"/>
          <w:szCs w:val="27"/>
        </w:rPr>
      </w:pPr>
    </w:p>
    <w:p w14:paraId="005B8287" w14:textId="77777777" w:rsidR="00A34B44" w:rsidRDefault="00A34B44" w:rsidP="00EC4220">
      <w:pPr>
        <w:pStyle w:val="Sinespaciado"/>
        <w:spacing w:line="360" w:lineRule="auto"/>
        <w:jc w:val="both"/>
        <w:rPr>
          <w:rFonts w:ascii="Century Gothic" w:hAnsi="Century Gothic" w:cs="Arial"/>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BB4519" w:rsidRPr="00BB4519" w14:paraId="0B3BC188" w14:textId="77777777" w:rsidTr="008040F0">
        <w:tc>
          <w:tcPr>
            <w:tcW w:w="7751" w:type="dxa"/>
            <w:gridSpan w:val="2"/>
            <w:tcBorders>
              <w:top w:val="nil"/>
              <w:left w:val="nil"/>
              <w:bottom w:val="nil"/>
              <w:right w:val="nil"/>
            </w:tcBorders>
          </w:tcPr>
          <w:p w14:paraId="324DA72F"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MAGISTRADA PRESIDENTA</w:t>
            </w:r>
          </w:p>
          <w:p w14:paraId="68139575"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52598C1C"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5060E982"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30EB0A2D" w14:textId="77777777" w:rsidR="00BB4519" w:rsidRPr="00BB4519" w:rsidRDefault="00BB4519" w:rsidP="00BB4519">
            <w:pPr>
              <w:tabs>
                <w:tab w:val="left" w:pos="5640"/>
              </w:tabs>
              <w:spacing w:after="0" w:line="240" w:lineRule="auto"/>
              <w:jc w:val="center"/>
              <w:rPr>
                <w:rFonts w:ascii="Century Gothic" w:eastAsia="MS Mincho" w:hAnsi="Century Gothic" w:cs="Arial"/>
                <w:b/>
                <w:color w:val="000000"/>
                <w:sz w:val="27"/>
                <w:szCs w:val="27"/>
                <w:lang w:val="es-ES" w:eastAsia="es-ES"/>
              </w:rPr>
            </w:pPr>
            <w:r w:rsidRPr="00BB4519">
              <w:rPr>
                <w:rFonts w:ascii="Century Gothic" w:eastAsia="MS Mincho" w:hAnsi="Century Gothic" w:cs="Arial"/>
                <w:b/>
                <w:color w:val="000000"/>
                <w:sz w:val="27"/>
                <w:szCs w:val="27"/>
                <w:lang w:val="es-ES" w:eastAsia="es-ES"/>
              </w:rPr>
              <w:t>JANINE M. OTÁLORA MALASSIS</w:t>
            </w:r>
          </w:p>
          <w:p w14:paraId="3DC35FB7"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tc>
      </w:tr>
      <w:tr w:rsidR="00BB4519" w:rsidRPr="00BB4519" w14:paraId="2A0C0075" w14:textId="77777777" w:rsidTr="008040F0">
        <w:tc>
          <w:tcPr>
            <w:tcW w:w="3875" w:type="dxa"/>
            <w:tcBorders>
              <w:top w:val="nil"/>
              <w:left w:val="nil"/>
              <w:bottom w:val="nil"/>
              <w:right w:val="nil"/>
            </w:tcBorders>
          </w:tcPr>
          <w:p w14:paraId="0E7C2DEA"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MAGISTRADO</w:t>
            </w:r>
          </w:p>
          <w:p w14:paraId="4CFA23A1"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3335A51D"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2C0C2A45"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69BE5FA6"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FELIPE DE LA MATA PIZAÑA</w:t>
            </w:r>
          </w:p>
        </w:tc>
        <w:tc>
          <w:tcPr>
            <w:tcW w:w="3876" w:type="dxa"/>
            <w:tcBorders>
              <w:top w:val="nil"/>
              <w:left w:val="nil"/>
              <w:bottom w:val="nil"/>
              <w:right w:val="nil"/>
            </w:tcBorders>
          </w:tcPr>
          <w:p w14:paraId="47684131"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MAGISTRADO</w:t>
            </w:r>
          </w:p>
          <w:p w14:paraId="0599BF22"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76463604"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7E934045"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72158AFA" w14:textId="77777777" w:rsidR="00BB4519" w:rsidRPr="00BB4519" w:rsidRDefault="00BB4519" w:rsidP="00BB4519">
            <w:pPr>
              <w:tabs>
                <w:tab w:val="left" w:pos="5640"/>
              </w:tabs>
              <w:spacing w:after="0" w:line="240" w:lineRule="auto"/>
              <w:jc w:val="center"/>
              <w:rPr>
                <w:rFonts w:ascii="Century Gothic" w:eastAsia="MS Mincho" w:hAnsi="Century Gothic" w:cs="Arial"/>
                <w:b/>
                <w:color w:val="000000"/>
                <w:sz w:val="27"/>
                <w:szCs w:val="27"/>
                <w:lang w:val="es-ES" w:eastAsia="es-ES"/>
              </w:rPr>
            </w:pPr>
            <w:r w:rsidRPr="00BB4519">
              <w:rPr>
                <w:rFonts w:ascii="Century Gothic" w:eastAsia="MS Mincho" w:hAnsi="Century Gothic" w:cs="Arial"/>
                <w:b/>
                <w:color w:val="000000"/>
                <w:sz w:val="27"/>
                <w:szCs w:val="27"/>
                <w:lang w:val="es-ES" w:eastAsia="es-ES"/>
              </w:rPr>
              <w:t>FELIPE ALFREDO FUENTES BARRERA</w:t>
            </w:r>
          </w:p>
          <w:p w14:paraId="69D84CED"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tc>
      </w:tr>
      <w:tr w:rsidR="00BB4519" w:rsidRPr="00BB4519" w14:paraId="449E6A01" w14:textId="77777777" w:rsidTr="008040F0">
        <w:tc>
          <w:tcPr>
            <w:tcW w:w="3875" w:type="dxa"/>
            <w:tcBorders>
              <w:top w:val="nil"/>
              <w:left w:val="nil"/>
              <w:bottom w:val="nil"/>
              <w:right w:val="nil"/>
            </w:tcBorders>
          </w:tcPr>
          <w:p w14:paraId="297A529C"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MAGISTRADO</w:t>
            </w:r>
          </w:p>
          <w:p w14:paraId="54BFF6CC"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636BDEED"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3C541CBD"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01DF550E"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INDALFER INFANTE GONZALES</w:t>
            </w:r>
          </w:p>
        </w:tc>
        <w:tc>
          <w:tcPr>
            <w:tcW w:w="3876" w:type="dxa"/>
            <w:tcBorders>
              <w:top w:val="nil"/>
              <w:left w:val="nil"/>
              <w:bottom w:val="nil"/>
              <w:right w:val="nil"/>
            </w:tcBorders>
          </w:tcPr>
          <w:p w14:paraId="6FCEBE1E"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MAGISTRADO</w:t>
            </w:r>
          </w:p>
          <w:p w14:paraId="69608267"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3677A3C7"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26D2D486"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012FDA3F" w14:textId="77777777" w:rsidR="00BB4519" w:rsidRPr="00BB4519" w:rsidRDefault="00BB4519" w:rsidP="00BB4519">
            <w:pPr>
              <w:tabs>
                <w:tab w:val="left" w:pos="5640"/>
              </w:tabs>
              <w:spacing w:after="0" w:line="240" w:lineRule="auto"/>
              <w:jc w:val="center"/>
              <w:rPr>
                <w:rFonts w:ascii="Century Gothic" w:eastAsia="MS Mincho" w:hAnsi="Century Gothic" w:cs="Arial"/>
                <w:b/>
                <w:color w:val="000000"/>
                <w:sz w:val="27"/>
                <w:szCs w:val="27"/>
                <w:lang w:val="es-ES" w:eastAsia="es-ES"/>
              </w:rPr>
            </w:pPr>
            <w:r w:rsidRPr="00BB4519">
              <w:rPr>
                <w:rFonts w:ascii="Century Gothic" w:eastAsia="MS Mincho" w:hAnsi="Century Gothic" w:cs="Arial"/>
                <w:b/>
                <w:color w:val="000000"/>
                <w:sz w:val="27"/>
                <w:szCs w:val="27"/>
                <w:lang w:val="es-ES" w:eastAsia="es-ES"/>
              </w:rPr>
              <w:t>REYES RODRÍGUEZ MONDRAGÓN</w:t>
            </w:r>
          </w:p>
          <w:p w14:paraId="23A323BA"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tc>
      </w:tr>
      <w:tr w:rsidR="00A51E52" w:rsidRPr="00BB4519" w14:paraId="5490E70B" w14:textId="77777777" w:rsidTr="009146E4">
        <w:tc>
          <w:tcPr>
            <w:tcW w:w="7751" w:type="dxa"/>
            <w:gridSpan w:val="2"/>
            <w:tcBorders>
              <w:top w:val="nil"/>
              <w:left w:val="nil"/>
              <w:bottom w:val="nil"/>
              <w:right w:val="nil"/>
            </w:tcBorders>
          </w:tcPr>
          <w:p w14:paraId="62F70FBC" w14:textId="77777777" w:rsidR="00A51E52" w:rsidRPr="00BB4519" w:rsidRDefault="00A51E52"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color w:val="000000"/>
                <w:sz w:val="27"/>
                <w:szCs w:val="27"/>
                <w:lang w:val="es-ES" w:eastAsia="es-ES"/>
              </w:rPr>
              <w:t>MAGISTRADA</w:t>
            </w:r>
          </w:p>
          <w:p w14:paraId="3B239A08" w14:textId="77777777" w:rsidR="00A51E52" w:rsidRPr="00BB4519" w:rsidRDefault="00A51E52"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5FD8EC9C" w14:textId="77777777" w:rsidR="00A51E52" w:rsidRPr="00BB4519" w:rsidRDefault="00A51E52"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1FFA165C" w14:textId="77777777" w:rsidR="00A51E52" w:rsidRPr="00BB4519" w:rsidRDefault="00A51E52"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58387A4C" w14:textId="77777777" w:rsidR="00A51E52" w:rsidRPr="00BB4519" w:rsidRDefault="00A51E52" w:rsidP="00BB4519">
            <w:pPr>
              <w:tabs>
                <w:tab w:val="left" w:pos="5640"/>
              </w:tabs>
              <w:spacing w:after="0" w:line="240" w:lineRule="auto"/>
              <w:jc w:val="center"/>
              <w:rPr>
                <w:rFonts w:ascii="Century Gothic" w:eastAsia="MS Mincho" w:hAnsi="Century Gothic" w:cs="Arial"/>
                <w:b/>
                <w:color w:val="000000"/>
                <w:sz w:val="27"/>
                <w:szCs w:val="27"/>
                <w:lang w:val="es-ES" w:eastAsia="es-ES"/>
              </w:rPr>
            </w:pPr>
            <w:r w:rsidRPr="00BB4519">
              <w:rPr>
                <w:rFonts w:ascii="Century Gothic" w:eastAsia="MS Mincho" w:hAnsi="Century Gothic" w:cs="Arial"/>
                <w:b/>
                <w:color w:val="000000"/>
                <w:sz w:val="27"/>
                <w:szCs w:val="27"/>
                <w:lang w:val="es-ES" w:eastAsia="es-ES"/>
              </w:rPr>
              <w:t>MÓNICA ARALÍ SOTO FREGOSO</w:t>
            </w:r>
          </w:p>
          <w:p w14:paraId="2ED42126" w14:textId="77777777" w:rsidR="00A51E52" w:rsidRPr="00BB4519" w:rsidRDefault="00A51E52"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0B263A22" w14:textId="6D0279CB" w:rsidR="00A51E52" w:rsidRPr="00BB4519" w:rsidRDefault="00A51E52" w:rsidP="00A51E52">
            <w:pPr>
              <w:tabs>
                <w:tab w:val="left" w:pos="5640"/>
              </w:tabs>
              <w:spacing w:after="0" w:line="240" w:lineRule="auto"/>
              <w:rPr>
                <w:rFonts w:ascii="Century Gothic" w:eastAsia="MS Mincho" w:hAnsi="Century Gothic" w:cs="Arial"/>
                <w:b/>
                <w:bCs/>
                <w:color w:val="000000"/>
                <w:sz w:val="27"/>
                <w:szCs w:val="27"/>
                <w:lang w:val="es-ES" w:eastAsia="es-ES"/>
              </w:rPr>
            </w:pPr>
          </w:p>
        </w:tc>
      </w:tr>
      <w:tr w:rsidR="00BB4519" w:rsidRPr="00BB4519" w14:paraId="745144F2" w14:textId="77777777" w:rsidTr="008040F0">
        <w:tc>
          <w:tcPr>
            <w:tcW w:w="7751" w:type="dxa"/>
            <w:gridSpan w:val="2"/>
            <w:tcBorders>
              <w:top w:val="nil"/>
              <w:left w:val="nil"/>
              <w:bottom w:val="nil"/>
              <w:right w:val="nil"/>
            </w:tcBorders>
          </w:tcPr>
          <w:p w14:paraId="55FC6FC8"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bCs/>
                <w:color w:val="000000"/>
                <w:sz w:val="27"/>
                <w:szCs w:val="27"/>
                <w:lang w:val="es-ES" w:eastAsia="es-ES"/>
              </w:rPr>
              <w:t>SECRETARIA GENERAL DE ACUERDOS</w:t>
            </w:r>
          </w:p>
          <w:p w14:paraId="50591CE1"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p>
          <w:p w14:paraId="05B5B9AF"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27A12F2A" w14:textId="77777777" w:rsidR="00BB4519" w:rsidRPr="00BB4519" w:rsidRDefault="00BB4519" w:rsidP="00BB4519">
            <w:pPr>
              <w:tabs>
                <w:tab w:val="left" w:pos="5640"/>
              </w:tabs>
              <w:spacing w:after="0" w:line="240" w:lineRule="auto"/>
              <w:rPr>
                <w:rFonts w:ascii="Century Gothic" w:eastAsia="MS Mincho" w:hAnsi="Century Gothic" w:cs="Arial"/>
                <w:b/>
                <w:bCs/>
                <w:color w:val="000000"/>
                <w:sz w:val="27"/>
                <w:szCs w:val="27"/>
                <w:lang w:val="es-ES" w:eastAsia="es-ES"/>
              </w:rPr>
            </w:pPr>
          </w:p>
          <w:p w14:paraId="6D9B27C3" w14:textId="77777777" w:rsidR="00BB4519" w:rsidRPr="00BB4519" w:rsidRDefault="00BB4519" w:rsidP="00BB4519">
            <w:pPr>
              <w:tabs>
                <w:tab w:val="left" w:pos="5640"/>
              </w:tabs>
              <w:spacing w:after="0" w:line="240" w:lineRule="auto"/>
              <w:jc w:val="center"/>
              <w:rPr>
                <w:rFonts w:ascii="Century Gothic" w:eastAsia="MS Mincho" w:hAnsi="Century Gothic" w:cs="Arial"/>
                <w:b/>
                <w:bCs/>
                <w:color w:val="000000"/>
                <w:sz w:val="27"/>
                <w:szCs w:val="27"/>
                <w:lang w:val="es-ES" w:eastAsia="es-ES"/>
              </w:rPr>
            </w:pPr>
            <w:r w:rsidRPr="00BB4519">
              <w:rPr>
                <w:rFonts w:ascii="Century Gothic" w:eastAsia="MS Mincho" w:hAnsi="Century Gothic" w:cs="Arial"/>
                <w:b/>
                <w:bCs/>
                <w:color w:val="000000"/>
                <w:sz w:val="27"/>
                <w:szCs w:val="27"/>
                <w:lang w:val="es-ES" w:eastAsia="es-ES"/>
              </w:rPr>
              <w:t>MARÍA CECILIA SÁNCHEZ BARREIRO</w:t>
            </w:r>
          </w:p>
        </w:tc>
      </w:tr>
    </w:tbl>
    <w:p w14:paraId="249E71D6" w14:textId="77777777" w:rsidR="009A07E2" w:rsidRPr="002D7808" w:rsidRDefault="009A07E2" w:rsidP="00BB4519">
      <w:pPr>
        <w:pStyle w:val="Sinespaciado"/>
        <w:spacing w:line="360" w:lineRule="auto"/>
        <w:jc w:val="both"/>
        <w:rPr>
          <w:rFonts w:ascii="Century Gothic" w:hAnsi="Century Gothic" w:cs="Arial"/>
          <w:sz w:val="27"/>
          <w:szCs w:val="27"/>
        </w:rPr>
      </w:pPr>
    </w:p>
    <w:sectPr w:rsidR="009A07E2" w:rsidRPr="002D7808" w:rsidSect="00A51E52">
      <w:headerReference w:type="even" r:id="rId8"/>
      <w:headerReference w:type="default" r:id="rId9"/>
      <w:footerReference w:type="even" r:id="rId10"/>
      <w:footerReference w:type="default" r:id="rId11"/>
      <w:pgSz w:w="12240" w:h="18720" w:code="14"/>
      <w:pgMar w:top="3062" w:right="1418" w:bottom="2268" w:left="2892" w:header="1134" w:footer="1412"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DC0F0" w14:textId="77777777" w:rsidR="00F97C15" w:rsidRDefault="00F97C15" w:rsidP="004F0EE3">
      <w:pPr>
        <w:spacing w:after="0" w:line="240" w:lineRule="auto"/>
      </w:pPr>
      <w:r>
        <w:separator/>
      </w:r>
    </w:p>
  </w:endnote>
  <w:endnote w:type="continuationSeparator" w:id="0">
    <w:p w14:paraId="43CE2AC5" w14:textId="77777777" w:rsidR="00F97C15" w:rsidRDefault="00F97C15" w:rsidP="004F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B63C" w14:textId="77777777" w:rsidR="00C40E92" w:rsidRPr="008A0016" w:rsidRDefault="00C40E92" w:rsidP="00E074B0">
    <w:pPr>
      <w:pStyle w:val="Piedepgina"/>
      <w:framePr w:wrap="around" w:vAnchor="text" w:hAnchor="margin" w:xAlign="center" w:y="1"/>
      <w:rPr>
        <w:rStyle w:val="Nmerodepgina"/>
        <w:rFonts w:ascii="Arial" w:hAnsi="Arial" w:cs="Arial"/>
        <w:b/>
        <w:sz w:val="28"/>
        <w:szCs w:val="28"/>
      </w:rPr>
    </w:pPr>
    <w:r w:rsidRPr="008A0016">
      <w:rPr>
        <w:rStyle w:val="Nmerodepgina"/>
        <w:rFonts w:ascii="Arial" w:hAnsi="Arial" w:cs="Arial"/>
        <w:b/>
        <w:sz w:val="28"/>
        <w:szCs w:val="28"/>
      </w:rPr>
      <w:fldChar w:fldCharType="begin"/>
    </w:r>
    <w:r w:rsidRPr="008A0016">
      <w:rPr>
        <w:rStyle w:val="Nmerodepgina"/>
        <w:rFonts w:ascii="Arial" w:hAnsi="Arial" w:cs="Arial"/>
        <w:b/>
        <w:sz w:val="28"/>
        <w:szCs w:val="28"/>
      </w:rPr>
      <w:instrText xml:space="preserve">PAGE  </w:instrText>
    </w:r>
    <w:r w:rsidRPr="008A0016">
      <w:rPr>
        <w:rStyle w:val="Nmerodepgina"/>
        <w:rFonts w:ascii="Arial" w:hAnsi="Arial" w:cs="Arial"/>
        <w:b/>
        <w:sz w:val="28"/>
        <w:szCs w:val="28"/>
      </w:rPr>
      <w:fldChar w:fldCharType="separate"/>
    </w:r>
    <w:r>
      <w:rPr>
        <w:rStyle w:val="Nmerodepgina"/>
        <w:rFonts w:ascii="Arial" w:hAnsi="Arial" w:cs="Arial"/>
        <w:b/>
        <w:noProof/>
        <w:sz w:val="28"/>
        <w:szCs w:val="28"/>
      </w:rPr>
      <w:t>4</w:t>
    </w:r>
    <w:r w:rsidRPr="008A0016">
      <w:rPr>
        <w:rStyle w:val="Nmerodepgina"/>
        <w:rFonts w:ascii="Arial" w:hAnsi="Arial" w:cs="Arial"/>
        <w:b/>
        <w:sz w:val="28"/>
        <w:szCs w:val="28"/>
      </w:rPr>
      <w:fldChar w:fldCharType="end"/>
    </w:r>
  </w:p>
  <w:p w14:paraId="1E07E587" w14:textId="77777777" w:rsidR="00C40E92" w:rsidRPr="008A0016" w:rsidRDefault="00C40E92" w:rsidP="0042074F">
    <w:pPr>
      <w:pStyle w:val="Piedepgina"/>
      <w:ind w:right="360"/>
      <w:rPr>
        <w:rFonts w:ascii="Arial" w:hAnsi="Arial" w:cs="Arial"/>
        <w: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D25D" w14:textId="77777777" w:rsidR="00C40E92" w:rsidRPr="008A0016" w:rsidRDefault="00C40E92" w:rsidP="00E074B0">
    <w:pPr>
      <w:pStyle w:val="Piedepgina"/>
      <w:framePr w:wrap="around" w:vAnchor="text" w:hAnchor="margin" w:xAlign="center" w:y="1"/>
      <w:rPr>
        <w:rStyle w:val="Nmerodepgina"/>
        <w:rFonts w:ascii="Arial" w:hAnsi="Arial" w:cs="Arial"/>
        <w:b/>
        <w:bCs/>
        <w:sz w:val="28"/>
        <w:szCs w:val="28"/>
      </w:rPr>
    </w:pPr>
    <w:r w:rsidRPr="008A0016">
      <w:rPr>
        <w:rStyle w:val="Nmerodepgina"/>
        <w:rFonts w:ascii="Arial" w:hAnsi="Arial" w:cs="Arial"/>
        <w:b/>
        <w:bCs/>
        <w:sz w:val="28"/>
        <w:szCs w:val="28"/>
      </w:rPr>
      <w:fldChar w:fldCharType="begin"/>
    </w:r>
    <w:r w:rsidRPr="008A0016">
      <w:rPr>
        <w:rStyle w:val="Nmerodepgina"/>
        <w:rFonts w:ascii="Arial" w:hAnsi="Arial" w:cs="Arial"/>
        <w:b/>
        <w:bCs/>
        <w:sz w:val="28"/>
        <w:szCs w:val="28"/>
      </w:rPr>
      <w:instrText xml:space="preserve">PAGE  </w:instrText>
    </w:r>
    <w:r w:rsidRPr="008A0016">
      <w:rPr>
        <w:rStyle w:val="Nmerodepgina"/>
        <w:rFonts w:ascii="Arial" w:hAnsi="Arial" w:cs="Arial"/>
        <w:b/>
        <w:bCs/>
        <w:sz w:val="28"/>
        <w:szCs w:val="28"/>
      </w:rPr>
      <w:fldChar w:fldCharType="separate"/>
    </w:r>
    <w:r w:rsidR="00F152EB">
      <w:rPr>
        <w:rStyle w:val="Nmerodepgina"/>
        <w:rFonts w:ascii="Arial" w:hAnsi="Arial" w:cs="Arial"/>
        <w:b/>
        <w:bCs/>
        <w:noProof/>
        <w:sz w:val="28"/>
        <w:szCs w:val="28"/>
      </w:rPr>
      <w:t>24</w:t>
    </w:r>
    <w:r w:rsidRPr="008A0016">
      <w:rPr>
        <w:rStyle w:val="Nmerodepgina"/>
        <w:rFonts w:ascii="Arial" w:hAnsi="Arial" w:cs="Arial"/>
        <w:b/>
        <w:bCs/>
        <w:sz w:val="28"/>
        <w:szCs w:val="28"/>
      </w:rPr>
      <w:fldChar w:fldCharType="end"/>
    </w:r>
  </w:p>
  <w:p w14:paraId="787E0430" w14:textId="77777777" w:rsidR="00C40E92" w:rsidRPr="008A0016" w:rsidRDefault="00C40E92" w:rsidP="0042074F">
    <w:pPr>
      <w:pStyle w:val="Piedepgina"/>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D48D3" w14:textId="77777777" w:rsidR="00F97C15" w:rsidRDefault="00F97C15" w:rsidP="004F0EE3">
      <w:pPr>
        <w:spacing w:after="0" w:line="240" w:lineRule="auto"/>
      </w:pPr>
      <w:r>
        <w:separator/>
      </w:r>
    </w:p>
  </w:footnote>
  <w:footnote w:type="continuationSeparator" w:id="0">
    <w:p w14:paraId="233C2D75" w14:textId="77777777" w:rsidR="00F97C15" w:rsidRDefault="00F97C15" w:rsidP="004F0EE3">
      <w:pPr>
        <w:spacing w:after="0" w:line="240" w:lineRule="auto"/>
      </w:pPr>
      <w:r>
        <w:continuationSeparator/>
      </w:r>
    </w:p>
  </w:footnote>
  <w:footnote w:id="1">
    <w:p w14:paraId="5BA96D8A" w14:textId="75DF7463" w:rsidR="00C40E92" w:rsidRPr="00547239" w:rsidRDefault="00C40E92">
      <w:pPr>
        <w:pStyle w:val="Textonotapie"/>
        <w:rPr>
          <w:rFonts w:ascii="Century Gothic" w:hAnsi="Century Gothic"/>
        </w:rPr>
      </w:pPr>
      <w:r w:rsidRPr="00547239">
        <w:rPr>
          <w:rStyle w:val="Refdenotaalpie"/>
          <w:rFonts w:ascii="Century Gothic" w:hAnsi="Century Gothic"/>
        </w:rPr>
        <w:footnoteRef/>
      </w:r>
      <w:r w:rsidRPr="00547239">
        <w:rPr>
          <w:rFonts w:ascii="Century Gothic" w:hAnsi="Century Gothic"/>
        </w:rPr>
        <w:t xml:space="preserve"> En adelante Sala responsable o Sala Monterrey.</w:t>
      </w:r>
    </w:p>
  </w:footnote>
  <w:footnote w:id="2">
    <w:p w14:paraId="586F22D5" w14:textId="592B1DDC" w:rsidR="00C40E92" w:rsidRPr="00547239" w:rsidRDefault="00C40E92">
      <w:pPr>
        <w:pStyle w:val="Textonotapie"/>
        <w:rPr>
          <w:rFonts w:ascii="Century Gothic" w:hAnsi="Century Gothic"/>
        </w:rPr>
      </w:pPr>
      <w:r w:rsidRPr="00547239">
        <w:rPr>
          <w:rStyle w:val="Refdenotaalpie"/>
          <w:rFonts w:ascii="Century Gothic" w:hAnsi="Century Gothic"/>
        </w:rPr>
        <w:footnoteRef/>
      </w:r>
      <w:r w:rsidRPr="00547239">
        <w:rPr>
          <w:rFonts w:ascii="Century Gothic" w:hAnsi="Century Gothic"/>
        </w:rPr>
        <w:t xml:space="preserve"> En adelante Tribunal local.</w:t>
      </w:r>
    </w:p>
  </w:footnote>
  <w:footnote w:id="3">
    <w:p w14:paraId="45BDF27B" w14:textId="508436AE" w:rsidR="00C40E92" w:rsidRPr="00547239" w:rsidRDefault="00C40E92">
      <w:pPr>
        <w:pStyle w:val="Textonotapie"/>
        <w:rPr>
          <w:rFonts w:ascii="Century Gothic" w:hAnsi="Century Gothic"/>
        </w:rPr>
      </w:pPr>
      <w:r w:rsidRPr="00547239">
        <w:rPr>
          <w:rStyle w:val="Refdenotaalpie"/>
          <w:rFonts w:ascii="Century Gothic" w:hAnsi="Century Gothic"/>
        </w:rPr>
        <w:footnoteRef/>
      </w:r>
      <w:r w:rsidRPr="00547239">
        <w:rPr>
          <w:rFonts w:ascii="Century Gothic" w:hAnsi="Century Gothic"/>
        </w:rPr>
        <w:t xml:space="preserve"> En adelante PT.</w:t>
      </w:r>
    </w:p>
  </w:footnote>
  <w:footnote w:id="4">
    <w:p w14:paraId="0F34CB44" w14:textId="77777777" w:rsidR="00C40E92" w:rsidRPr="00547239" w:rsidRDefault="00C40E92" w:rsidP="0049695F">
      <w:pPr>
        <w:pStyle w:val="Textonotapie"/>
        <w:rPr>
          <w:rFonts w:ascii="Century Gothic" w:hAnsi="Century Gothic"/>
        </w:rPr>
      </w:pPr>
      <w:r w:rsidRPr="00547239">
        <w:rPr>
          <w:rStyle w:val="Refdenotaalpie"/>
          <w:rFonts w:ascii="Century Gothic" w:hAnsi="Century Gothic"/>
        </w:rPr>
        <w:footnoteRef/>
      </w:r>
      <w:r w:rsidRPr="00547239">
        <w:rPr>
          <w:rFonts w:ascii="Century Gothic" w:hAnsi="Century Gothic"/>
        </w:rPr>
        <w:t xml:space="preserve"> En adelante Consejo General del Instituto local.</w:t>
      </w:r>
    </w:p>
  </w:footnote>
  <w:footnote w:id="5">
    <w:p w14:paraId="63D17B1F" w14:textId="401BD653" w:rsidR="00C40E92" w:rsidRPr="00547239" w:rsidRDefault="00C40E92">
      <w:pPr>
        <w:pStyle w:val="Textonotapie"/>
        <w:rPr>
          <w:rFonts w:ascii="Century Gothic" w:hAnsi="Century Gothic"/>
        </w:rPr>
      </w:pPr>
      <w:r w:rsidRPr="00547239">
        <w:rPr>
          <w:rStyle w:val="Refdenotaalpie"/>
          <w:rFonts w:ascii="Century Gothic" w:hAnsi="Century Gothic"/>
        </w:rPr>
        <w:footnoteRef/>
      </w:r>
      <w:r w:rsidRPr="00547239">
        <w:rPr>
          <w:rFonts w:ascii="Century Gothic" w:hAnsi="Century Gothic"/>
        </w:rPr>
        <w:t xml:space="preserve"> En adelante los Lineamientos.</w:t>
      </w:r>
    </w:p>
  </w:footnote>
  <w:footnote w:id="6">
    <w:p w14:paraId="5EEE3ADE" w14:textId="09A06545" w:rsidR="00C40E92" w:rsidRPr="00547239" w:rsidRDefault="00C40E92">
      <w:pPr>
        <w:pStyle w:val="Textonotapie"/>
        <w:rPr>
          <w:rFonts w:ascii="Century Gothic" w:hAnsi="Century Gothic"/>
        </w:rPr>
      </w:pPr>
      <w:r w:rsidRPr="00547239">
        <w:rPr>
          <w:rStyle w:val="Refdenotaalpie"/>
          <w:rFonts w:ascii="Century Gothic" w:hAnsi="Century Gothic"/>
        </w:rPr>
        <w:footnoteRef/>
      </w:r>
      <w:r w:rsidRPr="00547239">
        <w:rPr>
          <w:rFonts w:ascii="Century Gothic" w:hAnsi="Century Gothic"/>
        </w:rPr>
        <w:t xml:space="preserve"> En adelante las fechas que se citan corresponden al año dos mil dieciocho, salvo mención expresa en contrario.</w:t>
      </w:r>
    </w:p>
  </w:footnote>
  <w:footnote w:id="7">
    <w:p w14:paraId="2EF20CAB" w14:textId="77777777" w:rsidR="00C40E92" w:rsidRPr="005A5CDF" w:rsidRDefault="00C40E92" w:rsidP="00E114CF">
      <w:pPr>
        <w:pStyle w:val="Textonotapie"/>
        <w:jc w:val="both"/>
        <w:rPr>
          <w:rFonts w:ascii="Century Gothic" w:hAnsi="Century Gothic"/>
        </w:rPr>
      </w:pPr>
      <w:r w:rsidRPr="005A5CDF">
        <w:rPr>
          <w:rStyle w:val="Refdenotaalpie"/>
          <w:rFonts w:ascii="Century Gothic" w:hAnsi="Century Gothic"/>
        </w:rPr>
        <w:footnoteRef/>
      </w:r>
      <w:r w:rsidRPr="005A5CDF">
        <w:rPr>
          <w:rFonts w:ascii="Century Gothic" w:hAnsi="Century Gothic"/>
        </w:rPr>
        <w:t xml:space="preserve"> Lo anterior, de conformidad con lo dispuesto en los artículos 41, segundo párrafo, Base VI y 99, cuarto párrafo, fracción X, de la Constitución Federal, 186, fracción X y 189, fracción I, inciso b), de la Ley Orgánica y 64 de la Ley General del Sistema de Medios de Impugnación en Materia Electoral.</w:t>
      </w:r>
    </w:p>
  </w:footnote>
  <w:footnote w:id="8">
    <w:p w14:paraId="16DCB7FE" w14:textId="77777777" w:rsidR="00C40E92" w:rsidRPr="005A5CDF" w:rsidRDefault="00C40E92" w:rsidP="00E114CF">
      <w:pPr>
        <w:pStyle w:val="Textonotapie"/>
        <w:jc w:val="both"/>
        <w:rPr>
          <w:rFonts w:ascii="Century Gothic" w:hAnsi="Century Gothic"/>
          <w:i/>
        </w:rPr>
      </w:pPr>
      <w:r w:rsidRPr="005A5CDF">
        <w:rPr>
          <w:rStyle w:val="Refdenotaalpie"/>
          <w:rFonts w:ascii="Century Gothic" w:hAnsi="Century Gothic"/>
        </w:rPr>
        <w:footnoteRef/>
      </w:r>
      <w:r w:rsidRPr="005A5CDF">
        <w:rPr>
          <w:rFonts w:ascii="Century Gothic" w:hAnsi="Century Gothic"/>
        </w:rPr>
        <w:t xml:space="preserve"> Jurisprudencia 22/2001, de rubro: “</w:t>
      </w:r>
      <w:r w:rsidRPr="005A5CDF">
        <w:rPr>
          <w:rFonts w:ascii="Century Gothic" w:hAnsi="Century Gothic"/>
          <w:b/>
        </w:rPr>
        <w:t>RECONSIDERACIÓN. CONCEPTO DE SENTENCIA DE FONDO, PARA LA INTERPOSICIÓN DEL RECURSO</w:t>
      </w:r>
      <w:r w:rsidRPr="005A5CDF">
        <w:rPr>
          <w:rFonts w:ascii="Century Gothic" w:hAnsi="Century Gothic"/>
        </w:rPr>
        <w:t>”, consultable en Justicia Electoral. Revista del Tribunal Electoral del Poder Judicial de la Federación, Suplemento 5, Año 2002, páginas 25 y 26.</w:t>
      </w:r>
    </w:p>
  </w:footnote>
  <w:footnote w:id="9">
    <w:p w14:paraId="1E37EE13" w14:textId="77777777" w:rsidR="00C40E92" w:rsidRPr="007D5735" w:rsidRDefault="00C40E92" w:rsidP="007D5735">
      <w:pPr>
        <w:pStyle w:val="NormalWeb"/>
        <w:spacing w:before="0" w:beforeAutospacing="0" w:after="0" w:afterAutospacing="0"/>
        <w:jc w:val="both"/>
        <w:rPr>
          <w:rFonts w:ascii="Century Gothic" w:hAnsi="Century Gothic" w:cs="Arial"/>
          <w:sz w:val="20"/>
          <w:szCs w:val="20"/>
        </w:rPr>
      </w:pPr>
      <w:r w:rsidRPr="007D5735">
        <w:rPr>
          <w:rStyle w:val="Refdenotaalpie"/>
          <w:rFonts w:ascii="Century Gothic" w:hAnsi="Century Gothic"/>
          <w:sz w:val="20"/>
          <w:szCs w:val="20"/>
        </w:rPr>
        <w:footnoteRef/>
      </w:r>
      <w:r w:rsidRPr="007D5735">
        <w:rPr>
          <w:rFonts w:ascii="Century Gothic" w:hAnsi="Century Gothic"/>
          <w:sz w:val="20"/>
          <w:szCs w:val="20"/>
        </w:rPr>
        <w:t xml:space="preserve"> </w:t>
      </w:r>
      <w:r w:rsidRPr="007D5735">
        <w:rPr>
          <w:rFonts w:ascii="Century Gothic" w:hAnsi="Century Gothic" w:cs="Arial"/>
          <w:sz w:val="20"/>
          <w:szCs w:val="20"/>
        </w:rPr>
        <w:t xml:space="preserve">Al respecto, tiene aplicación la jurisprudencia 3/2014, de rubro: </w:t>
      </w:r>
      <w:r w:rsidRPr="007D5735">
        <w:rPr>
          <w:rFonts w:ascii="Century Gothic" w:hAnsi="Century Gothic" w:cs="Arial"/>
          <w:b/>
          <w:sz w:val="20"/>
          <w:szCs w:val="20"/>
        </w:rPr>
        <w:t>“LEGITIMACIÓN. LOS CANDIDATOS A CARGOS DE ELECCIÓN POPULAR, LA TIENEN PARA INTERPONER RECURSOS DE RECONSIDERACIÓN”</w:t>
      </w:r>
      <w:r w:rsidRPr="007D5735">
        <w:rPr>
          <w:rFonts w:ascii="Century Gothic" w:hAnsi="Century Gothic" w:cs="Arial"/>
          <w:i/>
          <w:sz w:val="20"/>
          <w:szCs w:val="20"/>
        </w:rPr>
        <w:t xml:space="preserve">. </w:t>
      </w:r>
      <w:r w:rsidRPr="007D5735">
        <w:rPr>
          <w:rFonts w:ascii="Century Gothic" w:hAnsi="Century Gothic" w:cs="Arial"/>
          <w:sz w:val="20"/>
          <w:szCs w:val="20"/>
        </w:rPr>
        <w:t xml:space="preserve"> </w:t>
      </w:r>
    </w:p>
    <w:p w14:paraId="4FE500AD" w14:textId="065F94C0" w:rsidR="00C40E92" w:rsidRDefault="00C40E92">
      <w:pPr>
        <w:pStyle w:val="Textonotapie"/>
      </w:pPr>
    </w:p>
  </w:footnote>
  <w:footnote w:id="10">
    <w:p w14:paraId="64681DFA" w14:textId="3E3E9B7E" w:rsidR="00C40E92" w:rsidRPr="00A0236E" w:rsidRDefault="00A2069E" w:rsidP="000B20F1">
      <w:pPr>
        <w:pStyle w:val="Textonotapie"/>
        <w:jc w:val="both"/>
        <w:rPr>
          <w:rFonts w:ascii="Century Gothic" w:hAnsi="Century Gothic" w:cs="Arial"/>
        </w:rPr>
      </w:pPr>
      <w:r w:rsidRPr="00A0236E">
        <w:rPr>
          <w:rStyle w:val="Refdenotaalpie"/>
          <w:rFonts w:ascii="Century Gothic" w:hAnsi="Century Gothic" w:cs="Arial"/>
        </w:rPr>
        <w:footnoteRef/>
      </w:r>
      <w:r w:rsidRPr="00A0236E">
        <w:rPr>
          <w:rFonts w:ascii="Century Gothic" w:hAnsi="Century Gothic" w:cs="Arial"/>
        </w:rPr>
        <w:t xml:space="preserve"> Atendiendo a la jurisprudencia 12/2014, de rubro “</w:t>
      </w:r>
      <w:r w:rsidRPr="00A0236E">
        <w:rPr>
          <w:rFonts w:ascii="Century Gothic" w:hAnsi="Century Gothic" w:cs="Arial"/>
          <w:b/>
          <w:bCs/>
        </w:rPr>
        <w:t>RECURSO DE RECONSIDERACIÓN. PROCEDE PARA IMPUGNAR SENTENCIAS DE LAS SALAS REGIONALES SI SE ADUCE INDEBIDO ANÁLISIS U OMISIÓN DE ESTUDIO SOBRE LA CONSTITUCIONALIDAD DE NORMAS LEGALES IMPUGNADAS CON MOTIVO DE SU ACTO DE APLICACIÓN</w:t>
      </w:r>
      <w:r w:rsidRPr="00A0236E">
        <w:rPr>
          <w:rFonts w:ascii="Century Gothic" w:hAnsi="Century Gothic" w:cs="Arial"/>
        </w:rPr>
        <w:t>”. Disponible en: Gaceta de Jurisprudencia y Tesis en materia</w:t>
      </w:r>
      <w:r w:rsidRPr="00A0236E">
        <w:rPr>
          <w:rFonts w:ascii="Arial" w:hAnsi="Arial" w:cs="Arial"/>
        </w:rPr>
        <w:t xml:space="preserve"> </w:t>
      </w:r>
      <w:r w:rsidRPr="00A0236E">
        <w:rPr>
          <w:rFonts w:ascii="Century Gothic" w:hAnsi="Century Gothic" w:cs="Arial"/>
        </w:rPr>
        <w:t>electoral, Tribunal Electoral del Poder Judicial de la Federación, Año 7, Número 14, 2014, páginas 27 y 28.</w:t>
      </w:r>
    </w:p>
  </w:footnote>
  <w:footnote w:id="11">
    <w:p w14:paraId="4296A14A" w14:textId="77777777" w:rsidR="00C40E92" w:rsidRPr="009A07E2" w:rsidRDefault="00C40E92" w:rsidP="00802A16">
      <w:pPr>
        <w:pStyle w:val="Textonotapie"/>
        <w:jc w:val="both"/>
        <w:rPr>
          <w:rFonts w:ascii="Century Gothic" w:hAnsi="Century Gothic" w:cs="Arial"/>
        </w:rPr>
      </w:pPr>
      <w:r w:rsidRPr="009A07E2">
        <w:rPr>
          <w:rStyle w:val="Refdenotaalpie"/>
          <w:rFonts w:ascii="Century Gothic" w:hAnsi="Century Gothic" w:cs="Arial"/>
        </w:rPr>
        <w:footnoteRef/>
      </w:r>
      <w:r w:rsidRPr="009A07E2">
        <w:rPr>
          <w:rFonts w:ascii="Century Gothic" w:hAnsi="Century Gothic" w:cs="Arial"/>
        </w:rPr>
        <w:t xml:space="preserve"> </w:t>
      </w:r>
      <w:r w:rsidRPr="009A07E2">
        <w:rPr>
          <w:rFonts w:ascii="Century Gothic" w:hAnsi="Century Gothic" w:cs="Arial"/>
          <w:lang w:val="es-ES_tradnl"/>
        </w:rPr>
        <w:t>La disposición convencional referida establece que: “</w:t>
      </w:r>
      <w:r w:rsidRPr="009A07E2">
        <w:rPr>
          <w:rFonts w:ascii="Century Gothic" w:hAnsi="Century Gothic" w:cs="Arial"/>
        </w:rPr>
        <w:t>[e]l derecho de toda Mujer a una vida libre de violencia incluye, entre otros: a. El derecho de la mujer a ser libre de toda forma de discriminación […]”.</w:t>
      </w:r>
    </w:p>
  </w:footnote>
  <w:footnote w:id="12">
    <w:p w14:paraId="27B66CAD" w14:textId="77777777" w:rsidR="00C40E92" w:rsidRPr="009A07E2" w:rsidRDefault="00C40E92" w:rsidP="00802A16">
      <w:pPr>
        <w:pStyle w:val="Textonotapie"/>
        <w:jc w:val="both"/>
        <w:rPr>
          <w:rFonts w:ascii="Century Gothic" w:hAnsi="Century Gothic" w:cs="Arial"/>
          <w:lang w:val="es-ES_tradnl"/>
        </w:rPr>
      </w:pPr>
      <w:r w:rsidRPr="009A07E2">
        <w:rPr>
          <w:rStyle w:val="Refdenotaalpie"/>
          <w:rFonts w:ascii="Century Gothic" w:hAnsi="Century Gothic" w:cs="Arial"/>
        </w:rPr>
        <w:footnoteRef/>
      </w:r>
      <w:r w:rsidRPr="009A07E2">
        <w:rPr>
          <w:rFonts w:ascii="Century Gothic" w:hAnsi="Century Gothic" w:cs="Arial"/>
        </w:rPr>
        <w:t xml:space="preserve"> </w:t>
      </w:r>
      <w:r w:rsidRPr="009A07E2">
        <w:rPr>
          <w:rFonts w:ascii="Century Gothic" w:hAnsi="Century Gothic" w:cs="Arial"/>
          <w:lang w:val="es-ES_tradnl"/>
        </w:rPr>
        <w:t>Los preceptos señalados disponen lo siguiente:</w:t>
      </w:r>
    </w:p>
    <w:p w14:paraId="1C73E5B1" w14:textId="77777777" w:rsidR="00C40E92" w:rsidRPr="009A07E2" w:rsidRDefault="00C40E92" w:rsidP="00802A16">
      <w:pPr>
        <w:pStyle w:val="Textonotapie"/>
        <w:jc w:val="both"/>
        <w:rPr>
          <w:rFonts w:ascii="Century Gothic" w:hAnsi="Century Gothic" w:cs="Arial"/>
        </w:rPr>
      </w:pPr>
      <w:r w:rsidRPr="009A07E2">
        <w:rPr>
          <w:rFonts w:ascii="Century Gothic" w:hAnsi="Century Gothic" w:cs="Arial"/>
        </w:rPr>
        <w:t>“Artículo 1. A los efectos de la presente Convención, la expresión "discriminación contra la mujer"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253F7DA9" w14:textId="77777777" w:rsidR="00C40E92" w:rsidRPr="009A07E2" w:rsidRDefault="00C40E92" w:rsidP="00802A16">
      <w:pPr>
        <w:pStyle w:val="Textonotapie"/>
        <w:jc w:val="both"/>
        <w:rPr>
          <w:rFonts w:ascii="Century Gothic" w:hAnsi="Century Gothic" w:cs="Arial"/>
        </w:rPr>
      </w:pPr>
      <w:r w:rsidRPr="009A07E2">
        <w:rPr>
          <w:rFonts w:ascii="Century Gothic" w:hAnsi="Century Gothic" w:cs="Arial"/>
        </w:rPr>
        <w:t>Artículo 2. Los Estados Partes condenan la discriminación contra la mujer en todas sus formas, convienen en seguir, por todos los medios apropiados y sin dilaciones, una política encaminada a eliminar la discriminación contra la mujer […]”.</w:t>
      </w:r>
      <w:r w:rsidRPr="009A07E2">
        <w:rPr>
          <w:rFonts w:ascii="Century Gothic" w:hAnsi="Century Gothic" w:cs="Arial"/>
          <w:lang w:val="es-ES_tradnl"/>
        </w:rPr>
        <w:t xml:space="preserve"> </w:t>
      </w:r>
    </w:p>
  </w:footnote>
  <w:footnote w:id="13">
    <w:p w14:paraId="0FC48561" w14:textId="77777777" w:rsidR="00C40E92" w:rsidRPr="009A07E2" w:rsidRDefault="00C40E92" w:rsidP="00802A16">
      <w:pPr>
        <w:pStyle w:val="Textonotapie"/>
        <w:jc w:val="both"/>
        <w:rPr>
          <w:rFonts w:ascii="Century Gothic" w:hAnsi="Century Gothic" w:cs="Arial"/>
        </w:rPr>
      </w:pPr>
      <w:r w:rsidRPr="009A07E2">
        <w:rPr>
          <w:rStyle w:val="Refdenotaalpie"/>
          <w:rFonts w:ascii="Century Gothic" w:hAnsi="Century Gothic" w:cs="Arial"/>
        </w:rPr>
        <w:footnoteRef/>
      </w:r>
      <w:r w:rsidRPr="009A07E2">
        <w:rPr>
          <w:rFonts w:ascii="Century Gothic" w:hAnsi="Century Gothic" w:cs="Arial"/>
        </w:rPr>
        <w:t xml:space="preserve"> </w:t>
      </w:r>
      <w:r w:rsidRPr="009A07E2">
        <w:rPr>
          <w:rFonts w:ascii="Century Gothic" w:hAnsi="Century Gothic" w:cs="Arial"/>
          <w:lang w:val="es-ES_tradnl"/>
        </w:rPr>
        <w:t xml:space="preserve">A continuación, se establece el contenido de los preceptos convencionales precisados: “Artículo 7. </w:t>
      </w:r>
      <w:r w:rsidRPr="009A07E2">
        <w:rPr>
          <w:rFonts w:ascii="Century Gothic" w:hAnsi="Century Gothic" w:cs="Arial"/>
        </w:rPr>
        <w:t>Los Estados Partes tomarán todas las medidas apropiadas para eliminar la discriminación contra la mujer en la vida política y pública del país y, en particular, garantizarán a las mujeres, en igualdad de condiciones con los hombres, el derecho a:</w:t>
      </w:r>
    </w:p>
    <w:p w14:paraId="013D8A92" w14:textId="77777777" w:rsidR="00C40E92" w:rsidRPr="009A07E2" w:rsidRDefault="00C40E92" w:rsidP="00802A16">
      <w:pPr>
        <w:pStyle w:val="Textonotapie"/>
        <w:jc w:val="both"/>
        <w:rPr>
          <w:rFonts w:ascii="Century Gothic" w:hAnsi="Century Gothic" w:cs="Arial"/>
        </w:rPr>
      </w:pPr>
      <w:r w:rsidRPr="009A07E2">
        <w:rPr>
          <w:rFonts w:ascii="Century Gothic" w:hAnsi="Century Gothic" w:cs="Arial"/>
        </w:rPr>
        <w:t>a) Votar en todas las elecciones y referéndums públicos y ser elegibles para todos los organismos cuyos miembros sean objeto de elecciones públicas;</w:t>
      </w:r>
    </w:p>
    <w:p w14:paraId="30F9BC96" w14:textId="77777777" w:rsidR="00C40E92" w:rsidRPr="009A07E2" w:rsidRDefault="00C40E92" w:rsidP="00802A16">
      <w:pPr>
        <w:pStyle w:val="Textonotapie"/>
        <w:jc w:val="both"/>
        <w:rPr>
          <w:rFonts w:ascii="Century Gothic" w:hAnsi="Century Gothic"/>
        </w:rPr>
      </w:pPr>
      <w:r w:rsidRPr="009A07E2">
        <w:rPr>
          <w:rFonts w:ascii="Century Gothic" w:hAnsi="Century Gothic" w:cs="Arial"/>
        </w:rPr>
        <w:t>b) Participar en la formulación de las políticas gubernamentales y en la ejecución de éstas, y ocupar cargos públicos y ejercer todas las funciones públicas en todos los planos gubernamentales; […]”.</w:t>
      </w:r>
    </w:p>
  </w:footnote>
  <w:footnote w:id="14">
    <w:p w14:paraId="77C48D26" w14:textId="77777777" w:rsidR="00C40E92" w:rsidRPr="009A07E2" w:rsidRDefault="00C40E92" w:rsidP="00802A16">
      <w:pPr>
        <w:widowControl w:val="0"/>
        <w:autoSpaceDE w:val="0"/>
        <w:autoSpaceDN w:val="0"/>
        <w:adjustRightInd w:val="0"/>
        <w:spacing w:after="0" w:line="240" w:lineRule="auto"/>
        <w:jc w:val="both"/>
        <w:rPr>
          <w:rFonts w:ascii="Century Gothic" w:hAnsi="Century Gothic" w:cs="Arial"/>
          <w:sz w:val="20"/>
          <w:szCs w:val="20"/>
        </w:rPr>
      </w:pPr>
      <w:r w:rsidRPr="009A07E2">
        <w:rPr>
          <w:rStyle w:val="Refdenotaalpie"/>
          <w:rFonts w:ascii="Century Gothic" w:hAnsi="Century Gothic" w:cs="Arial"/>
          <w:sz w:val="20"/>
          <w:szCs w:val="20"/>
        </w:rPr>
        <w:footnoteRef/>
      </w:r>
      <w:r w:rsidRPr="009A07E2">
        <w:rPr>
          <w:rFonts w:ascii="Century Gothic" w:hAnsi="Century Gothic" w:cs="Arial"/>
          <w:sz w:val="20"/>
          <w:szCs w:val="20"/>
        </w:rPr>
        <w:t xml:space="preserve"> El precepto convencional de referencia establece lo siguiente: “</w:t>
      </w:r>
      <w:r w:rsidRPr="009A07E2">
        <w:rPr>
          <w:rFonts w:ascii="Century Gothic" w:hAnsi="Century Gothic" w:cs="Arial"/>
          <w:sz w:val="20"/>
          <w:szCs w:val="20"/>
          <w:lang w:val="es-ES"/>
        </w:rPr>
        <w:t xml:space="preserve">[l]os Estados Partes tomarán todas las medidas apropiadas para eliminar la discriminación contra la mujer en la vida política y pública del país y, en particular, </w:t>
      </w:r>
      <w:r w:rsidRPr="009A07E2">
        <w:rPr>
          <w:rFonts w:ascii="Century Gothic" w:hAnsi="Century Gothic" w:cs="Arial"/>
          <w:b/>
          <w:sz w:val="20"/>
          <w:szCs w:val="20"/>
          <w:lang w:val="es-ES"/>
        </w:rPr>
        <w:t>garantizarán a las mujeres, en igualdad de condiciones con los hombres</w:t>
      </w:r>
      <w:r w:rsidRPr="009A07E2">
        <w:rPr>
          <w:rFonts w:ascii="Century Gothic" w:hAnsi="Century Gothic" w:cs="Arial"/>
          <w:sz w:val="20"/>
          <w:szCs w:val="20"/>
          <w:lang w:val="es-ES"/>
        </w:rPr>
        <w:t xml:space="preserve">, el derecho a: […] b) Participar en la formulación de las políticas gubernamentales y en la ejecución de éstas, y </w:t>
      </w:r>
      <w:r w:rsidRPr="009A07E2">
        <w:rPr>
          <w:rFonts w:ascii="Century Gothic" w:hAnsi="Century Gothic" w:cs="Arial"/>
          <w:b/>
          <w:sz w:val="20"/>
          <w:szCs w:val="20"/>
          <w:lang w:val="es-ES"/>
        </w:rPr>
        <w:t>ocupar cargos públicos y ejercer todas las funciones públicas en todos los planos gubernamentales</w:t>
      </w:r>
      <w:r w:rsidRPr="009A07E2">
        <w:rPr>
          <w:rFonts w:ascii="Century Gothic" w:hAnsi="Century Gothic" w:cs="Arial"/>
          <w:sz w:val="20"/>
          <w:szCs w:val="20"/>
          <w:lang w:val="es-ES"/>
        </w:rPr>
        <w:t xml:space="preserve"> […]” (énfasis añadido).</w:t>
      </w:r>
    </w:p>
  </w:footnote>
  <w:footnote w:id="15">
    <w:p w14:paraId="4A67DB29" w14:textId="77777777" w:rsidR="00C40E92" w:rsidRPr="009A07E2" w:rsidRDefault="00C40E92" w:rsidP="00802A16">
      <w:pPr>
        <w:pStyle w:val="Textonotapie"/>
        <w:jc w:val="both"/>
        <w:rPr>
          <w:rFonts w:ascii="Century Gothic" w:hAnsi="Century Gothic" w:cs="Arial"/>
        </w:rPr>
      </w:pPr>
      <w:r w:rsidRPr="009A07E2">
        <w:rPr>
          <w:rStyle w:val="Refdenotaalpie"/>
          <w:rFonts w:ascii="Century Gothic" w:hAnsi="Century Gothic" w:cs="Arial"/>
        </w:rPr>
        <w:footnoteRef/>
      </w:r>
      <w:r w:rsidRPr="009A07E2">
        <w:rPr>
          <w:rFonts w:ascii="Century Gothic" w:hAnsi="Century Gothic" w:cs="Arial"/>
        </w:rPr>
        <w:t xml:space="preserve"> </w:t>
      </w:r>
      <w:r w:rsidRPr="009A07E2">
        <w:rPr>
          <w:rFonts w:ascii="Century Gothic" w:hAnsi="Century Gothic" w:cs="Arial"/>
          <w:lang w:val="es-ES_tradnl"/>
        </w:rPr>
        <w:t>En las disposiciones señaladas se establece lo siguiente: “</w:t>
      </w:r>
      <w:r w:rsidRPr="009A07E2">
        <w:rPr>
          <w:rFonts w:ascii="Century Gothic" w:hAnsi="Century Gothic" w:cs="Arial"/>
        </w:rPr>
        <w:t>Artículo II. Las mujeres serán elegibles para todos los organismos públicos electivos establecidos por la legislación nacional, en condiciones de igualdad con los hombres, sin discriminación alguna. Artículo III. Las mujeres tendrán a ocupar cargos públicos y a ejercer todas las funciones públicas establecidas por la legislación nacional, en igualdad de condiciones con los hombres, sin discriminación alguna</w:t>
      </w:r>
      <w:r w:rsidRPr="009A07E2">
        <w:rPr>
          <w:rFonts w:ascii="Century Gothic" w:hAnsi="Century Gothic" w:cs="Arial"/>
          <w:lang w:val="es-ES_tradnl"/>
        </w:rPr>
        <w:t>”.</w:t>
      </w:r>
    </w:p>
  </w:footnote>
  <w:footnote w:id="16">
    <w:p w14:paraId="3F3F7F81" w14:textId="77777777" w:rsidR="00C40E92" w:rsidRPr="009A07E2" w:rsidRDefault="00C40E92" w:rsidP="00802A16">
      <w:pPr>
        <w:pStyle w:val="Textonotapie"/>
        <w:jc w:val="both"/>
        <w:rPr>
          <w:rFonts w:ascii="Century Gothic" w:hAnsi="Century Gothic" w:cs="Arial"/>
        </w:rPr>
      </w:pPr>
      <w:r w:rsidRPr="009A07E2">
        <w:rPr>
          <w:rStyle w:val="Refdenotaalpie"/>
          <w:rFonts w:ascii="Century Gothic" w:hAnsi="Century Gothic" w:cs="Arial"/>
        </w:rPr>
        <w:footnoteRef/>
      </w:r>
      <w:r w:rsidRPr="009A07E2">
        <w:rPr>
          <w:rFonts w:ascii="Century Gothic" w:hAnsi="Century Gothic" w:cs="Arial"/>
        </w:rPr>
        <w:t xml:space="preserve"> En el mencionado artículo se establece que: “[l]a adopción por los Estados Partes de 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w:t>
      </w:r>
    </w:p>
  </w:footnote>
  <w:footnote w:id="17">
    <w:p w14:paraId="020B54B4" w14:textId="77777777" w:rsidR="00C40E92" w:rsidRPr="009A07E2" w:rsidRDefault="00C40E92" w:rsidP="00802A16">
      <w:pPr>
        <w:pStyle w:val="Textonotapie"/>
        <w:jc w:val="both"/>
        <w:rPr>
          <w:rFonts w:ascii="Century Gothic" w:hAnsi="Century Gothic" w:cs="Arial"/>
        </w:rPr>
      </w:pPr>
      <w:r w:rsidRPr="009A07E2">
        <w:rPr>
          <w:rStyle w:val="Refdenotaalpie"/>
          <w:rFonts w:ascii="Century Gothic" w:hAnsi="Century Gothic" w:cs="Arial"/>
        </w:rPr>
        <w:footnoteRef/>
      </w:r>
      <w:r w:rsidRPr="009A07E2">
        <w:rPr>
          <w:rFonts w:ascii="Century Gothic" w:hAnsi="Century Gothic" w:cs="Arial"/>
        </w:rPr>
        <w:t xml:space="preserve"> </w:t>
      </w:r>
      <w:r w:rsidRPr="009A07E2">
        <w:rPr>
          <w:rFonts w:ascii="Century Gothic" w:hAnsi="Century Gothic" w:cs="Arial"/>
          <w:lang w:val="es-ES_tradnl"/>
        </w:rPr>
        <w:t>El precepto convencional citado dispone lo siguiente: “</w:t>
      </w:r>
      <w:r w:rsidRPr="009A07E2">
        <w:rPr>
          <w:rFonts w:ascii="Century Gothic" w:hAnsi="Century Gothic" w:cs="Arial"/>
        </w:rPr>
        <w:t>[l]os Estados Partes condenan a todas las formas de violencia contra la mujer y convienen en adoptar, por todos los medios apropiados y sin dilaciones, políticas orientadas a prevenir, sancionar y erradicar dicha violencia y en llevar a cabo lo siguiente: […]c. Incluir en su legislación interna normas penales, civiles y administrativas, así como las de otra naturaleza que sean necesarias para prevenir, sancionar y erradicar la violencia contra la mujer y adoptar las medidas administrativas apropiadas que sean del caso […]</w:t>
      </w:r>
      <w:r w:rsidRPr="009A07E2">
        <w:rPr>
          <w:rFonts w:ascii="Century Gothic" w:hAnsi="Century Gothic" w:cs="Arial"/>
          <w:lang w:val="es-ES_tradnl"/>
        </w:rPr>
        <w:t>”.</w:t>
      </w:r>
    </w:p>
  </w:footnote>
  <w:footnote w:id="18">
    <w:p w14:paraId="07BD32E5" w14:textId="77777777" w:rsidR="00C40E92" w:rsidRPr="009A07E2" w:rsidRDefault="00C40E92" w:rsidP="00802A16">
      <w:pPr>
        <w:pStyle w:val="Textonotapie"/>
        <w:jc w:val="both"/>
        <w:rPr>
          <w:rFonts w:ascii="Century Gothic" w:hAnsi="Century Gothic" w:cs="Arial"/>
        </w:rPr>
      </w:pPr>
      <w:r w:rsidRPr="009A07E2">
        <w:rPr>
          <w:rStyle w:val="Refdenotaalpie"/>
          <w:rFonts w:ascii="Century Gothic" w:hAnsi="Century Gothic" w:cs="Arial"/>
        </w:rPr>
        <w:footnoteRef/>
      </w:r>
      <w:r w:rsidRPr="009A07E2">
        <w:rPr>
          <w:rFonts w:ascii="Century Gothic" w:hAnsi="Century Gothic" w:cs="Arial"/>
        </w:rPr>
        <w:t xml:space="preserve"> Comité para la Eliminación de la Discriminación contra la Mujer</w:t>
      </w:r>
      <w:r w:rsidRPr="009A07E2">
        <w:rPr>
          <w:rFonts w:ascii="Century Gothic" w:hAnsi="Century Gothic" w:cs="Arial"/>
          <w:lang w:val="es-ES"/>
        </w:rPr>
        <w:t>. Recomendación general No. 25 – décimo tercera sesión, 2004, artículo 4 párrafo 1 - Medidas especiales de carácter temporal,</w:t>
      </w:r>
      <w:r w:rsidRPr="009A07E2">
        <w:rPr>
          <w:rFonts w:ascii="Century Gothic" w:hAnsi="Century Gothic" w:cs="Arial"/>
        </w:rPr>
        <w:t xml:space="preserve"> párr. 15.</w:t>
      </w:r>
    </w:p>
  </w:footnote>
  <w:footnote w:id="19">
    <w:p w14:paraId="79A97365" w14:textId="77777777" w:rsidR="00F152EB" w:rsidRPr="00F152EB" w:rsidRDefault="00F152EB" w:rsidP="00F152EB">
      <w:pPr>
        <w:rPr>
          <w:rFonts w:ascii="Century Gothic" w:eastAsia="Times New Roman" w:hAnsi="Century Gothic" w:cs="Times New Roman"/>
          <w:color w:val="70AD47" w:themeColor="accent6"/>
          <w:sz w:val="20"/>
          <w:szCs w:val="20"/>
          <w:lang w:eastAsia="es-ES"/>
        </w:rPr>
      </w:pPr>
      <w:r w:rsidRPr="00F152EB">
        <w:rPr>
          <w:rStyle w:val="Refdenotaalpie"/>
          <w:rFonts w:ascii="Century Gothic" w:hAnsi="Century Gothic"/>
          <w:color w:val="70AD47" w:themeColor="accent6"/>
        </w:rPr>
        <w:footnoteRef/>
      </w:r>
      <w:r w:rsidRPr="00F152EB">
        <w:rPr>
          <w:rFonts w:ascii="Century Gothic" w:hAnsi="Century Gothic"/>
          <w:color w:val="70AD47" w:themeColor="accent6"/>
        </w:rPr>
        <w:t xml:space="preserve"> </w:t>
      </w:r>
      <w:r w:rsidRPr="00F152EB">
        <w:rPr>
          <w:rFonts w:ascii="Century Gothic" w:eastAsia="Times New Roman" w:hAnsi="Century Gothic" w:cs="Times New Roman"/>
          <w:color w:val="70AD47" w:themeColor="accent6"/>
          <w:sz w:val="20"/>
          <w:szCs w:val="20"/>
          <w:lang w:eastAsia="es-ES"/>
        </w:rPr>
        <w:t>https://goo.gl/yZKsrC</w:t>
      </w:r>
    </w:p>
    <w:p w14:paraId="25D0D4D9" w14:textId="3C449DDE" w:rsidR="00F152EB" w:rsidRPr="00F152EB" w:rsidRDefault="00F152EB">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59D0" w14:textId="77777777" w:rsidR="00C40E92" w:rsidRDefault="00C40E92" w:rsidP="0042074F">
    <w:pPr>
      <w:pStyle w:val="Encabezado"/>
      <w:jc w:val="right"/>
      <w:rPr>
        <w:rFonts w:ascii="Arial" w:hAnsi="Arial" w:cs="Arial"/>
        <w:b/>
        <w:bCs/>
      </w:rPr>
    </w:pPr>
  </w:p>
  <w:p w14:paraId="65306E08" w14:textId="77777777" w:rsidR="00C40E92" w:rsidRDefault="00C40E92" w:rsidP="0042074F">
    <w:pPr>
      <w:pStyle w:val="Encabezado"/>
      <w:jc w:val="right"/>
      <w:rPr>
        <w:rFonts w:ascii="Arial" w:hAnsi="Arial" w:cs="Arial"/>
        <w:b/>
        <w:bCs/>
      </w:rPr>
    </w:pPr>
  </w:p>
  <w:p w14:paraId="0DFA1136" w14:textId="77777777" w:rsidR="00C40E92" w:rsidRPr="00922D9D" w:rsidRDefault="00C40E92" w:rsidP="0042074F">
    <w:pPr>
      <w:pStyle w:val="Encabezado"/>
      <w:jc w:val="right"/>
      <w:rPr>
        <w:rFonts w:ascii="Arial" w:hAnsi="Arial" w:cs="Arial"/>
        <w:b/>
        <w:bCs/>
      </w:rPr>
    </w:pPr>
    <w:r w:rsidRPr="00922D9D">
      <w:rPr>
        <w:rFonts w:ascii="Arial" w:hAnsi="Arial" w:cs="Arial"/>
        <w:b/>
        <w:bCs/>
      </w:rPr>
      <w:t>S</w:t>
    </w:r>
    <w:r>
      <w:rPr>
        <w:rFonts w:ascii="Arial" w:hAnsi="Arial" w:cs="Arial"/>
        <w:b/>
        <w:bCs/>
      </w:rPr>
      <w:t>UP-JDC-53</w:t>
    </w:r>
    <w:r w:rsidRPr="00922D9D">
      <w:rPr>
        <w:rFonts w:ascii="Arial" w:hAnsi="Arial" w:cs="Arial"/>
        <w:b/>
        <w:bCs/>
      </w:rPr>
      <w:t>/2018</w:t>
    </w:r>
  </w:p>
  <w:p w14:paraId="4D72F219" w14:textId="77777777" w:rsidR="00C40E92" w:rsidRDefault="00C40E92" w:rsidP="0042074F">
    <w:pPr>
      <w:pStyle w:val="Encabezado"/>
      <w:jc w:val="right"/>
      <w:rPr>
        <w:rFonts w:ascii="Arial" w:hAnsi="Arial" w:cs="Arial"/>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F877" w14:textId="77777777" w:rsidR="00C40E92" w:rsidRDefault="00C40E92" w:rsidP="0042074F">
    <w:pPr>
      <w:pStyle w:val="Encabezado"/>
      <w:ind w:right="69"/>
      <w:rPr>
        <w:rFonts w:ascii="Arial" w:hAnsi="Arial" w:cs="Arial"/>
        <w:b/>
        <w:bCs/>
        <w:sz w:val="28"/>
        <w:szCs w:val="28"/>
      </w:rPr>
    </w:pPr>
  </w:p>
  <w:p w14:paraId="3F2DC3D9" w14:textId="702453EC" w:rsidR="00C40E92" w:rsidRPr="00904689" w:rsidRDefault="00C40E92" w:rsidP="00C66C23">
    <w:pPr>
      <w:pStyle w:val="Encabezado"/>
      <w:jc w:val="right"/>
      <w:rPr>
        <w:rFonts w:ascii="Arial" w:hAnsi="Arial" w:cs="Arial"/>
        <w:b/>
        <w:bCs/>
        <w:sz w:val="28"/>
        <w:szCs w:val="28"/>
      </w:rPr>
    </w:pPr>
    <w:r>
      <w:rPr>
        <w:rFonts w:ascii="Arial" w:hAnsi="Arial" w:cs="Arial"/>
        <w:b/>
        <w:bCs/>
        <w:sz w:val="28"/>
        <w:szCs w:val="28"/>
      </w:rPr>
      <w:t>SUP-REC-454</w:t>
    </w:r>
    <w:r w:rsidRPr="00904689">
      <w:rPr>
        <w:rFonts w:ascii="Arial" w:hAnsi="Arial" w:cs="Arial"/>
        <w:b/>
        <w:bCs/>
        <w:sz w:val="28"/>
        <w:szCs w:val="28"/>
      </w:rPr>
      <w:t>/2018</w:t>
    </w:r>
  </w:p>
  <w:p w14:paraId="59BF34C5" w14:textId="77777777" w:rsidR="00C40E92" w:rsidRPr="00D85804" w:rsidRDefault="00C40E92" w:rsidP="00904689">
    <w:pPr>
      <w:pStyle w:val="Encabezado"/>
      <w:jc w:val="right"/>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B57"/>
    <w:multiLevelType w:val="hybridMultilevel"/>
    <w:tmpl w:val="9222AEB0"/>
    <w:lvl w:ilvl="0" w:tplc="191C9792">
      <w:start w:val="1"/>
      <w:numFmt w:val="lowerRoman"/>
      <w:lvlText w:val="%1."/>
      <w:lvlJc w:val="right"/>
      <w:pPr>
        <w:ind w:left="1068" w:hanging="360"/>
      </w:pPr>
      <w:rPr>
        <w:b/>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1035F37"/>
    <w:multiLevelType w:val="hybridMultilevel"/>
    <w:tmpl w:val="2DACA43E"/>
    <w:lvl w:ilvl="0" w:tplc="D0282BD8">
      <w:start w:val="1"/>
      <w:numFmt w:val="decimal"/>
      <w:lvlText w:val="%1"/>
      <w:lvlJc w:val="left"/>
      <w:pPr>
        <w:ind w:left="4613" w:hanging="360"/>
      </w:pPr>
      <w:rPr>
        <w:rFonts w:ascii="Arial" w:hAnsi="Arial" w:cs="Times New Roman" w:hint="default"/>
        <w:b w:val="0"/>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EB073A"/>
    <w:multiLevelType w:val="hybridMultilevel"/>
    <w:tmpl w:val="D94E2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043C46"/>
    <w:multiLevelType w:val="hybridMultilevel"/>
    <w:tmpl w:val="07E8BD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2A7D9C"/>
    <w:multiLevelType w:val="multilevel"/>
    <w:tmpl w:val="652A59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Arial" w:eastAsia="Times New Roman" w:hAnsi="Arial" w:hint="default"/>
        <w:b/>
        <w:color w:val="auto"/>
      </w:rPr>
    </w:lvl>
    <w:lvl w:ilvl="2">
      <w:start w:val="1"/>
      <w:numFmt w:val="decimal"/>
      <w:isLgl/>
      <w:lvlText w:val="%1.%2.%3."/>
      <w:lvlJc w:val="left"/>
      <w:pPr>
        <w:ind w:left="1789" w:hanging="1080"/>
      </w:pPr>
      <w:rPr>
        <w:rFonts w:ascii="Arial" w:eastAsia="Times New Roman" w:hAnsi="Arial" w:hint="default"/>
        <w:b/>
        <w:color w:val="auto"/>
      </w:rPr>
    </w:lvl>
    <w:lvl w:ilvl="3">
      <w:start w:val="1"/>
      <w:numFmt w:val="decimal"/>
      <w:isLgl/>
      <w:lvlText w:val="%1.%2.%3.%4."/>
      <w:lvlJc w:val="left"/>
      <w:pPr>
        <w:ind w:left="1789" w:hanging="1080"/>
      </w:pPr>
      <w:rPr>
        <w:rFonts w:ascii="Arial" w:eastAsia="Times New Roman" w:hAnsi="Arial" w:hint="default"/>
        <w:b/>
        <w:color w:val="auto"/>
      </w:rPr>
    </w:lvl>
    <w:lvl w:ilvl="4">
      <w:start w:val="1"/>
      <w:numFmt w:val="decimal"/>
      <w:isLgl/>
      <w:lvlText w:val="%1.%2.%3.%4.%5."/>
      <w:lvlJc w:val="left"/>
      <w:pPr>
        <w:ind w:left="2149" w:hanging="1440"/>
      </w:pPr>
      <w:rPr>
        <w:rFonts w:ascii="Arial" w:eastAsia="Times New Roman" w:hAnsi="Arial" w:hint="default"/>
        <w:b/>
        <w:color w:val="auto"/>
      </w:rPr>
    </w:lvl>
    <w:lvl w:ilvl="5">
      <w:start w:val="1"/>
      <w:numFmt w:val="decimal"/>
      <w:isLgl/>
      <w:lvlText w:val="%1.%2.%3.%4.%5.%6."/>
      <w:lvlJc w:val="left"/>
      <w:pPr>
        <w:ind w:left="2509" w:hanging="1800"/>
      </w:pPr>
      <w:rPr>
        <w:rFonts w:ascii="Arial" w:eastAsia="Times New Roman" w:hAnsi="Arial" w:hint="default"/>
        <w:b/>
        <w:color w:val="auto"/>
      </w:rPr>
    </w:lvl>
    <w:lvl w:ilvl="6">
      <w:start w:val="1"/>
      <w:numFmt w:val="decimal"/>
      <w:isLgl/>
      <w:lvlText w:val="%1.%2.%3.%4.%5.%6.%7."/>
      <w:lvlJc w:val="left"/>
      <w:pPr>
        <w:ind w:left="2509" w:hanging="1800"/>
      </w:pPr>
      <w:rPr>
        <w:rFonts w:ascii="Arial" w:eastAsia="Times New Roman" w:hAnsi="Arial" w:hint="default"/>
        <w:b/>
        <w:color w:val="auto"/>
      </w:rPr>
    </w:lvl>
    <w:lvl w:ilvl="7">
      <w:start w:val="1"/>
      <w:numFmt w:val="decimal"/>
      <w:isLgl/>
      <w:lvlText w:val="%1.%2.%3.%4.%5.%6.%7.%8."/>
      <w:lvlJc w:val="left"/>
      <w:pPr>
        <w:ind w:left="2869" w:hanging="2160"/>
      </w:pPr>
      <w:rPr>
        <w:rFonts w:ascii="Arial" w:eastAsia="Times New Roman" w:hAnsi="Arial" w:hint="default"/>
        <w:b/>
        <w:color w:val="auto"/>
      </w:rPr>
    </w:lvl>
    <w:lvl w:ilvl="8">
      <w:start w:val="1"/>
      <w:numFmt w:val="decimal"/>
      <w:isLgl/>
      <w:lvlText w:val="%1.%2.%3.%4.%5.%6.%7.%8.%9."/>
      <w:lvlJc w:val="left"/>
      <w:pPr>
        <w:ind w:left="3229" w:hanging="2520"/>
      </w:pPr>
      <w:rPr>
        <w:rFonts w:ascii="Arial" w:eastAsia="Times New Roman" w:hAnsi="Arial" w:hint="default"/>
        <w:b/>
        <w:color w:val="auto"/>
      </w:rPr>
    </w:lvl>
  </w:abstractNum>
  <w:abstractNum w:abstractNumId="5" w15:restartNumberingAfterBreak="0">
    <w:nsid w:val="20FD4EF2"/>
    <w:multiLevelType w:val="hybridMultilevel"/>
    <w:tmpl w:val="DF48746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2DF97038"/>
    <w:multiLevelType w:val="hybridMultilevel"/>
    <w:tmpl w:val="5852CD92"/>
    <w:lvl w:ilvl="0" w:tplc="291A30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D64F5"/>
    <w:multiLevelType w:val="hybridMultilevel"/>
    <w:tmpl w:val="A1524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33629A"/>
    <w:multiLevelType w:val="hybridMultilevel"/>
    <w:tmpl w:val="9904AA08"/>
    <w:lvl w:ilvl="0" w:tplc="015EE69C">
      <w:start w:val="1"/>
      <w:numFmt w:val="lowerRoman"/>
      <w:lvlText w:val="%1)"/>
      <w:lvlJc w:val="left"/>
      <w:pPr>
        <w:ind w:left="1080" w:hanging="720"/>
      </w:pPr>
      <w:rPr>
        <w:rFonts w:hint="default"/>
        <w:b/>
        <w:i/>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7E27EC"/>
    <w:multiLevelType w:val="hybridMultilevel"/>
    <w:tmpl w:val="1ABAB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B75776"/>
    <w:multiLevelType w:val="hybridMultilevel"/>
    <w:tmpl w:val="1AAEFA9A"/>
    <w:lvl w:ilvl="0" w:tplc="A1C800B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C5616B0"/>
    <w:multiLevelType w:val="hybridMultilevel"/>
    <w:tmpl w:val="C6F653C0"/>
    <w:lvl w:ilvl="0" w:tplc="BCB4D43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765DA4"/>
    <w:multiLevelType w:val="hybridMultilevel"/>
    <w:tmpl w:val="DE60AA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DD359D"/>
    <w:multiLevelType w:val="hybridMultilevel"/>
    <w:tmpl w:val="40B27A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145BA1"/>
    <w:multiLevelType w:val="hybridMultilevel"/>
    <w:tmpl w:val="3A6ED794"/>
    <w:lvl w:ilvl="0" w:tplc="F56E4584">
      <w:start w:val="1"/>
      <w:numFmt w:val="low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382C37"/>
    <w:multiLevelType w:val="hybridMultilevel"/>
    <w:tmpl w:val="33C21E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251C01"/>
    <w:multiLevelType w:val="hybridMultilevel"/>
    <w:tmpl w:val="0F12A15C"/>
    <w:lvl w:ilvl="0" w:tplc="838AD35C">
      <w:start w:val="1"/>
      <w:numFmt w:val="low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0566F28"/>
    <w:multiLevelType w:val="hybridMultilevel"/>
    <w:tmpl w:val="2D20B2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C453DE5"/>
    <w:multiLevelType w:val="hybridMultilevel"/>
    <w:tmpl w:val="90A0F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A73238"/>
    <w:multiLevelType w:val="hybridMultilevel"/>
    <w:tmpl w:val="D500F6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4"/>
  </w:num>
  <w:num w:numId="3">
    <w:abstractNumId w:val="18"/>
  </w:num>
  <w:num w:numId="4">
    <w:abstractNumId w:val="8"/>
  </w:num>
  <w:num w:numId="5">
    <w:abstractNumId w:val="16"/>
  </w:num>
  <w:num w:numId="6">
    <w:abstractNumId w:val="2"/>
  </w:num>
  <w:num w:numId="7">
    <w:abstractNumId w:val="0"/>
  </w:num>
  <w:num w:numId="8">
    <w:abstractNumId w:val="7"/>
  </w:num>
  <w:num w:numId="9">
    <w:abstractNumId w:val="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3"/>
  </w:num>
  <w:num w:numId="14">
    <w:abstractNumId w:val="19"/>
  </w:num>
  <w:num w:numId="15">
    <w:abstractNumId w:val="13"/>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E3"/>
    <w:rsid w:val="0000274B"/>
    <w:rsid w:val="00004022"/>
    <w:rsid w:val="00004A24"/>
    <w:rsid w:val="00004C5B"/>
    <w:rsid w:val="00011777"/>
    <w:rsid w:val="00011CA9"/>
    <w:rsid w:val="0001229E"/>
    <w:rsid w:val="00012582"/>
    <w:rsid w:val="00012A08"/>
    <w:rsid w:val="000130F9"/>
    <w:rsid w:val="00013200"/>
    <w:rsid w:val="00014605"/>
    <w:rsid w:val="00014882"/>
    <w:rsid w:val="00017D40"/>
    <w:rsid w:val="000210C8"/>
    <w:rsid w:val="0002154D"/>
    <w:rsid w:val="00023108"/>
    <w:rsid w:val="00026C6E"/>
    <w:rsid w:val="000274E7"/>
    <w:rsid w:val="00027BA3"/>
    <w:rsid w:val="00030002"/>
    <w:rsid w:val="000302D0"/>
    <w:rsid w:val="000312AF"/>
    <w:rsid w:val="00032ACA"/>
    <w:rsid w:val="000332C3"/>
    <w:rsid w:val="00035BD4"/>
    <w:rsid w:val="00036A54"/>
    <w:rsid w:val="00036CFD"/>
    <w:rsid w:val="00040335"/>
    <w:rsid w:val="00043DE3"/>
    <w:rsid w:val="000449FB"/>
    <w:rsid w:val="000455FB"/>
    <w:rsid w:val="00047533"/>
    <w:rsid w:val="0005080F"/>
    <w:rsid w:val="00053D83"/>
    <w:rsid w:val="0005520C"/>
    <w:rsid w:val="0005560F"/>
    <w:rsid w:val="00055FD9"/>
    <w:rsid w:val="00057DDA"/>
    <w:rsid w:val="000614FE"/>
    <w:rsid w:val="0006192A"/>
    <w:rsid w:val="00061AED"/>
    <w:rsid w:val="00063255"/>
    <w:rsid w:val="00063A7E"/>
    <w:rsid w:val="000641CE"/>
    <w:rsid w:val="0006595A"/>
    <w:rsid w:val="00065CC6"/>
    <w:rsid w:val="00066C53"/>
    <w:rsid w:val="0006722D"/>
    <w:rsid w:val="00073884"/>
    <w:rsid w:val="00074AC1"/>
    <w:rsid w:val="00076353"/>
    <w:rsid w:val="00080596"/>
    <w:rsid w:val="00081774"/>
    <w:rsid w:val="00081B22"/>
    <w:rsid w:val="00081D7C"/>
    <w:rsid w:val="00082422"/>
    <w:rsid w:val="000824FD"/>
    <w:rsid w:val="00083C55"/>
    <w:rsid w:val="00084CA3"/>
    <w:rsid w:val="000867B2"/>
    <w:rsid w:val="00086E58"/>
    <w:rsid w:val="00087555"/>
    <w:rsid w:val="00087843"/>
    <w:rsid w:val="00087A05"/>
    <w:rsid w:val="000914E6"/>
    <w:rsid w:val="000916EE"/>
    <w:rsid w:val="000924EC"/>
    <w:rsid w:val="00092899"/>
    <w:rsid w:val="00092C9C"/>
    <w:rsid w:val="000930F2"/>
    <w:rsid w:val="0009403C"/>
    <w:rsid w:val="00094BE6"/>
    <w:rsid w:val="00094DAD"/>
    <w:rsid w:val="000977B8"/>
    <w:rsid w:val="00097FC8"/>
    <w:rsid w:val="00097FE9"/>
    <w:rsid w:val="000A062C"/>
    <w:rsid w:val="000A0EC3"/>
    <w:rsid w:val="000A165B"/>
    <w:rsid w:val="000A17AA"/>
    <w:rsid w:val="000A1BBA"/>
    <w:rsid w:val="000A1F02"/>
    <w:rsid w:val="000A2336"/>
    <w:rsid w:val="000A2C71"/>
    <w:rsid w:val="000A2CB8"/>
    <w:rsid w:val="000A3004"/>
    <w:rsid w:val="000A4719"/>
    <w:rsid w:val="000A4BE2"/>
    <w:rsid w:val="000A53AD"/>
    <w:rsid w:val="000A5963"/>
    <w:rsid w:val="000A69D7"/>
    <w:rsid w:val="000A6DAE"/>
    <w:rsid w:val="000B0224"/>
    <w:rsid w:val="000B1F30"/>
    <w:rsid w:val="000B20F1"/>
    <w:rsid w:val="000B2642"/>
    <w:rsid w:val="000B56C3"/>
    <w:rsid w:val="000B58F5"/>
    <w:rsid w:val="000B5AC5"/>
    <w:rsid w:val="000B5BA9"/>
    <w:rsid w:val="000C08F6"/>
    <w:rsid w:val="000C2549"/>
    <w:rsid w:val="000C26F4"/>
    <w:rsid w:val="000C2772"/>
    <w:rsid w:val="000C2A74"/>
    <w:rsid w:val="000C3830"/>
    <w:rsid w:val="000C62A2"/>
    <w:rsid w:val="000C6B96"/>
    <w:rsid w:val="000C6DEA"/>
    <w:rsid w:val="000C7171"/>
    <w:rsid w:val="000C7519"/>
    <w:rsid w:val="000D0017"/>
    <w:rsid w:val="000D2001"/>
    <w:rsid w:val="000D4C59"/>
    <w:rsid w:val="000D4CA5"/>
    <w:rsid w:val="000D7A96"/>
    <w:rsid w:val="000E009F"/>
    <w:rsid w:val="000E13E1"/>
    <w:rsid w:val="000E15BD"/>
    <w:rsid w:val="000E165E"/>
    <w:rsid w:val="000E2E6A"/>
    <w:rsid w:val="000E3AC9"/>
    <w:rsid w:val="000E3CDF"/>
    <w:rsid w:val="000E408F"/>
    <w:rsid w:val="000E54F8"/>
    <w:rsid w:val="000E61C3"/>
    <w:rsid w:val="000E788E"/>
    <w:rsid w:val="000F0B15"/>
    <w:rsid w:val="000F1C8C"/>
    <w:rsid w:val="000F56DD"/>
    <w:rsid w:val="000F5AED"/>
    <w:rsid w:val="000F69AA"/>
    <w:rsid w:val="000F76E7"/>
    <w:rsid w:val="00100FD0"/>
    <w:rsid w:val="0010305B"/>
    <w:rsid w:val="0010331C"/>
    <w:rsid w:val="00103573"/>
    <w:rsid w:val="00103814"/>
    <w:rsid w:val="001038AF"/>
    <w:rsid w:val="00103E10"/>
    <w:rsid w:val="00103F04"/>
    <w:rsid w:val="001048CE"/>
    <w:rsid w:val="001065F0"/>
    <w:rsid w:val="001069AF"/>
    <w:rsid w:val="00106E7C"/>
    <w:rsid w:val="001073FE"/>
    <w:rsid w:val="001114FD"/>
    <w:rsid w:val="00112440"/>
    <w:rsid w:val="0011278F"/>
    <w:rsid w:val="0011415B"/>
    <w:rsid w:val="001145C9"/>
    <w:rsid w:val="0011504F"/>
    <w:rsid w:val="00116271"/>
    <w:rsid w:val="0011661B"/>
    <w:rsid w:val="00120066"/>
    <w:rsid w:val="0012221F"/>
    <w:rsid w:val="00122D5E"/>
    <w:rsid w:val="00123799"/>
    <w:rsid w:val="001247A3"/>
    <w:rsid w:val="00125B9E"/>
    <w:rsid w:val="00125C58"/>
    <w:rsid w:val="00125E03"/>
    <w:rsid w:val="0012694F"/>
    <w:rsid w:val="00130A5A"/>
    <w:rsid w:val="0013141E"/>
    <w:rsid w:val="00131C1D"/>
    <w:rsid w:val="00132D5D"/>
    <w:rsid w:val="00133D14"/>
    <w:rsid w:val="00134DF3"/>
    <w:rsid w:val="0013796B"/>
    <w:rsid w:val="001403D4"/>
    <w:rsid w:val="0014042A"/>
    <w:rsid w:val="00140D92"/>
    <w:rsid w:val="00141441"/>
    <w:rsid w:val="00141690"/>
    <w:rsid w:val="001418CC"/>
    <w:rsid w:val="00142A01"/>
    <w:rsid w:val="001445DF"/>
    <w:rsid w:val="0014596B"/>
    <w:rsid w:val="00146678"/>
    <w:rsid w:val="001467D6"/>
    <w:rsid w:val="00146BE3"/>
    <w:rsid w:val="00150016"/>
    <w:rsid w:val="001500EC"/>
    <w:rsid w:val="00152D13"/>
    <w:rsid w:val="001569CB"/>
    <w:rsid w:val="00156E2D"/>
    <w:rsid w:val="001576FB"/>
    <w:rsid w:val="00161F11"/>
    <w:rsid w:val="0016224D"/>
    <w:rsid w:val="00162CEE"/>
    <w:rsid w:val="00165E31"/>
    <w:rsid w:val="00167236"/>
    <w:rsid w:val="0016744F"/>
    <w:rsid w:val="00171097"/>
    <w:rsid w:val="00171298"/>
    <w:rsid w:val="00172D2E"/>
    <w:rsid w:val="00172E10"/>
    <w:rsid w:val="00173F34"/>
    <w:rsid w:val="00174EFB"/>
    <w:rsid w:val="001757AA"/>
    <w:rsid w:val="00176422"/>
    <w:rsid w:val="001764A2"/>
    <w:rsid w:val="00176765"/>
    <w:rsid w:val="00176FA8"/>
    <w:rsid w:val="001816CE"/>
    <w:rsid w:val="001821A6"/>
    <w:rsid w:val="00184023"/>
    <w:rsid w:val="001849C6"/>
    <w:rsid w:val="0018526E"/>
    <w:rsid w:val="0019090F"/>
    <w:rsid w:val="00190932"/>
    <w:rsid w:val="00190AA5"/>
    <w:rsid w:val="00191186"/>
    <w:rsid w:val="0019234C"/>
    <w:rsid w:val="001932EA"/>
    <w:rsid w:val="00193E41"/>
    <w:rsid w:val="0019426A"/>
    <w:rsid w:val="00195282"/>
    <w:rsid w:val="00195558"/>
    <w:rsid w:val="001957D7"/>
    <w:rsid w:val="00197BEB"/>
    <w:rsid w:val="00197F09"/>
    <w:rsid w:val="001A04BB"/>
    <w:rsid w:val="001A0E39"/>
    <w:rsid w:val="001A1477"/>
    <w:rsid w:val="001A3712"/>
    <w:rsid w:val="001A4DA1"/>
    <w:rsid w:val="001A500C"/>
    <w:rsid w:val="001A7183"/>
    <w:rsid w:val="001B0480"/>
    <w:rsid w:val="001B05E4"/>
    <w:rsid w:val="001B1CFD"/>
    <w:rsid w:val="001B2D55"/>
    <w:rsid w:val="001B334C"/>
    <w:rsid w:val="001B3B89"/>
    <w:rsid w:val="001B3FB6"/>
    <w:rsid w:val="001B4577"/>
    <w:rsid w:val="001B76CE"/>
    <w:rsid w:val="001C0AB5"/>
    <w:rsid w:val="001C2139"/>
    <w:rsid w:val="001C2140"/>
    <w:rsid w:val="001C27D3"/>
    <w:rsid w:val="001C2D49"/>
    <w:rsid w:val="001C3E94"/>
    <w:rsid w:val="001C42A6"/>
    <w:rsid w:val="001C44A6"/>
    <w:rsid w:val="001C64B1"/>
    <w:rsid w:val="001C687E"/>
    <w:rsid w:val="001C698A"/>
    <w:rsid w:val="001C7091"/>
    <w:rsid w:val="001C719A"/>
    <w:rsid w:val="001D0C77"/>
    <w:rsid w:val="001D17FF"/>
    <w:rsid w:val="001D19C6"/>
    <w:rsid w:val="001D2806"/>
    <w:rsid w:val="001D3B7C"/>
    <w:rsid w:val="001D5683"/>
    <w:rsid w:val="001D71BD"/>
    <w:rsid w:val="001D775B"/>
    <w:rsid w:val="001E0DE9"/>
    <w:rsid w:val="001E2274"/>
    <w:rsid w:val="001E27ED"/>
    <w:rsid w:val="001E2C93"/>
    <w:rsid w:val="001E5738"/>
    <w:rsid w:val="001E5F0E"/>
    <w:rsid w:val="001E62BE"/>
    <w:rsid w:val="001E77F2"/>
    <w:rsid w:val="001F03DA"/>
    <w:rsid w:val="001F0A44"/>
    <w:rsid w:val="001F2634"/>
    <w:rsid w:val="001F4110"/>
    <w:rsid w:val="001F451E"/>
    <w:rsid w:val="001F46AE"/>
    <w:rsid w:val="001F4D5A"/>
    <w:rsid w:val="001F5790"/>
    <w:rsid w:val="001F6D32"/>
    <w:rsid w:val="001F708E"/>
    <w:rsid w:val="001F71DC"/>
    <w:rsid w:val="001F73D0"/>
    <w:rsid w:val="001F7559"/>
    <w:rsid w:val="00200479"/>
    <w:rsid w:val="00200DA2"/>
    <w:rsid w:val="00202245"/>
    <w:rsid w:val="0020307D"/>
    <w:rsid w:val="0020375D"/>
    <w:rsid w:val="002045C8"/>
    <w:rsid w:val="002046CB"/>
    <w:rsid w:val="00205029"/>
    <w:rsid w:val="0020559D"/>
    <w:rsid w:val="002066C7"/>
    <w:rsid w:val="00207260"/>
    <w:rsid w:val="002073F4"/>
    <w:rsid w:val="0020779E"/>
    <w:rsid w:val="00210463"/>
    <w:rsid w:val="0021259C"/>
    <w:rsid w:val="002135AB"/>
    <w:rsid w:val="002148B7"/>
    <w:rsid w:val="00214963"/>
    <w:rsid w:val="00214BD6"/>
    <w:rsid w:val="00216F39"/>
    <w:rsid w:val="002170D7"/>
    <w:rsid w:val="00217FCA"/>
    <w:rsid w:val="00220FEB"/>
    <w:rsid w:val="00221706"/>
    <w:rsid w:val="00221D86"/>
    <w:rsid w:val="00223678"/>
    <w:rsid w:val="002238CE"/>
    <w:rsid w:val="00223DB6"/>
    <w:rsid w:val="00224A48"/>
    <w:rsid w:val="00224D61"/>
    <w:rsid w:val="002259B2"/>
    <w:rsid w:val="002259BF"/>
    <w:rsid w:val="00230C15"/>
    <w:rsid w:val="0023101B"/>
    <w:rsid w:val="00232738"/>
    <w:rsid w:val="00232B35"/>
    <w:rsid w:val="00234DE5"/>
    <w:rsid w:val="002361D1"/>
    <w:rsid w:val="0023792A"/>
    <w:rsid w:val="00242B4B"/>
    <w:rsid w:val="00244034"/>
    <w:rsid w:val="002455AD"/>
    <w:rsid w:val="002461C8"/>
    <w:rsid w:val="002462BF"/>
    <w:rsid w:val="00247607"/>
    <w:rsid w:val="00250B8D"/>
    <w:rsid w:val="00250F17"/>
    <w:rsid w:val="00252446"/>
    <w:rsid w:val="00253A87"/>
    <w:rsid w:val="00254EAD"/>
    <w:rsid w:val="00257044"/>
    <w:rsid w:val="002576D2"/>
    <w:rsid w:val="00257A14"/>
    <w:rsid w:val="00260502"/>
    <w:rsid w:val="00261AE9"/>
    <w:rsid w:val="00262B12"/>
    <w:rsid w:val="00262D31"/>
    <w:rsid w:val="00262D59"/>
    <w:rsid w:val="00262F4F"/>
    <w:rsid w:val="002632ED"/>
    <w:rsid w:val="002636EE"/>
    <w:rsid w:val="002638C6"/>
    <w:rsid w:val="00263AC2"/>
    <w:rsid w:val="00264293"/>
    <w:rsid w:val="00264CB0"/>
    <w:rsid w:val="002657C4"/>
    <w:rsid w:val="002658C3"/>
    <w:rsid w:val="00265D7A"/>
    <w:rsid w:val="002669B2"/>
    <w:rsid w:val="00267214"/>
    <w:rsid w:val="00272821"/>
    <w:rsid w:val="00273978"/>
    <w:rsid w:val="00275194"/>
    <w:rsid w:val="00275663"/>
    <w:rsid w:val="00280226"/>
    <w:rsid w:val="00281949"/>
    <w:rsid w:val="00282309"/>
    <w:rsid w:val="002845CC"/>
    <w:rsid w:val="00285AAA"/>
    <w:rsid w:val="00285B1A"/>
    <w:rsid w:val="0028765C"/>
    <w:rsid w:val="00287ACA"/>
    <w:rsid w:val="0029134F"/>
    <w:rsid w:val="002928EE"/>
    <w:rsid w:val="002930A8"/>
    <w:rsid w:val="00293509"/>
    <w:rsid w:val="002942A3"/>
    <w:rsid w:val="00294E76"/>
    <w:rsid w:val="00295ACC"/>
    <w:rsid w:val="00296A1D"/>
    <w:rsid w:val="002A00B6"/>
    <w:rsid w:val="002A018D"/>
    <w:rsid w:val="002A0479"/>
    <w:rsid w:val="002A0C23"/>
    <w:rsid w:val="002A2C9C"/>
    <w:rsid w:val="002A3D5A"/>
    <w:rsid w:val="002A5212"/>
    <w:rsid w:val="002A5E75"/>
    <w:rsid w:val="002A71B0"/>
    <w:rsid w:val="002B035E"/>
    <w:rsid w:val="002B067A"/>
    <w:rsid w:val="002B140D"/>
    <w:rsid w:val="002B151F"/>
    <w:rsid w:val="002B19A3"/>
    <w:rsid w:val="002B27F7"/>
    <w:rsid w:val="002B303B"/>
    <w:rsid w:val="002B476B"/>
    <w:rsid w:val="002B567E"/>
    <w:rsid w:val="002B67E7"/>
    <w:rsid w:val="002B7E25"/>
    <w:rsid w:val="002C0811"/>
    <w:rsid w:val="002C169E"/>
    <w:rsid w:val="002C1B74"/>
    <w:rsid w:val="002C233C"/>
    <w:rsid w:val="002C2CF7"/>
    <w:rsid w:val="002C357E"/>
    <w:rsid w:val="002C4106"/>
    <w:rsid w:val="002C4262"/>
    <w:rsid w:val="002C50EB"/>
    <w:rsid w:val="002C5B58"/>
    <w:rsid w:val="002C63BD"/>
    <w:rsid w:val="002C66A6"/>
    <w:rsid w:val="002C677B"/>
    <w:rsid w:val="002C684A"/>
    <w:rsid w:val="002D595E"/>
    <w:rsid w:val="002D7808"/>
    <w:rsid w:val="002D7A95"/>
    <w:rsid w:val="002E16EF"/>
    <w:rsid w:val="002E1730"/>
    <w:rsid w:val="002E2805"/>
    <w:rsid w:val="002E29B6"/>
    <w:rsid w:val="002E3B85"/>
    <w:rsid w:val="002E3D69"/>
    <w:rsid w:val="002E42B8"/>
    <w:rsid w:val="002E5051"/>
    <w:rsid w:val="002E5366"/>
    <w:rsid w:val="002E6840"/>
    <w:rsid w:val="002E6846"/>
    <w:rsid w:val="002F41EE"/>
    <w:rsid w:val="002F4C58"/>
    <w:rsid w:val="002F5009"/>
    <w:rsid w:val="002F640C"/>
    <w:rsid w:val="002F6626"/>
    <w:rsid w:val="002F68B5"/>
    <w:rsid w:val="002F6CD2"/>
    <w:rsid w:val="002F7A41"/>
    <w:rsid w:val="002F7B78"/>
    <w:rsid w:val="002F7E38"/>
    <w:rsid w:val="00300550"/>
    <w:rsid w:val="00303EB9"/>
    <w:rsid w:val="00305335"/>
    <w:rsid w:val="00305652"/>
    <w:rsid w:val="003073BB"/>
    <w:rsid w:val="0030766B"/>
    <w:rsid w:val="00307C74"/>
    <w:rsid w:val="00307EF3"/>
    <w:rsid w:val="00307FCC"/>
    <w:rsid w:val="00310A3E"/>
    <w:rsid w:val="00312E53"/>
    <w:rsid w:val="00313F70"/>
    <w:rsid w:val="00314185"/>
    <w:rsid w:val="00314D64"/>
    <w:rsid w:val="003153C2"/>
    <w:rsid w:val="00315D8C"/>
    <w:rsid w:val="0031687E"/>
    <w:rsid w:val="00316C78"/>
    <w:rsid w:val="003202CF"/>
    <w:rsid w:val="0032174A"/>
    <w:rsid w:val="003219A7"/>
    <w:rsid w:val="003236CF"/>
    <w:rsid w:val="003240B7"/>
    <w:rsid w:val="00325BF0"/>
    <w:rsid w:val="00325E74"/>
    <w:rsid w:val="003279F6"/>
    <w:rsid w:val="003302E0"/>
    <w:rsid w:val="00330EF9"/>
    <w:rsid w:val="003313E2"/>
    <w:rsid w:val="0033152F"/>
    <w:rsid w:val="00332F71"/>
    <w:rsid w:val="00333700"/>
    <w:rsid w:val="00334277"/>
    <w:rsid w:val="003351B1"/>
    <w:rsid w:val="003352A8"/>
    <w:rsid w:val="003357CF"/>
    <w:rsid w:val="0034069E"/>
    <w:rsid w:val="00341084"/>
    <w:rsid w:val="00343665"/>
    <w:rsid w:val="00343F89"/>
    <w:rsid w:val="003442E6"/>
    <w:rsid w:val="003447FE"/>
    <w:rsid w:val="0034512C"/>
    <w:rsid w:val="003467CD"/>
    <w:rsid w:val="003471CB"/>
    <w:rsid w:val="00350793"/>
    <w:rsid w:val="00350B70"/>
    <w:rsid w:val="003550FB"/>
    <w:rsid w:val="00355FE5"/>
    <w:rsid w:val="00356E83"/>
    <w:rsid w:val="00357E09"/>
    <w:rsid w:val="00357FA5"/>
    <w:rsid w:val="003601C7"/>
    <w:rsid w:val="003616F3"/>
    <w:rsid w:val="00361DF1"/>
    <w:rsid w:val="00362ACC"/>
    <w:rsid w:val="00362EC3"/>
    <w:rsid w:val="003631CC"/>
    <w:rsid w:val="0036341E"/>
    <w:rsid w:val="003639A9"/>
    <w:rsid w:val="00364DAD"/>
    <w:rsid w:val="00365944"/>
    <w:rsid w:val="003660FC"/>
    <w:rsid w:val="00366DEC"/>
    <w:rsid w:val="00366F1D"/>
    <w:rsid w:val="0037402F"/>
    <w:rsid w:val="00375FA0"/>
    <w:rsid w:val="0037744E"/>
    <w:rsid w:val="003775E2"/>
    <w:rsid w:val="003802F4"/>
    <w:rsid w:val="003813EB"/>
    <w:rsid w:val="00381EFF"/>
    <w:rsid w:val="0038240C"/>
    <w:rsid w:val="00384835"/>
    <w:rsid w:val="0039147B"/>
    <w:rsid w:val="00392C39"/>
    <w:rsid w:val="003935F3"/>
    <w:rsid w:val="00395AFB"/>
    <w:rsid w:val="00395C04"/>
    <w:rsid w:val="00396368"/>
    <w:rsid w:val="00396569"/>
    <w:rsid w:val="003972D9"/>
    <w:rsid w:val="00397B0C"/>
    <w:rsid w:val="003A07C2"/>
    <w:rsid w:val="003A0B93"/>
    <w:rsid w:val="003A1CF3"/>
    <w:rsid w:val="003A2028"/>
    <w:rsid w:val="003A44F9"/>
    <w:rsid w:val="003A4BBC"/>
    <w:rsid w:val="003A5166"/>
    <w:rsid w:val="003A5947"/>
    <w:rsid w:val="003A5F35"/>
    <w:rsid w:val="003A71CF"/>
    <w:rsid w:val="003B08D0"/>
    <w:rsid w:val="003B1782"/>
    <w:rsid w:val="003B2E8A"/>
    <w:rsid w:val="003B2E92"/>
    <w:rsid w:val="003B3405"/>
    <w:rsid w:val="003B4076"/>
    <w:rsid w:val="003B41FB"/>
    <w:rsid w:val="003B4806"/>
    <w:rsid w:val="003B5854"/>
    <w:rsid w:val="003B61DE"/>
    <w:rsid w:val="003B79A8"/>
    <w:rsid w:val="003B7B65"/>
    <w:rsid w:val="003C1998"/>
    <w:rsid w:val="003C1BDF"/>
    <w:rsid w:val="003C247F"/>
    <w:rsid w:val="003C3485"/>
    <w:rsid w:val="003C5B7E"/>
    <w:rsid w:val="003C6130"/>
    <w:rsid w:val="003C794B"/>
    <w:rsid w:val="003D036A"/>
    <w:rsid w:val="003D0451"/>
    <w:rsid w:val="003D0D35"/>
    <w:rsid w:val="003D0DEB"/>
    <w:rsid w:val="003D10B7"/>
    <w:rsid w:val="003D2358"/>
    <w:rsid w:val="003D2CA7"/>
    <w:rsid w:val="003D3982"/>
    <w:rsid w:val="003D4AD8"/>
    <w:rsid w:val="003D641F"/>
    <w:rsid w:val="003D714D"/>
    <w:rsid w:val="003D79B0"/>
    <w:rsid w:val="003D79FA"/>
    <w:rsid w:val="003E0692"/>
    <w:rsid w:val="003E0AAA"/>
    <w:rsid w:val="003E2BB5"/>
    <w:rsid w:val="003E5958"/>
    <w:rsid w:val="003E6139"/>
    <w:rsid w:val="003E7CC4"/>
    <w:rsid w:val="003F1D8B"/>
    <w:rsid w:val="003F21B2"/>
    <w:rsid w:val="003F3162"/>
    <w:rsid w:val="003F42DC"/>
    <w:rsid w:val="003F61A7"/>
    <w:rsid w:val="00402C01"/>
    <w:rsid w:val="00403303"/>
    <w:rsid w:val="004056DA"/>
    <w:rsid w:val="0040589F"/>
    <w:rsid w:val="004073C7"/>
    <w:rsid w:val="004073EE"/>
    <w:rsid w:val="00410AF1"/>
    <w:rsid w:val="00412437"/>
    <w:rsid w:val="004124E8"/>
    <w:rsid w:val="00412B10"/>
    <w:rsid w:val="004141F5"/>
    <w:rsid w:val="004144E4"/>
    <w:rsid w:val="00415D4C"/>
    <w:rsid w:val="004169A4"/>
    <w:rsid w:val="00416ACB"/>
    <w:rsid w:val="00420210"/>
    <w:rsid w:val="00420339"/>
    <w:rsid w:val="0042074F"/>
    <w:rsid w:val="00420834"/>
    <w:rsid w:val="00420F83"/>
    <w:rsid w:val="0042577D"/>
    <w:rsid w:val="004261F4"/>
    <w:rsid w:val="00426D4C"/>
    <w:rsid w:val="00427034"/>
    <w:rsid w:val="00427714"/>
    <w:rsid w:val="00427B10"/>
    <w:rsid w:val="004311D3"/>
    <w:rsid w:val="00432AD2"/>
    <w:rsid w:val="00432F5D"/>
    <w:rsid w:val="00433736"/>
    <w:rsid w:val="004344C6"/>
    <w:rsid w:val="004348BF"/>
    <w:rsid w:val="00434F44"/>
    <w:rsid w:val="00435070"/>
    <w:rsid w:val="0043595C"/>
    <w:rsid w:val="00435FF6"/>
    <w:rsid w:val="00436F03"/>
    <w:rsid w:val="00437753"/>
    <w:rsid w:val="00440A22"/>
    <w:rsid w:val="00441188"/>
    <w:rsid w:val="0044123A"/>
    <w:rsid w:val="00442E24"/>
    <w:rsid w:val="00442FFC"/>
    <w:rsid w:val="00444858"/>
    <w:rsid w:val="00447924"/>
    <w:rsid w:val="00450E14"/>
    <w:rsid w:val="00450E96"/>
    <w:rsid w:val="00452C4C"/>
    <w:rsid w:val="0045462A"/>
    <w:rsid w:val="00455133"/>
    <w:rsid w:val="0045550B"/>
    <w:rsid w:val="00456456"/>
    <w:rsid w:val="0046033D"/>
    <w:rsid w:val="0046132F"/>
    <w:rsid w:val="00462008"/>
    <w:rsid w:val="00462D01"/>
    <w:rsid w:val="00466BF4"/>
    <w:rsid w:val="00467F28"/>
    <w:rsid w:val="00471A65"/>
    <w:rsid w:val="004744B4"/>
    <w:rsid w:val="0047504B"/>
    <w:rsid w:val="00476436"/>
    <w:rsid w:val="0048150D"/>
    <w:rsid w:val="00483700"/>
    <w:rsid w:val="00485C54"/>
    <w:rsid w:val="00485E78"/>
    <w:rsid w:val="00486098"/>
    <w:rsid w:val="0048639E"/>
    <w:rsid w:val="0048719E"/>
    <w:rsid w:val="00487AD3"/>
    <w:rsid w:val="00490794"/>
    <w:rsid w:val="004921B1"/>
    <w:rsid w:val="00495AA9"/>
    <w:rsid w:val="0049695F"/>
    <w:rsid w:val="00496E57"/>
    <w:rsid w:val="004972A1"/>
    <w:rsid w:val="004972DB"/>
    <w:rsid w:val="00497446"/>
    <w:rsid w:val="004A1921"/>
    <w:rsid w:val="004A1B52"/>
    <w:rsid w:val="004A3F4C"/>
    <w:rsid w:val="004B1180"/>
    <w:rsid w:val="004B5437"/>
    <w:rsid w:val="004B6C0C"/>
    <w:rsid w:val="004B7A66"/>
    <w:rsid w:val="004B7D1D"/>
    <w:rsid w:val="004B7D5D"/>
    <w:rsid w:val="004C29A7"/>
    <w:rsid w:val="004C2A87"/>
    <w:rsid w:val="004C33D2"/>
    <w:rsid w:val="004C58C5"/>
    <w:rsid w:val="004C5ACE"/>
    <w:rsid w:val="004C6B79"/>
    <w:rsid w:val="004C707F"/>
    <w:rsid w:val="004C7B46"/>
    <w:rsid w:val="004D001F"/>
    <w:rsid w:val="004D0279"/>
    <w:rsid w:val="004D157D"/>
    <w:rsid w:val="004D236D"/>
    <w:rsid w:val="004D5290"/>
    <w:rsid w:val="004D6A0C"/>
    <w:rsid w:val="004E2AFE"/>
    <w:rsid w:val="004E2FEA"/>
    <w:rsid w:val="004E43C3"/>
    <w:rsid w:val="004E4A68"/>
    <w:rsid w:val="004E65D7"/>
    <w:rsid w:val="004E6F2E"/>
    <w:rsid w:val="004F0B5C"/>
    <w:rsid w:val="004F0EE3"/>
    <w:rsid w:val="004F174E"/>
    <w:rsid w:val="004F29C9"/>
    <w:rsid w:val="004F2D18"/>
    <w:rsid w:val="004F3795"/>
    <w:rsid w:val="004F67C5"/>
    <w:rsid w:val="004F7374"/>
    <w:rsid w:val="00501D1A"/>
    <w:rsid w:val="0050276E"/>
    <w:rsid w:val="00503BCE"/>
    <w:rsid w:val="0050492F"/>
    <w:rsid w:val="00504A14"/>
    <w:rsid w:val="00505709"/>
    <w:rsid w:val="00505AE1"/>
    <w:rsid w:val="00505C44"/>
    <w:rsid w:val="005079B6"/>
    <w:rsid w:val="00512318"/>
    <w:rsid w:val="00513775"/>
    <w:rsid w:val="00513881"/>
    <w:rsid w:val="00513AFF"/>
    <w:rsid w:val="005142D6"/>
    <w:rsid w:val="00514A34"/>
    <w:rsid w:val="0051500A"/>
    <w:rsid w:val="005155CB"/>
    <w:rsid w:val="00517659"/>
    <w:rsid w:val="00520248"/>
    <w:rsid w:val="00520A93"/>
    <w:rsid w:val="0052250D"/>
    <w:rsid w:val="00523FA6"/>
    <w:rsid w:val="005242EF"/>
    <w:rsid w:val="005251C2"/>
    <w:rsid w:val="00525277"/>
    <w:rsid w:val="00525E61"/>
    <w:rsid w:val="00526C7F"/>
    <w:rsid w:val="005270A3"/>
    <w:rsid w:val="005274C9"/>
    <w:rsid w:val="00527809"/>
    <w:rsid w:val="005279CA"/>
    <w:rsid w:val="00530007"/>
    <w:rsid w:val="005324FB"/>
    <w:rsid w:val="00532DF4"/>
    <w:rsid w:val="00532E48"/>
    <w:rsid w:val="00532F48"/>
    <w:rsid w:val="00532F7F"/>
    <w:rsid w:val="0053326F"/>
    <w:rsid w:val="005376B2"/>
    <w:rsid w:val="00544886"/>
    <w:rsid w:val="00545AD1"/>
    <w:rsid w:val="00545E36"/>
    <w:rsid w:val="00546141"/>
    <w:rsid w:val="00546354"/>
    <w:rsid w:val="00546987"/>
    <w:rsid w:val="00547239"/>
    <w:rsid w:val="00547B17"/>
    <w:rsid w:val="00550E60"/>
    <w:rsid w:val="00550FA0"/>
    <w:rsid w:val="005516B3"/>
    <w:rsid w:val="00551A9A"/>
    <w:rsid w:val="005529D8"/>
    <w:rsid w:val="005531DC"/>
    <w:rsid w:val="005532A1"/>
    <w:rsid w:val="0055427F"/>
    <w:rsid w:val="0055638F"/>
    <w:rsid w:val="00557356"/>
    <w:rsid w:val="0056187B"/>
    <w:rsid w:val="00562B38"/>
    <w:rsid w:val="005642E6"/>
    <w:rsid w:val="00567A00"/>
    <w:rsid w:val="005709EC"/>
    <w:rsid w:val="00570E71"/>
    <w:rsid w:val="005717DE"/>
    <w:rsid w:val="0057321C"/>
    <w:rsid w:val="00573BA8"/>
    <w:rsid w:val="00574879"/>
    <w:rsid w:val="005764C8"/>
    <w:rsid w:val="00577EA1"/>
    <w:rsid w:val="00580BF6"/>
    <w:rsid w:val="00581996"/>
    <w:rsid w:val="00581E08"/>
    <w:rsid w:val="00586B35"/>
    <w:rsid w:val="0058786B"/>
    <w:rsid w:val="00587A27"/>
    <w:rsid w:val="00587A74"/>
    <w:rsid w:val="005910B6"/>
    <w:rsid w:val="00594250"/>
    <w:rsid w:val="00594EF0"/>
    <w:rsid w:val="00595280"/>
    <w:rsid w:val="005A0F04"/>
    <w:rsid w:val="005A158A"/>
    <w:rsid w:val="005A27CF"/>
    <w:rsid w:val="005A4BC9"/>
    <w:rsid w:val="005A58C6"/>
    <w:rsid w:val="005A629D"/>
    <w:rsid w:val="005A7006"/>
    <w:rsid w:val="005A7859"/>
    <w:rsid w:val="005A7C7C"/>
    <w:rsid w:val="005B0BE7"/>
    <w:rsid w:val="005B2D74"/>
    <w:rsid w:val="005B2E9F"/>
    <w:rsid w:val="005B3465"/>
    <w:rsid w:val="005B4B70"/>
    <w:rsid w:val="005B5024"/>
    <w:rsid w:val="005B59EB"/>
    <w:rsid w:val="005B68F7"/>
    <w:rsid w:val="005B6BE0"/>
    <w:rsid w:val="005C2286"/>
    <w:rsid w:val="005C231D"/>
    <w:rsid w:val="005C2951"/>
    <w:rsid w:val="005C3642"/>
    <w:rsid w:val="005C389A"/>
    <w:rsid w:val="005C39AB"/>
    <w:rsid w:val="005C3BC1"/>
    <w:rsid w:val="005C4BB3"/>
    <w:rsid w:val="005C53AF"/>
    <w:rsid w:val="005C7264"/>
    <w:rsid w:val="005D0A3A"/>
    <w:rsid w:val="005D138F"/>
    <w:rsid w:val="005D3096"/>
    <w:rsid w:val="005D3826"/>
    <w:rsid w:val="005D400C"/>
    <w:rsid w:val="005D41E4"/>
    <w:rsid w:val="005D43B9"/>
    <w:rsid w:val="005D5560"/>
    <w:rsid w:val="005D68D1"/>
    <w:rsid w:val="005D7D28"/>
    <w:rsid w:val="005E1309"/>
    <w:rsid w:val="005E17E9"/>
    <w:rsid w:val="005E3F56"/>
    <w:rsid w:val="005E478C"/>
    <w:rsid w:val="005E50FE"/>
    <w:rsid w:val="005E6F5B"/>
    <w:rsid w:val="005E7194"/>
    <w:rsid w:val="005F0F81"/>
    <w:rsid w:val="005F38BE"/>
    <w:rsid w:val="005F436F"/>
    <w:rsid w:val="005F45C9"/>
    <w:rsid w:val="005F46F0"/>
    <w:rsid w:val="005F4736"/>
    <w:rsid w:val="005F7421"/>
    <w:rsid w:val="0060297A"/>
    <w:rsid w:val="00603CDA"/>
    <w:rsid w:val="0060555A"/>
    <w:rsid w:val="00605BF5"/>
    <w:rsid w:val="00606389"/>
    <w:rsid w:val="00607626"/>
    <w:rsid w:val="00607EE2"/>
    <w:rsid w:val="00607EFC"/>
    <w:rsid w:val="00610F14"/>
    <w:rsid w:val="00611BD4"/>
    <w:rsid w:val="00612B4D"/>
    <w:rsid w:val="006132CA"/>
    <w:rsid w:val="00613308"/>
    <w:rsid w:val="006135F5"/>
    <w:rsid w:val="00613674"/>
    <w:rsid w:val="00614169"/>
    <w:rsid w:val="00614180"/>
    <w:rsid w:val="006157AA"/>
    <w:rsid w:val="00615C45"/>
    <w:rsid w:val="006167C5"/>
    <w:rsid w:val="0061729E"/>
    <w:rsid w:val="00617873"/>
    <w:rsid w:val="00617A5C"/>
    <w:rsid w:val="00617D1C"/>
    <w:rsid w:val="006246F9"/>
    <w:rsid w:val="00624857"/>
    <w:rsid w:val="006271C1"/>
    <w:rsid w:val="006277B8"/>
    <w:rsid w:val="00627865"/>
    <w:rsid w:val="006279F7"/>
    <w:rsid w:val="0063157E"/>
    <w:rsid w:val="00632FF4"/>
    <w:rsid w:val="0063396B"/>
    <w:rsid w:val="00634223"/>
    <w:rsid w:val="006342CE"/>
    <w:rsid w:val="00634792"/>
    <w:rsid w:val="006353E2"/>
    <w:rsid w:val="0063587E"/>
    <w:rsid w:val="00636B47"/>
    <w:rsid w:val="00640835"/>
    <w:rsid w:val="00640BAC"/>
    <w:rsid w:val="006412F8"/>
    <w:rsid w:val="0064130B"/>
    <w:rsid w:val="00643A11"/>
    <w:rsid w:val="006440ED"/>
    <w:rsid w:val="00646F41"/>
    <w:rsid w:val="00647062"/>
    <w:rsid w:val="006476B0"/>
    <w:rsid w:val="00650598"/>
    <w:rsid w:val="00650B55"/>
    <w:rsid w:val="006517AB"/>
    <w:rsid w:val="00651B6B"/>
    <w:rsid w:val="00651F18"/>
    <w:rsid w:val="006542C1"/>
    <w:rsid w:val="00654313"/>
    <w:rsid w:val="0065665A"/>
    <w:rsid w:val="0065754D"/>
    <w:rsid w:val="00661C80"/>
    <w:rsid w:val="00663B20"/>
    <w:rsid w:val="00664B14"/>
    <w:rsid w:val="006661EE"/>
    <w:rsid w:val="006672A2"/>
    <w:rsid w:val="00671F65"/>
    <w:rsid w:val="00672EE1"/>
    <w:rsid w:val="00672F0F"/>
    <w:rsid w:val="00673938"/>
    <w:rsid w:val="0067578A"/>
    <w:rsid w:val="00675F2C"/>
    <w:rsid w:val="00676FBA"/>
    <w:rsid w:val="00677894"/>
    <w:rsid w:val="006802E0"/>
    <w:rsid w:val="0068144B"/>
    <w:rsid w:val="006832A8"/>
    <w:rsid w:val="00683BB7"/>
    <w:rsid w:val="00684235"/>
    <w:rsid w:val="00684E79"/>
    <w:rsid w:val="00685532"/>
    <w:rsid w:val="00686A81"/>
    <w:rsid w:val="00687710"/>
    <w:rsid w:val="00687F3B"/>
    <w:rsid w:val="00690720"/>
    <w:rsid w:val="00690AA7"/>
    <w:rsid w:val="0069173B"/>
    <w:rsid w:val="00693171"/>
    <w:rsid w:val="00695FF1"/>
    <w:rsid w:val="00696820"/>
    <w:rsid w:val="006A021F"/>
    <w:rsid w:val="006A090C"/>
    <w:rsid w:val="006A0AC4"/>
    <w:rsid w:val="006A3141"/>
    <w:rsid w:val="006A35BA"/>
    <w:rsid w:val="006A4F26"/>
    <w:rsid w:val="006A73F6"/>
    <w:rsid w:val="006A77D1"/>
    <w:rsid w:val="006A7D03"/>
    <w:rsid w:val="006A7D7D"/>
    <w:rsid w:val="006B0BED"/>
    <w:rsid w:val="006B1041"/>
    <w:rsid w:val="006B33F7"/>
    <w:rsid w:val="006B4029"/>
    <w:rsid w:val="006B5856"/>
    <w:rsid w:val="006C1426"/>
    <w:rsid w:val="006C1AE7"/>
    <w:rsid w:val="006C3D19"/>
    <w:rsid w:val="006C47E7"/>
    <w:rsid w:val="006C719D"/>
    <w:rsid w:val="006C73A6"/>
    <w:rsid w:val="006D0A6D"/>
    <w:rsid w:val="006D1137"/>
    <w:rsid w:val="006D5714"/>
    <w:rsid w:val="006D7DF6"/>
    <w:rsid w:val="006D7E95"/>
    <w:rsid w:val="006E0434"/>
    <w:rsid w:val="006E0E7D"/>
    <w:rsid w:val="006E2176"/>
    <w:rsid w:val="006E3042"/>
    <w:rsid w:val="006E50E6"/>
    <w:rsid w:val="006E68CA"/>
    <w:rsid w:val="006F0476"/>
    <w:rsid w:val="006F065A"/>
    <w:rsid w:val="006F0926"/>
    <w:rsid w:val="006F0945"/>
    <w:rsid w:val="006F2CD5"/>
    <w:rsid w:val="006F333E"/>
    <w:rsid w:val="006F54E4"/>
    <w:rsid w:val="006F6466"/>
    <w:rsid w:val="00703CB3"/>
    <w:rsid w:val="0070421E"/>
    <w:rsid w:val="00704883"/>
    <w:rsid w:val="00704926"/>
    <w:rsid w:val="007103D9"/>
    <w:rsid w:val="0071228F"/>
    <w:rsid w:val="0071348E"/>
    <w:rsid w:val="00717CBC"/>
    <w:rsid w:val="0072013E"/>
    <w:rsid w:val="0072137C"/>
    <w:rsid w:val="007257DD"/>
    <w:rsid w:val="00727AB3"/>
    <w:rsid w:val="00730325"/>
    <w:rsid w:val="00730695"/>
    <w:rsid w:val="00730718"/>
    <w:rsid w:val="00731566"/>
    <w:rsid w:val="007328F4"/>
    <w:rsid w:val="00733A5F"/>
    <w:rsid w:val="00734406"/>
    <w:rsid w:val="007347B0"/>
    <w:rsid w:val="00734BDD"/>
    <w:rsid w:val="00734C54"/>
    <w:rsid w:val="00734D0E"/>
    <w:rsid w:val="00735A9E"/>
    <w:rsid w:val="007379AC"/>
    <w:rsid w:val="00741663"/>
    <w:rsid w:val="0074301D"/>
    <w:rsid w:val="00744458"/>
    <w:rsid w:val="0074504E"/>
    <w:rsid w:val="00745106"/>
    <w:rsid w:val="00745140"/>
    <w:rsid w:val="00745212"/>
    <w:rsid w:val="007466E3"/>
    <w:rsid w:val="00746A61"/>
    <w:rsid w:val="00746F1B"/>
    <w:rsid w:val="00746F63"/>
    <w:rsid w:val="00750720"/>
    <w:rsid w:val="00750F78"/>
    <w:rsid w:val="007516C6"/>
    <w:rsid w:val="007524F8"/>
    <w:rsid w:val="00752B06"/>
    <w:rsid w:val="007534D0"/>
    <w:rsid w:val="007542EC"/>
    <w:rsid w:val="007569F0"/>
    <w:rsid w:val="00756B5B"/>
    <w:rsid w:val="007620E3"/>
    <w:rsid w:val="007629A9"/>
    <w:rsid w:val="0076599C"/>
    <w:rsid w:val="00766E2D"/>
    <w:rsid w:val="00767197"/>
    <w:rsid w:val="00767587"/>
    <w:rsid w:val="007701A4"/>
    <w:rsid w:val="00771199"/>
    <w:rsid w:val="00771288"/>
    <w:rsid w:val="00771E95"/>
    <w:rsid w:val="007726AE"/>
    <w:rsid w:val="007747BA"/>
    <w:rsid w:val="007750A4"/>
    <w:rsid w:val="00775FA2"/>
    <w:rsid w:val="007772A6"/>
    <w:rsid w:val="00777B3A"/>
    <w:rsid w:val="0078001C"/>
    <w:rsid w:val="00782524"/>
    <w:rsid w:val="00782577"/>
    <w:rsid w:val="00783679"/>
    <w:rsid w:val="00785A6D"/>
    <w:rsid w:val="007869C0"/>
    <w:rsid w:val="00790DDD"/>
    <w:rsid w:val="0079141A"/>
    <w:rsid w:val="00791C8E"/>
    <w:rsid w:val="007929A9"/>
    <w:rsid w:val="00792FC8"/>
    <w:rsid w:val="007934E5"/>
    <w:rsid w:val="00793BBB"/>
    <w:rsid w:val="00793E06"/>
    <w:rsid w:val="00793F96"/>
    <w:rsid w:val="00794A40"/>
    <w:rsid w:val="00794A9C"/>
    <w:rsid w:val="0079516E"/>
    <w:rsid w:val="00795DFE"/>
    <w:rsid w:val="0079654E"/>
    <w:rsid w:val="00796867"/>
    <w:rsid w:val="007A0418"/>
    <w:rsid w:val="007A0C6A"/>
    <w:rsid w:val="007A32BD"/>
    <w:rsid w:val="007A3DA1"/>
    <w:rsid w:val="007A5FB5"/>
    <w:rsid w:val="007A682C"/>
    <w:rsid w:val="007A6834"/>
    <w:rsid w:val="007A6BFD"/>
    <w:rsid w:val="007A7962"/>
    <w:rsid w:val="007B0293"/>
    <w:rsid w:val="007B0DC9"/>
    <w:rsid w:val="007B133E"/>
    <w:rsid w:val="007B19B1"/>
    <w:rsid w:val="007B2E5C"/>
    <w:rsid w:val="007B4DBA"/>
    <w:rsid w:val="007B57D7"/>
    <w:rsid w:val="007B5DF2"/>
    <w:rsid w:val="007B613D"/>
    <w:rsid w:val="007B6C7B"/>
    <w:rsid w:val="007C178C"/>
    <w:rsid w:val="007C28B0"/>
    <w:rsid w:val="007C38CC"/>
    <w:rsid w:val="007C3CAB"/>
    <w:rsid w:val="007C4093"/>
    <w:rsid w:val="007C4C53"/>
    <w:rsid w:val="007C4FCE"/>
    <w:rsid w:val="007C5EAC"/>
    <w:rsid w:val="007C68E0"/>
    <w:rsid w:val="007C7AF3"/>
    <w:rsid w:val="007D2CC3"/>
    <w:rsid w:val="007D3FCB"/>
    <w:rsid w:val="007D40A6"/>
    <w:rsid w:val="007D5735"/>
    <w:rsid w:val="007D57FC"/>
    <w:rsid w:val="007D5D5B"/>
    <w:rsid w:val="007D672A"/>
    <w:rsid w:val="007D774C"/>
    <w:rsid w:val="007D7BF2"/>
    <w:rsid w:val="007E13EC"/>
    <w:rsid w:val="007E1FE3"/>
    <w:rsid w:val="007E4CB4"/>
    <w:rsid w:val="007E62DD"/>
    <w:rsid w:val="007E7A9B"/>
    <w:rsid w:val="007E7BD6"/>
    <w:rsid w:val="007F0258"/>
    <w:rsid w:val="007F0BB9"/>
    <w:rsid w:val="007F1903"/>
    <w:rsid w:val="007F1EE9"/>
    <w:rsid w:val="007F3F08"/>
    <w:rsid w:val="007F437D"/>
    <w:rsid w:val="007F4DAE"/>
    <w:rsid w:val="007F5E02"/>
    <w:rsid w:val="007F60A1"/>
    <w:rsid w:val="007F6CC3"/>
    <w:rsid w:val="00800670"/>
    <w:rsid w:val="0080116F"/>
    <w:rsid w:val="00802274"/>
    <w:rsid w:val="008029B9"/>
    <w:rsid w:val="00802A16"/>
    <w:rsid w:val="00802B18"/>
    <w:rsid w:val="00802FA4"/>
    <w:rsid w:val="008040E5"/>
    <w:rsid w:val="008048A7"/>
    <w:rsid w:val="008059E8"/>
    <w:rsid w:val="008061B8"/>
    <w:rsid w:val="00806495"/>
    <w:rsid w:val="008118D1"/>
    <w:rsid w:val="00811D0D"/>
    <w:rsid w:val="00812F8D"/>
    <w:rsid w:val="00813E10"/>
    <w:rsid w:val="0081475B"/>
    <w:rsid w:val="008158A0"/>
    <w:rsid w:val="00816837"/>
    <w:rsid w:val="00820555"/>
    <w:rsid w:val="00821DFF"/>
    <w:rsid w:val="008236D6"/>
    <w:rsid w:val="0082566F"/>
    <w:rsid w:val="00825D7F"/>
    <w:rsid w:val="00826B4B"/>
    <w:rsid w:val="008309FF"/>
    <w:rsid w:val="00830A38"/>
    <w:rsid w:val="00830EBD"/>
    <w:rsid w:val="00832DAF"/>
    <w:rsid w:val="00833782"/>
    <w:rsid w:val="00833DD3"/>
    <w:rsid w:val="0083471D"/>
    <w:rsid w:val="00837851"/>
    <w:rsid w:val="00837BE3"/>
    <w:rsid w:val="008425DF"/>
    <w:rsid w:val="008426D4"/>
    <w:rsid w:val="00842923"/>
    <w:rsid w:val="008434E2"/>
    <w:rsid w:val="00844164"/>
    <w:rsid w:val="00845BDB"/>
    <w:rsid w:val="0084630B"/>
    <w:rsid w:val="00846A70"/>
    <w:rsid w:val="00846E29"/>
    <w:rsid w:val="00847FAE"/>
    <w:rsid w:val="00851240"/>
    <w:rsid w:val="00851F45"/>
    <w:rsid w:val="008551AC"/>
    <w:rsid w:val="00855AAD"/>
    <w:rsid w:val="00855DAB"/>
    <w:rsid w:val="0086215E"/>
    <w:rsid w:val="00863970"/>
    <w:rsid w:val="00863FBF"/>
    <w:rsid w:val="00864526"/>
    <w:rsid w:val="0086658F"/>
    <w:rsid w:val="00866E5E"/>
    <w:rsid w:val="00867581"/>
    <w:rsid w:val="0086787F"/>
    <w:rsid w:val="00867882"/>
    <w:rsid w:val="00867F99"/>
    <w:rsid w:val="00867FD3"/>
    <w:rsid w:val="0087036B"/>
    <w:rsid w:val="00870521"/>
    <w:rsid w:val="00872CCB"/>
    <w:rsid w:val="00873151"/>
    <w:rsid w:val="0087362F"/>
    <w:rsid w:val="00873638"/>
    <w:rsid w:val="008743C1"/>
    <w:rsid w:val="00875AD0"/>
    <w:rsid w:val="00876102"/>
    <w:rsid w:val="0087680D"/>
    <w:rsid w:val="008775F9"/>
    <w:rsid w:val="008802FF"/>
    <w:rsid w:val="008803B7"/>
    <w:rsid w:val="00880434"/>
    <w:rsid w:val="008804DD"/>
    <w:rsid w:val="0088264F"/>
    <w:rsid w:val="00883381"/>
    <w:rsid w:val="0088376F"/>
    <w:rsid w:val="008838DB"/>
    <w:rsid w:val="00884648"/>
    <w:rsid w:val="008879A2"/>
    <w:rsid w:val="0089011A"/>
    <w:rsid w:val="00890247"/>
    <w:rsid w:val="00892D89"/>
    <w:rsid w:val="00896809"/>
    <w:rsid w:val="008A0C5A"/>
    <w:rsid w:val="008A1070"/>
    <w:rsid w:val="008A17D6"/>
    <w:rsid w:val="008A18E8"/>
    <w:rsid w:val="008A1CB3"/>
    <w:rsid w:val="008A249F"/>
    <w:rsid w:val="008A27F6"/>
    <w:rsid w:val="008A36CD"/>
    <w:rsid w:val="008A40DB"/>
    <w:rsid w:val="008A79B8"/>
    <w:rsid w:val="008B05BD"/>
    <w:rsid w:val="008B22FD"/>
    <w:rsid w:val="008B2F1A"/>
    <w:rsid w:val="008B3203"/>
    <w:rsid w:val="008B3216"/>
    <w:rsid w:val="008B4DC3"/>
    <w:rsid w:val="008B63B7"/>
    <w:rsid w:val="008B640C"/>
    <w:rsid w:val="008B7265"/>
    <w:rsid w:val="008B7B99"/>
    <w:rsid w:val="008C0F44"/>
    <w:rsid w:val="008C11C0"/>
    <w:rsid w:val="008C1E6B"/>
    <w:rsid w:val="008C39C9"/>
    <w:rsid w:val="008C3DF7"/>
    <w:rsid w:val="008C64B9"/>
    <w:rsid w:val="008C6D50"/>
    <w:rsid w:val="008C7F9D"/>
    <w:rsid w:val="008D02BA"/>
    <w:rsid w:val="008D1727"/>
    <w:rsid w:val="008D1AC2"/>
    <w:rsid w:val="008D2282"/>
    <w:rsid w:val="008D2699"/>
    <w:rsid w:val="008D53E4"/>
    <w:rsid w:val="008D6383"/>
    <w:rsid w:val="008D7623"/>
    <w:rsid w:val="008D7F28"/>
    <w:rsid w:val="008E0465"/>
    <w:rsid w:val="008E06F4"/>
    <w:rsid w:val="008E16C1"/>
    <w:rsid w:val="008E1BFD"/>
    <w:rsid w:val="008E2288"/>
    <w:rsid w:val="008E25F1"/>
    <w:rsid w:val="008E2C22"/>
    <w:rsid w:val="008E2C87"/>
    <w:rsid w:val="008E2D1D"/>
    <w:rsid w:val="008E3EE5"/>
    <w:rsid w:val="008E43C0"/>
    <w:rsid w:val="008E4FDC"/>
    <w:rsid w:val="008E596C"/>
    <w:rsid w:val="008E6913"/>
    <w:rsid w:val="008E6CAF"/>
    <w:rsid w:val="008E77B2"/>
    <w:rsid w:val="008F09C7"/>
    <w:rsid w:val="008F10F8"/>
    <w:rsid w:val="008F19E0"/>
    <w:rsid w:val="008F200C"/>
    <w:rsid w:val="008F21B5"/>
    <w:rsid w:val="008F2813"/>
    <w:rsid w:val="008F4396"/>
    <w:rsid w:val="008F4A1D"/>
    <w:rsid w:val="008F53CD"/>
    <w:rsid w:val="008F53EA"/>
    <w:rsid w:val="008F5C53"/>
    <w:rsid w:val="008F5EAA"/>
    <w:rsid w:val="008F60F7"/>
    <w:rsid w:val="008F675A"/>
    <w:rsid w:val="00900106"/>
    <w:rsid w:val="00900E55"/>
    <w:rsid w:val="00901C34"/>
    <w:rsid w:val="00904652"/>
    <w:rsid w:val="00904689"/>
    <w:rsid w:val="00904D8C"/>
    <w:rsid w:val="00904F27"/>
    <w:rsid w:val="00905766"/>
    <w:rsid w:val="00905A4A"/>
    <w:rsid w:val="00905B57"/>
    <w:rsid w:val="00907458"/>
    <w:rsid w:val="009075DD"/>
    <w:rsid w:val="00907C5F"/>
    <w:rsid w:val="00910EE8"/>
    <w:rsid w:val="00912C78"/>
    <w:rsid w:val="00913554"/>
    <w:rsid w:val="009142E9"/>
    <w:rsid w:val="00914DAA"/>
    <w:rsid w:val="00914F23"/>
    <w:rsid w:val="0091533D"/>
    <w:rsid w:val="00915F3C"/>
    <w:rsid w:val="009170A8"/>
    <w:rsid w:val="00917A18"/>
    <w:rsid w:val="00920EAF"/>
    <w:rsid w:val="009229E5"/>
    <w:rsid w:val="00922E63"/>
    <w:rsid w:val="00922F38"/>
    <w:rsid w:val="009246F0"/>
    <w:rsid w:val="009252A0"/>
    <w:rsid w:val="00925B24"/>
    <w:rsid w:val="009261E2"/>
    <w:rsid w:val="00927CEE"/>
    <w:rsid w:val="0093088D"/>
    <w:rsid w:val="00931DB5"/>
    <w:rsid w:val="00931FB3"/>
    <w:rsid w:val="00933071"/>
    <w:rsid w:val="00933A5C"/>
    <w:rsid w:val="00934F62"/>
    <w:rsid w:val="00935464"/>
    <w:rsid w:val="009354CD"/>
    <w:rsid w:val="00935794"/>
    <w:rsid w:val="009363E0"/>
    <w:rsid w:val="00937891"/>
    <w:rsid w:val="00940784"/>
    <w:rsid w:val="00940CB0"/>
    <w:rsid w:val="00940E68"/>
    <w:rsid w:val="00941990"/>
    <w:rsid w:val="00943216"/>
    <w:rsid w:val="00943681"/>
    <w:rsid w:val="00943AF6"/>
    <w:rsid w:val="00943B5E"/>
    <w:rsid w:val="0094410D"/>
    <w:rsid w:val="0094545B"/>
    <w:rsid w:val="00946DCD"/>
    <w:rsid w:val="00947A24"/>
    <w:rsid w:val="00947DF1"/>
    <w:rsid w:val="009501DB"/>
    <w:rsid w:val="0095043E"/>
    <w:rsid w:val="00950FD3"/>
    <w:rsid w:val="0095141F"/>
    <w:rsid w:val="00953A10"/>
    <w:rsid w:val="00953A49"/>
    <w:rsid w:val="00954CB0"/>
    <w:rsid w:val="00954D3A"/>
    <w:rsid w:val="00955497"/>
    <w:rsid w:val="00957D87"/>
    <w:rsid w:val="009602FB"/>
    <w:rsid w:val="00960779"/>
    <w:rsid w:val="0096257F"/>
    <w:rsid w:val="00962689"/>
    <w:rsid w:val="009626F5"/>
    <w:rsid w:val="0096336B"/>
    <w:rsid w:val="00963E92"/>
    <w:rsid w:val="00971BE6"/>
    <w:rsid w:val="00971E77"/>
    <w:rsid w:val="009725A1"/>
    <w:rsid w:val="00973AB4"/>
    <w:rsid w:val="00974CD3"/>
    <w:rsid w:val="009804ED"/>
    <w:rsid w:val="00980B1B"/>
    <w:rsid w:val="00980CF3"/>
    <w:rsid w:val="00982035"/>
    <w:rsid w:val="00982D32"/>
    <w:rsid w:val="00985AF8"/>
    <w:rsid w:val="00985F25"/>
    <w:rsid w:val="0098760D"/>
    <w:rsid w:val="00990A9B"/>
    <w:rsid w:val="00994AA9"/>
    <w:rsid w:val="00995C55"/>
    <w:rsid w:val="00996A11"/>
    <w:rsid w:val="00997608"/>
    <w:rsid w:val="00997B29"/>
    <w:rsid w:val="009A07E2"/>
    <w:rsid w:val="009A1592"/>
    <w:rsid w:val="009A1F8A"/>
    <w:rsid w:val="009A219B"/>
    <w:rsid w:val="009A286E"/>
    <w:rsid w:val="009A2AB4"/>
    <w:rsid w:val="009A309D"/>
    <w:rsid w:val="009A3609"/>
    <w:rsid w:val="009A3A83"/>
    <w:rsid w:val="009A3C7F"/>
    <w:rsid w:val="009A5822"/>
    <w:rsid w:val="009B11A8"/>
    <w:rsid w:val="009B1444"/>
    <w:rsid w:val="009B3CDC"/>
    <w:rsid w:val="009B5EF2"/>
    <w:rsid w:val="009B6974"/>
    <w:rsid w:val="009B6D0B"/>
    <w:rsid w:val="009C002F"/>
    <w:rsid w:val="009C0D7C"/>
    <w:rsid w:val="009C37AD"/>
    <w:rsid w:val="009C6763"/>
    <w:rsid w:val="009C68EC"/>
    <w:rsid w:val="009C69ED"/>
    <w:rsid w:val="009C79E4"/>
    <w:rsid w:val="009C7FBE"/>
    <w:rsid w:val="009D3921"/>
    <w:rsid w:val="009D5D1C"/>
    <w:rsid w:val="009D69A4"/>
    <w:rsid w:val="009D74D7"/>
    <w:rsid w:val="009D7E5E"/>
    <w:rsid w:val="009E11E8"/>
    <w:rsid w:val="009E1895"/>
    <w:rsid w:val="009E4BD9"/>
    <w:rsid w:val="009E5889"/>
    <w:rsid w:val="009E65D3"/>
    <w:rsid w:val="009E7A17"/>
    <w:rsid w:val="009F1320"/>
    <w:rsid w:val="009F1AF1"/>
    <w:rsid w:val="009F2347"/>
    <w:rsid w:val="009F2F03"/>
    <w:rsid w:val="009F3DC7"/>
    <w:rsid w:val="009F3E29"/>
    <w:rsid w:val="009F4DCB"/>
    <w:rsid w:val="009F54B9"/>
    <w:rsid w:val="009F5797"/>
    <w:rsid w:val="009F7478"/>
    <w:rsid w:val="009F767A"/>
    <w:rsid w:val="009F79CA"/>
    <w:rsid w:val="00A00181"/>
    <w:rsid w:val="00A006D1"/>
    <w:rsid w:val="00A01ABC"/>
    <w:rsid w:val="00A0236E"/>
    <w:rsid w:val="00A026B1"/>
    <w:rsid w:val="00A044A3"/>
    <w:rsid w:val="00A04699"/>
    <w:rsid w:val="00A051F2"/>
    <w:rsid w:val="00A05476"/>
    <w:rsid w:val="00A07B54"/>
    <w:rsid w:val="00A104EA"/>
    <w:rsid w:val="00A11674"/>
    <w:rsid w:val="00A11733"/>
    <w:rsid w:val="00A11EDF"/>
    <w:rsid w:val="00A1279F"/>
    <w:rsid w:val="00A131B7"/>
    <w:rsid w:val="00A151D0"/>
    <w:rsid w:val="00A15D1C"/>
    <w:rsid w:val="00A17262"/>
    <w:rsid w:val="00A17AB4"/>
    <w:rsid w:val="00A2069E"/>
    <w:rsid w:val="00A2082C"/>
    <w:rsid w:val="00A22273"/>
    <w:rsid w:val="00A22913"/>
    <w:rsid w:val="00A22C69"/>
    <w:rsid w:val="00A23F7A"/>
    <w:rsid w:val="00A251B5"/>
    <w:rsid w:val="00A25803"/>
    <w:rsid w:val="00A277F8"/>
    <w:rsid w:val="00A304B9"/>
    <w:rsid w:val="00A30AB6"/>
    <w:rsid w:val="00A30D24"/>
    <w:rsid w:val="00A32B91"/>
    <w:rsid w:val="00A32F36"/>
    <w:rsid w:val="00A333E4"/>
    <w:rsid w:val="00A34B44"/>
    <w:rsid w:val="00A34D3B"/>
    <w:rsid w:val="00A350DC"/>
    <w:rsid w:val="00A35415"/>
    <w:rsid w:val="00A35FE5"/>
    <w:rsid w:val="00A3613B"/>
    <w:rsid w:val="00A361BF"/>
    <w:rsid w:val="00A362F8"/>
    <w:rsid w:val="00A364EA"/>
    <w:rsid w:val="00A36B05"/>
    <w:rsid w:val="00A36D3C"/>
    <w:rsid w:val="00A375B6"/>
    <w:rsid w:val="00A37662"/>
    <w:rsid w:val="00A37966"/>
    <w:rsid w:val="00A4088C"/>
    <w:rsid w:val="00A413EB"/>
    <w:rsid w:val="00A41CB3"/>
    <w:rsid w:val="00A42ACA"/>
    <w:rsid w:val="00A42EBD"/>
    <w:rsid w:val="00A42FBA"/>
    <w:rsid w:val="00A46484"/>
    <w:rsid w:val="00A47378"/>
    <w:rsid w:val="00A503E5"/>
    <w:rsid w:val="00A51D1B"/>
    <w:rsid w:val="00A51E52"/>
    <w:rsid w:val="00A52EFA"/>
    <w:rsid w:val="00A52FB1"/>
    <w:rsid w:val="00A52FE3"/>
    <w:rsid w:val="00A55F9E"/>
    <w:rsid w:val="00A5611C"/>
    <w:rsid w:val="00A5708B"/>
    <w:rsid w:val="00A606A0"/>
    <w:rsid w:val="00A629C5"/>
    <w:rsid w:val="00A633EF"/>
    <w:rsid w:val="00A6401A"/>
    <w:rsid w:val="00A66A3B"/>
    <w:rsid w:val="00A670E8"/>
    <w:rsid w:val="00A672B6"/>
    <w:rsid w:val="00A71426"/>
    <w:rsid w:val="00A73029"/>
    <w:rsid w:val="00A73206"/>
    <w:rsid w:val="00A74181"/>
    <w:rsid w:val="00A74354"/>
    <w:rsid w:val="00A76E19"/>
    <w:rsid w:val="00A81820"/>
    <w:rsid w:val="00A81D4E"/>
    <w:rsid w:val="00A8227B"/>
    <w:rsid w:val="00A830DC"/>
    <w:rsid w:val="00A83CBC"/>
    <w:rsid w:val="00A83DE9"/>
    <w:rsid w:val="00A84EA2"/>
    <w:rsid w:val="00A86934"/>
    <w:rsid w:val="00A87B75"/>
    <w:rsid w:val="00A904F8"/>
    <w:rsid w:val="00A909E6"/>
    <w:rsid w:val="00A917A0"/>
    <w:rsid w:val="00A934E7"/>
    <w:rsid w:val="00A94286"/>
    <w:rsid w:val="00A94752"/>
    <w:rsid w:val="00A94964"/>
    <w:rsid w:val="00A955D5"/>
    <w:rsid w:val="00A9594A"/>
    <w:rsid w:val="00A95966"/>
    <w:rsid w:val="00A96055"/>
    <w:rsid w:val="00A9730F"/>
    <w:rsid w:val="00A97DB6"/>
    <w:rsid w:val="00AA0558"/>
    <w:rsid w:val="00AA090A"/>
    <w:rsid w:val="00AA35C8"/>
    <w:rsid w:val="00AA4ACB"/>
    <w:rsid w:val="00AA590A"/>
    <w:rsid w:val="00AA6A17"/>
    <w:rsid w:val="00AA6F77"/>
    <w:rsid w:val="00AA72E6"/>
    <w:rsid w:val="00AA78E8"/>
    <w:rsid w:val="00AB052C"/>
    <w:rsid w:val="00AB15D3"/>
    <w:rsid w:val="00AB1632"/>
    <w:rsid w:val="00AB187F"/>
    <w:rsid w:val="00AB1B0C"/>
    <w:rsid w:val="00AB330F"/>
    <w:rsid w:val="00AB5AC9"/>
    <w:rsid w:val="00AB5ED8"/>
    <w:rsid w:val="00AC215A"/>
    <w:rsid w:val="00AC22B1"/>
    <w:rsid w:val="00AC3CA3"/>
    <w:rsid w:val="00AC3D17"/>
    <w:rsid w:val="00AC56E8"/>
    <w:rsid w:val="00AC5BD0"/>
    <w:rsid w:val="00AC61EF"/>
    <w:rsid w:val="00AC63C2"/>
    <w:rsid w:val="00AD0E19"/>
    <w:rsid w:val="00AD2DE7"/>
    <w:rsid w:val="00AD38FF"/>
    <w:rsid w:val="00AD6C6E"/>
    <w:rsid w:val="00AD7382"/>
    <w:rsid w:val="00AE0B35"/>
    <w:rsid w:val="00AE0C4A"/>
    <w:rsid w:val="00AE104E"/>
    <w:rsid w:val="00AE1A27"/>
    <w:rsid w:val="00AE27BC"/>
    <w:rsid w:val="00AE536D"/>
    <w:rsid w:val="00AE57A8"/>
    <w:rsid w:val="00AE590C"/>
    <w:rsid w:val="00AE7BDD"/>
    <w:rsid w:val="00AF1368"/>
    <w:rsid w:val="00AF20F8"/>
    <w:rsid w:val="00AF36B1"/>
    <w:rsid w:val="00AF517B"/>
    <w:rsid w:val="00AF5ECA"/>
    <w:rsid w:val="00AF7B95"/>
    <w:rsid w:val="00B00735"/>
    <w:rsid w:val="00B00A20"/>
    <w:rsid w:val="00B00F6E"/>
    <w:rsid w:val="00B01262"/>
    <w:rsid w:val="00B016C2"/>
    <w:rsid w:val="00B01EF2"/>
    <w:rsid w:val="00B040B9"/>
    <w:rsid w:val="00B04589"/>
    <w:rsid w:val="00B0521C"/>
    <w:rsid w:val="00B1048C"/>
    <w:rsid w:val="00B10498"/>
    <w:rsid w:val="00B10EDA"/>
    <w:rsid w:val="00B11763"/>
    <w:rsid w:val="00B12BC9"/>
    <w:rsid w:val="00B130EB"/>
    <w:rsid w:val="00B13893"/>
    <w:rsid w:val="00B141F8"/>
    <w:rsid w:val="00B16F02"/>
    <w:rsid w:val="00B17126"/>
    <w:rsid w:val="00B17484"/>
    <w:rsid w:val="00B20BC5"/>
    <w:rsid w:val="00B227B4"/>
    <w:rsid w:val="00B231CB"/>
    <w:rsid w:val="00B24236"/>
    <w:rsid w:val="00B24767"/>
    <w:rsid w:val="00B26AF0"/>
    <w:rsid w:val="00B306F1"/>
    <w:rsid w:val="00B323AD"/>
    <w:rsid w:val="00B326C2"/>
    <w:rsid w:val="00B32AD2"/>
    <w:rsid w:val="00B3472C"/>
    <w:rsid w:val="00B34DF6"/>
    <w:rsid w:val="00B3659E"/>
    <w:rsid w:val="00B3676F"/>
    <w:rsid w:val="00B3705F"/>
    <w:rsid w:val="00B372A2"/>
    <w:rsid w:val="00B43075"/>
    <w:rsid w:val="00B440A0"/>
    <w:rsid w:val="00B440AD"/>
    <w:rsid w:val="00B44A54"/>
    <w:rsid w:val="00B45BD4"/>
    <w:rsid w:val="00B46763"/>
    <w:rsid w:val="00B500EA"/>
    <w:rsid w:val="00B50725"/>
    <w:rsid w:val="00B50EBD"/>
    <w:rsid w:val="00B510DD"/>
    <w:rsid w:val="00B52082"/>
    <w:rsid w:val="00B54783"/>
    <w:rsid w:val="00B54F2A"/>
    <w:rsid w:val="00B554F1"/>
    <w:rsid w:val="00B5731F"/>
    <w:rsid w:val="00B578BD"/>
    <w:rsid w:val="00B6009A"/>
    <w:rsid w:val="00B61500"/>
    <w:rsid w:val="00B61F29"/>
    <w:rsid w:val="00B620C9"/>
    <w:rsid w:val="00B621DF"/>
    <w:rsid w:val="00B640D0"/>
    <w:rsid w:val="00B64973"/>
    <w:rsid w:val="00B6628D"/>
    <w:rsid w:val="00B673B1"/>
    <w:rsid w:val="00B70090"/>
    <w:rsid w:val="00B735FA"/>
    <w:rsid w:val="00B74050"/>
    <w:rsid w:val="00B740FB"/>
    <w:rsid w:val="00B7589E"/>
    <w:rsid w:val="00B7603B"/>
    <w:rsid w:val="00B760C6"/>
    <w:rsid w:val="00B802DE"/>
    <w:rsid w:val="00B80C5E"/>
    <w:rsid w:val="00B81C48"/>
    <w:rsid w:val="00B8427E"/>
    <w:rsid w:val="00B8510A"/>
    <w:rsid w:val="00B860E3"/>
    <w:rsid w:val="00B87A15"/>
    <w:rsid w:val="00B913F1"/>
    <w:rsid w:val="00B93116"/>
    <w:rsid w:val="00B93677"/>
    <w:rsid w:val="00B94585"/>
    <w:rsid w:val="00B948A2"/>
    <w:rsid w:val="00B94AE3"/>
    <w:rsid w:val="00B96C1B"/>
    <w:rsid w:val="00B97E70"/>
    <w:rsid w:val="00BA0298"/>
    <w:rsid w:val="00BA0431"/>
    <w:rsid w:val="00BA1DA9"/>
    <w:rsid w:val="00BA1EC3"/>
    <w:rsid w:val="00BA1FF0"/>
    <w:rsid w:val="00BA28A3"/>
    <w:rsid w:val="00BA31B5"/>
    <w:rsid w:val="00BA33D6"/>
    <w:rsid w:val="00BA49C3"/>
    <w:rsid w:val="00BA581B"/>
    <w:rsid w:val="00BA5CB3"/>
    <w:rsid w:val="00BA5FEC"/>
    <w:rsid w:val="00BA6352"/>
    <w:rsid w:val="00BA701C"/>
    <w:rsid w:val="00BB0134"/>
    <w:rsid w:val="00BB038F"/>
    <w:rsid w:val="00BB0423"/>
    <w:rsid w:val="00BB1920"/>
    <w:rsid w:val="00BB1CB7"/>
    <w:rsid w:val="00BB1E31"/>
    <w:rsid w:val="00BB3796"/>
    <w:rsid w:val="00BB4519"/>
    <w:rsid w:val="00BB4BA8"/>
    <w:rsid w:val="00BB5AEF"/>
    <w:rsid w:val="00BB6F1F"/>
    <w:rsid w:val="00BB775F"/>
    <w:rsid w:val="00BC0CDE"/>
    <w:rsid w:val="00BC0F70"/>
    <w:rsid w:val="00BC60BD"/>
    <w:rsid w:val="00BC6985"/>
    <w:rsid w:val="00BC6D2E"/>
    <w:rsid w:val="00BC6EE7"/>
    <w:rsid w:val="00BC7F43"/>
    <w:rsid w:val="00BD015C"/>
    <w:rsid w:val="00BD05EF"/>
    <w:rsid w:val="00BD228D"/>
    <w:rsid w:val="00BD40E4"/>
    <w:rsid w:val="00BD4192"/>
    <w:rsid w:val="00BD45E2"/>
    <w:rsid w:val="00BD489C"/>
    <w:rsid w:val="00BD4F47"/>
    <w:rsid w:val="00BD52F5"/>
    <w:rsid w:val="00BD57D9"/>
    <w:rsid w:val="00BD6070"/>
    <w:rsid w:val="00BD6F14"/>
    <w:rsid w:val="00BD7D41"/>
    <w:rsid w:val="00BE0E4B"/>
    <w:rsid w:val="00BE1A03"/>
    <w:rsid w:val="00BE1D87"/>
    <w:rsid w:val="00BE2084"/>
    <w:rsid w:val="00BE39FB"/>
    <w:rsid w:val="00BE3AD0"/>
    <w:rsid w:val="00BE49C7"/>
    <w:rsid w:val="00BE4B6F"/>
    <w:rsid w:val="00BE63D6"/>
    <w:rsid w:val="00BE7796"/>
    <w:rsid w:val="00BE7A34"/>
    <w:rsid w:val="00BF0AC3"/>
    <w:rsid w:val="00BF156F"/>
    <w:rsid w:val="00BF32B9"/>
    <w:rsid w:val="00BF3A3C"/>
    <w:rsid w:val="00BF3AED"/>
    <w:rsid w:val="00BF4603"/>
    <w:rsid w:val="00BF464E"/>
    <w:rsid w:val="00BF4915"/>
    <w:rsid w:val="00BF7FB0"/>
    <w:rsid w:val="00C00878"/>
    <w:rsid w:val="00C021ED"/>
    <w:rsid w:val="00C0335A"/>
    <w:rsid w:val="00C038AC"/>
    <w:rsid w:val="00C0390D"/>
    <w:rsid w:val="00C064C7"/>
    <w:rsid w:val="00C068B8"/>
    <w:rsid w:val="00C06DF7"/>
    <w:rsid w:val="00C11109"/>
    <w:rsid w:val="00C1340B"/>
    <w:rsid w:val="00C14B64"/>
    <w:rsid w:val="00C15192"/>
    <w:rsid w:val="00C17473"/>
    <w:rsid w:val="00C2005A"/>
    <w:rsid w:val="00C203BC"/>
    <w:rsid w:val="00C20B70"/>
    <w:rsid w:val="00C20FA1"/>
    <w:rsid w:val="00C21303"/>
    <w:rsid w:val="00C2135D"/>
    <w:rsid w:val="00C213E7"/>
    <w:rsid w:val="00C21CD3"/>
    <w:rsid w:val="00C22811"/>
    <w:rsid w:val="00C22FA0"/>
    <w:rsid w:val="00C23A81"/>
    <w:rsid w:val="00C2439E"/>
    <w:rsid w:val="00C24722"/>
    <w:rsid w:val="00C25011"/>
    <w:rsid w:val="00C30FB0"/>
    <w:rsid w:val="00C3195D"/>
    <w:rsid w:val="00C321FD"/>
    <w:rsid w:val="00C32796"/>
    <w:rsid w:val="00C32931"/>
    <w:rsid w:val="00C32E9A"/>
    <w:rsid w:val="00C331A2"/>
    <w:rsid w:val="00C33337"/>
    <w:rsid w:val="00C338AD"/>
    <w:rsid w:val="00C34929"/>
    <w:rsid w:val="00C35AED"/>
    <w:rsid w:val="00C4048B"/>
    <w:rsid w:val="00C40E92"/>
    <w:rsid w:val="00C410F1"/>
    <w:rsid w:val="00C415C5"/>
    <w:rsid w:val="00C425B8"/>
    <w:rsid w:val="00C4350B"/>
    <w:rsid w:val="00C43D5E"/>
    <w:rsid w:val="00C450D7"/>
    <w:rsid w:val="00C462D5"/>
    <w:rsid w:val="00C4739F"/>
    <w:rsid w:val="00C50F5B"/>
    <w:rsid w:val="00C5176C"/>
    <w:rsid w:val="00C5345E"/>
    <w:rsid w:val="00C5360F"/>
    <w:rsid w:val="00C53FDF"/>
    <w:rsid w:val="00C5432F"/>
    <w:rsid w:val="00C57806"/>
    <w:rsid w:val="00C61FD9"/>
    <w:rsid w:val="00C62D27"/>
    <w:rsid w:val="00C63A3C"/>
    <w:rsid w:val="00C64CBF"/>
    <w:rsid w:val="00C660CB"/>
    <w:rsid w:val="00C66C23"/>
    <w:rsid w:val="00C70008"/>
    <w:rsid w:val="00C71015"/>
    <w:rsid w:val="00C7101F"/>
    <w:rsid w:val="00C73347"/>
    <w:rsid w:val="00C73A24"/>
    <w:rsid w:val="00C7409C"/>
    <w:rsid w:val="00C74744"/>
    <w:rsid w:val="00C749AA"/>
    <w:rsid w:val="00C76B35"/>
    <w:rsid w:val="00C80DA8"/>
    <w:rsid w:val="00C83FD7"/>
    <w:rsid w:val="00C846C9"/>
    <w:rsid w:val="00C848B0"/>
    <w:rsid w:val="00C87907"/>
    <w:rsid w:val="00C91B1B"/>
    <w:rsid w:val="00C93211"/>
    <w:rsid w:val="00C9656D"/>
    <w:rsid w:val="00C96AE8"/>
    <w:rsid w:val="00CA1827"/>
    <w:rsid w:val="00CA3D11"/>
    <w:rsid w:val="00CA404A"/>
    <w:rsid w:val="00CA50B3"/>
    <w:rsid w:val="00CA5543"/>
    <w:rsid w:val="00CA55E6"/>
    <w:rsid w:val="00CA569A"/>
    <w:rsid w:val="00CA5D36"/>
    <w:rsid w:val="00CA7D5D"/>
    <w:rsid w:val="00CB15BA"/>
    <w:rsid w:val="00CB20DF"/>
    <w:rsid w:val="00CB2A65"/>
    <w:rsid w:val="00CB4DF7"/>
    <w:rsid w:val="00CB5195"/>
    <w:rsid w:val="00CB5722"/>
    <w:rsid w:val="00CB5E6D"/>
    <w:rsid w:val="00CB704E"/>
    <w:rsid w:val="00CB7B08"/>
    <w:rsid w:val="00CC07B2"/>
    <w:rsid w:val="00CC0847"/>
    <w:rsid w:val="00CC0D58"/>
    <w:rsid w:val="00CC134C"/>
    <w:rsid w:val="00CC242A"/>
    <w:rsid w:val="00CC2A58"/>
    <w:rsid w:val="00CC31FC"/>
    <w:rsid w:val="00CC364D"/>
    <w:rsid w:val="00CC3B0B"/>
    <w:rsid w:val="00CC4339"/>
    <w:rsid w:val="00CC60F6"/>
    <w:rsid w:val="00CC6648"/>
    <w:rsid w:val="00CC72F9"/>
    <w:rsid w:val="00CD199C"/>
    <w:rsid w:val="00CD302B"/>
    <w:rsid w:val="00CD33DC"/>
    <w:rsid w:val="00CD69AF"/>
    <w:rsid w:val="00CD7483"/>
    <w:rsid w:val="00CD7B07"/>
    <w:rsid w:val="00CD7EAB"/>
    <w:rsid w:val="00CD7FFE"/>
    <w:rsid w:val="00CE24E4"/>
    <w:rsid w:val="00CE3DC4"/>
    <w:rsid w:val="00CE61D6"/>
    <w:rsid w:val="00CF0698"/>
    <w:rsid w:val="00CF09B3"/>
    <w:rsid w:val="00CF0CDF"/>
    <w:rsid w:val="00CF0F67"/>
    <w:rsid w:val="00CF269B"/>
    <w:rsid w:val="00CF2D43"/>
    <w:rsid w:val="00CF38FF"/>
    <w:rsid w:val="00CF4A5B"/>
    <w:rsid w:val="00CF4DB2"/>
    <w:rsid w:val="00CF7CCF"/>
    <w:rsid w:val="00CF7CDE"/>
    <w:rsid w:val="00CF7FD6"/>
    <w:rsid w:val="00D002A4"/>
    <w:rsid w:val="00D01B88"/>
    <w:rsid w:val="00D02B5C"/>
    <w:rsid w:val="00D03719"/>
    <w:rsid w:val="00D058F6"/>
    <w:rsid w:val="00D06984"/>
    <w:rsid w:val="00D072BC"/>
    <w:rsid w:val="00D101E1"/>
    <w:rsid w:val="00D10E2B"/>
    <w:rsid w:val="00D1112A"/>
    <w:rsid w:val="00D120D2"/>
    <w:rsid w:val="00D1237A"/>
    <w:rsid w:val="00D1364C"/>
    <w:rsid w:val="00D14EE1"/>
    <w:rsid w:val="00D15067"/>
    <w:rsid w:val="00D175AA"/>
    <w:rsid w:val="00D21AFD"/>
    <w:rsid w:val="00D21EC1"/>
    <w:rsid w:val="00D22D9F"/>
    <w:rsid w:val="00D22E06"/>
    <w:rsid w:val="00D2375D"/>
    <w:rsid w:val="00D242CF"/>
    <w:rsid w:val="00D244A2"/>
    <w:rsid w:val="00D248B1"/>
    <w:rsid w:val="00D248F6"/>
    <w:rsid w:val="00D257A0"/>
    <w:rsid w:val="00D25B06"/>
    <w:rsid w:val="00D30B57"/>
    <w:rsid w:val="00D32959"/>
    <w:rsid w:val="00D3308D"/>
    <w:rsid w:val="00D33D34"/>
    <w:rsid w:val="00D33E2C"/>
    <w:rsid w:val="00D34228"/>
    <w:rsid w:val="00D347FF"/>
    <w:rsid w:val="00D34C9D"/>
    <w:rsid w:val="00D34E7D"/>
    <w:rsid w:val="00D35724"/>
    <w:rsid w:val="00D35C16"/>
    <w:rsid w:val="00D3620D"/>
    <w:rsid w:val="00D364E7"/>
    <w:rsid w:val="00D367A1"/>
    <w:rsid w:val="00D36AD3"/>
    <w:rsid w:val="00D3795B"/>
    <w:rsid w:val="00D37C4C"/>
    <w:rsid w:val="00D40239"/>
    <w:rsid w:val="00D40A33"/>
    <w:rsid w:val="00D421B8"/>
    <w:rsid w:val="00D42330"/>
    <w:rsid w:val="00D426A3"/>
    <w:rsid w:val="00D44F57"/>
    <w:rsid w:val="00D452D3"/>
    <w:rsid w:val="00D459B8"/>
    <w:rsid w:val="00D46157"/>
    <w:rsid w:val="00D46792"/>
    <w:rsid w:val="00D471AE"/>
    <w:rsid w:val="00D501B0"/>
    <w:rsid w:val="00D50B47"/>
    <w:rsid w:val="00D51377"/>
    <w:rsid w:val="00D51CAA"/>
    <w:rsid w:val="00D521CE"/>
    <w:rsid w:val="00D53005"/>
    <w:rsid w:val="00D54BF3"/>
    <w:rsid w:val="00D550AF"/>
    <w:rsid w:val="00D55E09"/>
    <w:rsid w:val="00D55F5E"/>
    <w:rsid w:val="00D560BE"/>
    <w:rsid w:val="00D5641C"/>
    <w:rsid w:val="00D61094"/>
    <w:rsid w:val="00D610F6"/>
    <w:rsid w:val="00D61B35"/>
    <w:rsid w:val="00D61C9B"/>
    <w:rsid w:val="00D623CD"/>
    <w:rsid w:val="00D628E3"/>
    <w:rsid w:val="00D63179"/>
    <w:rsid w:val="00D63A23"/>
    <w:rsid w:val="00D65CFB"/>
    <w:rsid w:val="00D67548"/>
    <w:rsid w:val="00D70B0C"/>
    <w:rsid w:val="00D73114"/>
    <w:rsid w:val="00D73187"/>
    <w:rsid w:val="00D7349E"/>
    <w:rsid w:val="00D74D9C"/>
    <w:rsid w:val="00D76472"/>
    <w:rsid w:val="00D76847"/>
    <w:rsid w:val="00D76CC2"/>
    <w:rsid w:val="00D80FF5"/>
    <w:rsid w:val="00D81114"/>
    <w:rsid w:val="00D82ED8"/>
    <w:rsid w:val="00D846EA"/>
    <w:rsid w:val="00D85C2B"/>
    <w:rsid w:val="00D87E4F"/>
    <w:rsid w:val="00D911E7"/>
    <w:rsid w:val="00D91AD5"/>
    <w:rsid w:val="00D91B24"/>
    <w:rsid w:val="00D920DA"/>
    <w:rsid w:val="00D925A2"/>
    <w:rsid w:val="00D93E6C"/>
    <w:rsid w:val="00D942D3"/>
    <w:rsid w:val="00D945A9"/>
    <w:rsid w:val="00D9553E"/>
    <w:rsid w:val="00D96086"/>
    <w:rsid w:val="00D96A99"/>
    <w:rsid w:val="00D97F9A"/>
    <w:rsid w:val="00DA036A"/>
    <w:rsid w:val="00DA1A88"/>
    <w:rsid w:val="00DA1C47"/>
    <w:rsid w:val="00DA2295"/>
    <w:rsid w:val="00DA375C"/>
    <w:rsid w:val="00DA383E"/>
    <w:rsid w:val="00DA41B7"/>
    <w:rsid w:val="00DA4D06"/>
    <w:rsid w:val="00DA618E"/>
    <w:rsid w:val="00DB14B9"/>
    <w:rsid w:val="00DB18B2"/>
    <w:rsid w:val="00DB3779"/>
    <w:rsid w:val="00DB539B"/>
    <w:rsid w:val="00DB560D"/>
    <w:rsid w:val="00DC06A0"/>
    <w:rsid w:val="00DC0CF2"/>
    <w:rsid w:val="00DC1C66"/>
    <w:rsid w:val="00DC2C28"/>
    <w:rsid w:val="00DC3D99"/>
    <w:rsid w:val="00DC488F"/>
    <w:rsid w:val="00DC4E71"/>
    <w:rsid w:val="00DC5162"/>
    <w:rsid w:val="00DC53B0"/>
    <w:rsid w:val="00DD023A"/>
    <w:rsid w:val="00DD0299"/>
    <w:rsid w:val="00DD18FC"/>
    <w:rsid w:val="00DD3876"/>
    <w:rsid w:val="00DD3E9F"/>
    <w:rsid w:val="00DD6B38"/>
    <w:rsid w:val="00DE00F3"/>
    <w:rsid w:val="00DE133A"/>
    <w:rsid w:val="00DE2750"/>
    <w:rsid w:val="00DE36AE"/>
    <w:rsid w:val="00DE5B84"/>
    <w:rsid w:val="00DE678C"/>
    <w:rsid w:val="00DE6F77"/>
    <w:rsid w:val="00DE6FD7"/>
    <w:rsid w:val="00DE7BA5"/>
    <w:rsid w:val="00DF2134"/>
    <w:rsid w:val="00DF2A7A"/>
    <w:rsid w:val="00DF2EFF"/>
    <w:rsid w:val="00DF45BA"/>
    <w:rsid w:val="00DF5A64"/>
    <w:rsid w:val="00DF5C84"/>
    <w:rsid w:val="00DF7869"/>
    <w:rsid w:val="00DF7A44"/>
    <w:rsid w:val="00E0058B"/>
    <w:rsid w:val="00E00D2C"/>
    <w:rsid w:val="00E00D8E"/>
    <w:rsid w:val="00E01C3A"/>
    <w:rsid w:val="00E02DDB"/>
    <w:rsid w:val="00E05DAC"/>
    <w:rsid w:val="00E068C3"/>
    <w:rsid w:val="00E074B0"/>
    <w:rsid w:val="00E114CF"/>
    <w:rsid w:val="00E1261A"/>
    <w:rsid w:val="00E15EF6"/>
    <w:rsid w:val="00E1615E"/>
    <w:rsid w:val="00E16A1D"/>
    <w:rsid w:val="00E17752"/>
    <w:rsid w:val="00E17756"/>
    <w:rsid w:val="00E17B2E"/>
    <w:rsid w:val="00E20682"/>
    <w:rsid w:val="00E20974"/>
    <w:rsid w:val="00E23708"/>
    <w:rsid w:val="00E23711"/>
    <w:rsid w:val="00E23E8E"/>
    <w:rsid w:val="00E2449A"/>
    <w:rsid w:val="00E25184"/>
    <w:rsid w:val="00E2631E"/>
    <w:rsid w:val="00E263A0"/>
    <w:rsid w:val="00E277FE"/>
    <w:rsid w:val="00E27950"/>
    <w:rsid w:val="00E27FA5"/>
    <w:rsid w:val="00E3031B"/>
    <w:rsid w:val="00E308B0"/>
    <w:rsid w:val="00E31F9E"/>
    <w:rsid w:val="00E32EF2"/>
    <w:rsid w:val="00E336D0"/>
    <w:rsid w:val="00E336D4"/>
    <w:rsid w:val="00E354E1"/>
    <w:rsid w:val="00E3562E"/>
    <w:rsid w:val="00E363F3"/>
    <w:rsid w:val="00E372D3"/>
    <w:rsid w:val="00E378BC"/>
    <w:rsid w:val="00E4002A"/>
    <w:rsid w:val="00E4023A"/>
    <w:rsid w:val="00E41864"/>
    <w:rsid w:val="00E41F61"/>
    <w:rsid w:val="00E42211"/>
    <w:rsid w:val="00E42235"/>
    <w:rsid w:val="00E42306"/>
    <w:rsid w:val="00E432C2"/>
    <w:rsid w:val="00E43427"/>
    <w:rsid w:val="00E449B1"/>
    <w:rsid w:val="00E465AA"/>
    <w:rsid w:val="00E46BAE"/>
    <w:rsid w:val="00E46DEB"/>
    <w:rsid w:val="00E47523"/>
    <w:rsid w:val="00E47ABC"/>
    <w:rsid w:val="00E50AFE"/>
    <w:rsid w:val="00E50EB9"/>
    <w:rsid w:val="00E514A3"/>
    <w:rsid w:val="00E520E7"/>
    <w:rsid w:val="00E52D23"/>
    <w:rsid w:val="00E52EB6"/>
    <w:rsid w:val="00E53979"/>
    <w:rsid w:val="00E542E8"/>
    <w:rsid w:val="00E54617"/>
    <w:rsid w:val="00E5560B"/>
    <w:rsid w:val="00E564D7"/>
    <w:rsid w:val="00E566F5"/>
    <w:rsid w:val="00E57047"/>
    <w:rsid w:val="00E57273"/>
    <w:rsid w:val="00E5730E"/>
    <w:rsid w:val="00E57C86"/>
    <w:rsid w:val="00E60A54"/>
    <w:rsid w:val="00E615DB"/>
    <w:rsid w:val="00E626F3"/>
    <w:rsid w:val="00E62CF9"/>
    <w:rsid w:val="00E633E5"/>
    <w:rsid w:val="00E63BBB"/>
    <w:rsid w:val="00E6477F"/>
    <w:rsid w:val="00E657B7"/>
    <w:rsid w:val="00E66786"/>
    <w:rsid w:val="00E67B54"/>
    <w:rsid w:val="00E713F8"/>
    <w:rsid w:val="00E71477"/>
    <w:rsid w:val="00E721C9"/>
    <w:rsid w:val="00E72CD1"/>
    <w:rsid w:val="00E76389"/>
    <w:rsid w:val="00E76524"/>
    <w:rsid w:val="00E76706"/>
    <w:rsid w:val="00E77FEB"/>
    <w:rsid w:val="00E8014C"/>
    <w:rsid w:val="00E81F24"/>
    <w:rsid w:val="00E82EE5"/>
    <w:rsid w:val="00E84C02"/>
    <w:rsid w:val="00E84CEA"/>
    <w:rsid w:val="00E85C63"/>
    <w:rsid w:val="00E86980"/>
    <w:rsid w:val="00E87306"/>
    <w:rsid w:val="00E87F5C"/>
    <w:rsid w:val="00E90E97"/>
    <w:rsid w:val="00E912A4"/>
    <w:rsid w:val="00E92F49"/>
    <w:rsid w:val="00E93092"/>
    <w:rsid w:val="00E941B3"/>
    <w:rsid w:val="00E94C08"/>
    <w:rsid w:val="00E970DC"/>
    <w:rsid w:val="00E9737C"/>
    <w:rsid w:val="00E97E57"/>
    <w:rsid w:val="00EA2286"/>
    <w:rsid w:val="00EA23D0"/>
    <w:rsid w:val="00EA384F"/>
    <w:rsid w:val="00EA456D"/>
    <w:rsid w:val="00EA4658"/>
    <w:rsid w:val="00EA475C"/>
    <w:rsid w:val="00EA5117"/>
    <w:rsid w:val="00EA5EA4"/>
    <w:rsid w:val="00EA5EAB"/>
    <w:rsid w:val="00EA6948"/>
    <w:rsid w:val="00EA757F"/>
    <w:rsid w:val="00EB2965"/>
    <w:rsid w:val="00EB3106"/>
    <w:rsid w:val="00EB4124"/>
    <w:rsid w:val="00EB4798"/>
    <w:rsid w:val="00EB4AD8"/>
    <w:rsid w:val="00EB5009"/>
    <w:rsid w:val="00EB500F"/>
    <w:rsid w:val="00EB5B00"/>
    <w:rsid w:val="00EB65CF"/>
    <w:rsid w:val="00EB6887"/>
    <w:rsid w:val="00EB6C0B"/>
    <w:rsid w:val="00EB6D54"/>
    <w:rsid w:val="00EB7641"/>
    <w:rsid w:val="00EB7884"/>
    <w:rsid w:val="00EB7AFA"/>
    <w:rsid w:val="00EB7C0B"/>
    <w:rsid w:val="00EC03CD"/>
    <w:rsid w:val="00EC077D"/>
    <w:rsid w:val="00EC0784"/>
    <w:rsid w:val="00EC095A"/>
    <w:rsid w:val="00EC0BAE"/>
    <w:rsid w:val="00EC16A4"/>
    <w:rsid w:val="00EC2223"/>
    <w:rsid w:val="00EC2531"/>
    <w:rsid w:val="00EC4220"/>
    <w:rsid w:val="00EC4427"/>
    <w:rsid w:val="00EC5274"/>
    <w:rsid w:val="00EC5924"/>
    <w:rsid w:val="00EC6B9F"/>
    <w:rsid w:val="00EC6F42"/>
    <w:rsid w:val="00EC7955"/>
    <w:rsid w:val="00EC79ED"/>
    <w:rsid w:val="00ED02CE"/>
    <w:rsid w:val="00ED175D"/>
    <w:rsid w:val="00ED22AC"/>
    <w:rsid w:val="00ED22E2"/>
    <w:rsid w:val="00ED368E"/>
    <w:rsid w:val="00ED3D5E"/>
    <w:rsid w:val="00ED3F55"/>
    <w:rsid w:val="00ED4273"/>
    <w:rsid w:val="00ED4293"/>
    <w:rsid w:val="00ED4D17"/>
    <w:rsid w:val="00ED505F"/>
    <w:rsid w:val="00ED5AE4"/>
    <w:rsid w:val="00ED72C2"/>
    <w:rsid w:val="00ED78D0"/>
    <w:rsid w:val="00EE2817"/>
    <w:rsid w:val="00EE2CCB"/>
    <w:rsid w:val="00EE327A"/>
    <w:rsid w:val="00EE3862"/>
    <w:rsid w:val="00EE3C04"/>
    <w:rsid w:val="00EE4089"/>
    <w:rsid w:val="00EE4A0C"/>
    <w:rsid w:val="00EE5AAB"/>
    <w:rsid w:val="00EE6596"/>
    <w:rsid w:val="00EF214A"/>
    <w:rsid w:val="00EF2418"/>
    <w:rsid w:val="00EF390C"/>
    <w:rsid w:val="00EF713C"/>
    <w:rsid w:val="00F016AB"/>
    <w:rsid w:val="00F02AE7"/>
    <w:rsid w:val="00F051EA"/>
    <w:rsid w:val="00F058A2"/>
    <w:rsid w:val="00F05F23"/>
    <w:rsid w:val="00F05F7F"/>
    <w:rsid w:val="00F060AC"/>
    <w:rsid w:val="00F067BE"/>
    <w:rsid w:val="00F0680E"/>
    <w:rsid w:val="00F06BA9"/>
    <w:rsid w:val="00F103C6"/>
    <w:rsid w:val="00F108C4"/>
    <w:rsid w:val="00F11BCF"/>
    <w:rsid w:val="00F1252E"/>
    <w:rsid w:val="00F13478"/>
    <w:rsid w:val="00F144C6"/>
    <w:rsid w:val="00F14DCA"/>
    <w:rsid w:val="00F152EB"/>
    <w:rsid w:val="00F16677"/>
    <w:rsid w:val="00F175C8"/>
    <w:rsid w:val="00F20486"/>
    <w:rsid w:val="00F20EC8"/>
    <w:rsid w:val="00F214FA"/>
    <w:rsid w:val="00F21B57"/>
    <w:rsid w:val="00F224A1"/>
    <w:rsid w:val="00F22957"/>
    <w:rsid w:val="00F244D7"/>
    <w:rsid w:val="00F25742"/>
    <w:rsid w:val="00F27096"/>
    <w:rsid w:val="00F314C8"/>
    <w:rsid w:val="00F3175E"/>
    <w:rsid w:val="00F33D08"/>
    <w:rsid w:val="00F34154"/>
    <w:rsid w:val="00F342AD"/>
    <w:rsid w:val="00F345BD"/>
    <w:rsid w:val="00F3464D"/>
    <w:rsid w:val="00F35E4F"/>
    <w:rsid w:val="00F3725C"/>
    <w:rsid w:val="00F3798A"/>
    <w:rsid w:val="00F37FA5"/>
    <w:rsid w:val="00F40B18"/>
    <w:rsid w:val="00F41729"/>
    <w:rsid w:val="00F4228E"/>
    <w:rsid w:val="00F43972"/>
    <w:rsid w:val="00F442DE"/>
    <w:rsid w:val="00F45A8A"/>
    <w:rsid w:val="00F45CF7"/>
    <w:rsid w:val="00F45D3F"/>
    <w:rsid w:val="00F4640E"/>
    <w:rsid w:val="00F47B86"/>
    <w:rsid w:val="00F47F65"/>
    <w:rsid w:val="00F5092C"/>
    <w:rsid w:val="00F522FF"/>
    <w:rsid w:val="00F53979"/>
    <w:rsid w:val="00F53B05"/>
    <w:rsid w:val="00F54F83"/>
    <w:rsid w:val="00F55440"/>
    <w:rsid w:val="00F55BA6"/>
    <w:rsid w:val="00F60BC5"/>
    <w:rsid w:val="00F64082"/>
    <w:rsid w:val="00F6483E"/>
    <w:rsid w:val="00F64CBA"/>
    <w:rsid w:val="00F66811"/>
    <w:rsid w:val="00F67632"/>
    <w:rsid w:val="00F71707"/>
    <w:rsid w:val="00F73881"/>
    <w:rsid w:val="00F744DE"/>
    <w:rsid w:val="00F74DE2"/>
    <w:rsid w:val="00F75014"/>
    <w:rsid w:val="00F767E3"/>
    <w:rsid w:val="00F76DAC"/>
    <w:rsid w:val="00F77731"/>
    <w:rsid w:val="00F779DF"/>
    <w:rsid w:val="00F80B6D"/>
    <w:rsid w:val="00F80BA6"/>
    <w:rsid w:val="00F812A9"/>
    <w:rsid w:val="00F83D35"/>
    <w:rsid w:val="00F83E9B"/>
    <w:rsid w:val="00F84FF5"/>
    <w:rsid w:val="00F86B11"/>
    <w:rsid w:val="00F9084A"/>
    <w:rsid w:val="00F909E3"/>
    <w:rsid w:val="00F9167B"/>
    <w:rsid w:val="00F9231A"/>
    <w:rsid w:val="00F9276D"/>
    <w:rsid w:val="00F94403"/>
    <w:rsid w:val="00F953B7"/>
    <w:rsid w:val="00F953BC"/>
    <w:rsid w:val="00F958C4"/>
    <w:rsid w:val="00F97A63"/>
    <w:rsid w:val="00F97C15"/>
    <w:rsid w:val="00FA08DA"/>
    <w:rsid w:val="00FA0F8A"/>
    <w:rsid w:val="00FA0F91"/>
    <w:rsid w:val="00FA1142"/>
    <w:rsid w:val="00FA1BF1"/>
    <w:rsid w:val="00FA1F94"/>
    <w:rsid w:val="00FA2413"/>
    <w:rsid w:val="00FA2858"/>
    <w:rsid w:val="00FA2BC0"/>
    <w:rsid w:val="00FA4F30"/>
    <w:rsid w:val="00FA506C"/>
    <w:rsid w:val="00FA59EF"/>
    <w:rsid w:val="00FA5AD7"/>
    <w:rsid w:val="00FA6019"/>
    <w:rsid w:val="00FA6933"/>
    <w:rsid w:val="00FA6C23"/>
    <w:rsid w:val="00FB0F4A"/>
    <w:rsid w:val="00FB16F3"/>
    <w:rsid w:val="00FB1810"/>
    <w:rsid w:val="00FB2ADE"/>
    <w:rsid w:val="00FB487C"/>
    <w:rsid w:val="00FB5D91"/>
    <w:rsid w:val="00FC0126"/>
    <w:rsid w:val="00FC06C0"/>
    <w:rsid w:val="00FC2A90"/>
    <w:rsid w:val="00FC4D85"/>
    <w:rsid w:val="00FC52D1"/>
    <w:rsid w:val="00FC569C"/>
    <w:rsid w:val="00FC642F"/>
    <w:rsid w:val="00FC6FF6"/>
    <w:rsid w:val="00FD116A"/>
    <w:rsid w:val="00FD43F9"/>
    <w:rsid w:val="00FD45B6"/>
    <w:rsid w:val="00FD54FF"/>
    <w:rsid w:val="00FD6DCD"/>
    <w:rsid w:val="00FD77A7"/>
    <w:rsid w:val="00FE1140"/>
    <w:rsid w:val="00FE12B9"/>
    <w:rsid w:val="00FE1AF1"/>
    <w:rsid w:val="00FE2963"/>
    <w:rsid w:val="00FE3BB7"/>
    <w:rsid w:val="00FE515C"/>
    <w:rsid w:val="00FE57B7"/>
    <w:rsid w:val="00FE57DD"/>
    <w:rsid w:val="00FE6240"/>
    <w:rsid w:val="00FE7897"/>
    <w:rsid w:val="00FE7EE8"/>
    <w:rsid w:val="00FE7F0C"/>
    <w:rsid w:val="00FF558E"/>
    <w:rsid w:val="00FF6A5A"/>
    <w:rsid w:val="00FF6B2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82B02"/>
  <w15:docId w15:val="{5436FAC0-4346-4CFE-918E-CC5292A2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33DC"/>
    <w:pPr>
      <w:keepNext/>
      <w:keepLines/>
      <w:spacing w:before="100" w:beforeAutospacing="1" w:after="100" w:afterAutospacing="1" w:line="240" w:lineRule="auto"/>
      <w:jc w:val="center"/>
      <w:outlineLvl w:val="0"/>
    </w:pPr>
    <w:rPr>
      <w:rFonts w:ascii="Arial" w:eastAsiaTheme="majorEastAsia" w:hAnsi="Arial" w:cstheme="majorBidi"/>
      <w:b/>
      <w:bCs/>
      <w:sz w:val="28"/>
      <w:szCs w:val="32"/>
    </w:rPr>
  </w:style>
  <w:style w:type="paragraph" w:styleId="Ttulo2">
    <w:name w:val="heading 2"/>
    <w:basedOn w:val="Normal"/>
    <w:next w:val="Normal"/>
    <w:link w:val="Ttulo2Car"/>
    <w:uiPriority w:val="9"/>
    <w:unhideWhenUsed/>
    <w:qFormat/>
    <w:rsid w:val="00867581"/>
    <w:pPr>
      <w:keepNext/>
      <w:keepLines/>
      <w:spacing w:before="100" w:beforeAutospacing="1" w:after="100" w:afterAutospacing="1" w:line="360" w:lineRule="auto"/>
      <w:jc w:val="both"/>
      <w:outlineLvl w:val="1"/>
    </w:pPr>
    <w:rPr>
      <w:rFonts w:ascii="Arial" w:eastAsiaTheme="majorEastAsia" w:hAnsi="Arial" w:cstheme="majorBidi"/>
      <w:b/>
      <w:bCs/>
      <w:sz w:val="28"/>
      <w:szCs w:val="26"/>
    </w:rPr>
  </w:style>
  <w:style w:type="paragraph" w:styleId="Ttulo3">
    <w:name w:val="heading 3"/>
    <w:basedOn w:val="Normal"/>
    <w:next w:val="Normal"/>
    <w:link w:val="Ttulo3Car"/>
    <w:uiPriority w:val="9"/>
    <w:unhideWhenUsed/>
    <w:qFormat/>
    <w:rsid w:val="00E01C3A"/>
    <w:pPr>
      <w:keepNext/>
      <w:keepLines/>
      <w:spacing w:before="100" w:beforeAutospacing="1" w:after="100" w:afterAutospacing="1" w:line="360" w:lineRule="auto"/>
      <w:jc w:val="both"/>
      <w:outlineLvl w:val="2"/>
    </w:pPr>
    <w:rPr>
      <w:rFonts w:ascii="Arial" w:eastAsiaTheme="majorEastAsia" w:hAnsi="Arial" w:cstheme="majorBidi"/>
      <w:b/>
      <w:bCs/>
      <w:sz w:val="28"/>
    </w:rPr>
  </w:style>
  <w:style w:type="paragraph" w:styleId="Ttulo4">
    <w:name w:val="heading 4"/>
    <w:basedOn w:val="Normal"/>
    <w:next w:val="Normal"/>
    <w:link w:val="Ttulo4Car"/>
    <w:uiPriority w:val="9"/>
    <w:unhideWhenUsed/>
    <w:qFormat/>
    <w:rsid w:val="00BE7A34"/>
    <w:pPr>
      <w:keepNext/>
      <w:keepLines/>
      <w:spacing w:before="100" w:beforeAutospacing="1" w:after="100" w:afterAutospacing="1" w:line="360" w:lineRule="auto"/>
      <w:ind w:left="567"/>
      <w:jc w:val="both"/>
      <w:outlineLvl w:val="3"/>
    </w:pPr>
    <w:rPr>
      <w:rFonts w:ascii="Arial" w:eastAsiaTheme="majorEastAsia" w:hAnsi="Arial" w:cstheme="majorBidi"/>
      <w:b/>
      <w:bCs/>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F0EE3"/>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4F0EE3"/>
    <w:rPr>
      <w:rFonts w:ascii="Times New Roman" w:eastAsia="Times New Roman" w:hAnsi="Times New Roman" w:cs="Times New Roman"/>
      <w:sz w:val="24"/>
      <w:szCs w:val="24"/>
      <w:lang w:eastAsia="es-ES"/>
    </w:rPr>
  </w:style>
  <w:style w:type="paragraph" w:styleId="Piedepgina">
    <w:name w:val="footer"/>
    <w:basedOn w:val="Normal"/>
    <w:link w:val="PiedepginaCar"/>
    <w:rsid w:val="004F0EE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4F0E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0EE3"/>
    <w:rPr>
      <w:rFonts w:cs="Times New Roman"/>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4F0EE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locked/>
    <w:rsid w:val="004F0EE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Ref"/>
    <w:link w:val="4GChar"/>
    <w:uiPriority w:val="99"/>
    <w:qFormat/>
    <w:rsid w:val="004F0EE3"/>
    <w:rPr>
      <w:vertAlign w:val="superscript"/>
    </w:rPr>
  </w:style>
  <w:style w:type="table" w:customStyle="1" w:styleId="Tablaconcuadrcula1">
    <w:name w:val="Tabla con cuadrícula1"/>
    <w:basedOn w:val="Tablanormal"/>
    <w:next w:val="Tablaconcuadrcula"/>
    <w:rsid w:val="004F0E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F0EE3"/>
    <w:pPr>
      <w:spacing w:after="0" w:line="240" w:lineRule="auto"/>
      <w:jc w:val="both"/>
    </w:pPr>
    <w:rPr>
      <w:vertAlign w:val="superscript"/>
    </w:rPr>
  </w:style>
  <w:style w:type="character" w:styleId="Hipervnculo">
    <w:name w:val="Hyperlink"/>
    <w:basedOn w:val="Fuentedeprrafopredeter"/>
    <w:uiPriority w:val="99"/>
    <w:unhideWhenUsed/>
    <w:rsid w:val="004F0EE3"/>
    <w:rPr>
      <w:color w:val="0563C1" w:themeColor="hyperlink"/>
      <w:u w:val="single"/>
    </w:rPr>
  </w:style>
  <w:style w:type="table" w:styleId="Tablaconcuadrcula">
    <w:name w:val="Table Grid"/>
    <w:basedOn w:val="Tablanormal"/>
    <w:uiPriority w:val="99"/>
    <w:rsid w:val="004F0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45BDB"/>
    <w:rPr>
      <w:color w:val="954F72" w:themeColor="followedHyperlink"/>
      <w:u w:val="single"/>
    </w:rPr>
  </w:style>
  <w:style w:type="paragraph" w:styleId="Textodeglobo">
    <w:name w:val="Balloon Text"/>
    <w:basedOn w:val="Normal"/>
    <w:link w:val="TextodegloboCar"/>
    <w:uiPriority w:val="99"/>
    <w:semiHidden/>
    <w:unhideWhenUsed/>
    <w:rsid w:val="00F10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8C4"/>
    <w:rPr>
      <w:rFonts w:ascii="Segoe UI" w:hAnsi="Segoe UI" w:cs="Segoe UI"/>
      <w:sz w:val="18"/>
      <w:szCs w:val="18"/>
    </w:rPr>
  </w:style>
  <w:style w:type="paragraph" w:styleId="Prrafodelista">
    <w:name w:val="List Paragraph"/>
    <w:aliases w:val="CNBV Parrafo1,Párrafo de lista1,Parrafo 1,Lista multicolor - Énfasis 11,Lista vistosa - Énfasis 11,Cuadrícula media 1 - Énfasis 21,List Paragraph-Thesis,Cita texto"/>
    <w:basedOn w:val="Normal"/>
    <w:link w:val="PrrafodelistaCar"/>
    <w:uiPriority w:val="34"/>
    <w:qFormat/>
    <w:rsid w:val="00A76E19"/>
    <w:pPr>
      <w:ind w:left="720"/>
      <w:contextualSpacing/>
    </w:pPr>
  </w:style>
  <w:style w:type="paragraph" w:styleId="Revisin">
    <w:name w:val="Revision"/>
    <w:hidden/>
    <w:uiPriority w:val="99"/>
    <w:semiHidden/>
    <w:rsid w:val="005B0BE7"/>
    <w:pPr>
      <w:spacing w:after="0" w:line="240" w:lineRule="auto"/>
    </w:p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a1,FA Fu?notente"/>
    <w:basedOn w:val="Normal"/>
    <w:link w:val="TextonotapieCar"/>
    <w:uiPriority w:val="99"/>
    <w:unhideWhenUsed/>
    <w:qFormat/>
    <w:rsid w:val="00027BA3"/>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027BA3"/>
    <w:rPr>
      <w:sz w:val="20"/>
      <w:szCs w:val="20"/>
    </w:rPr>
  </w:style>
  <w:style w:type="character" w:customStyle="1" w:styleId="Ttulo1Car">
    <w:name w:val="Título 1 Car"/>
    <w:basedOn w:val="Fuentedeprrafopredeter"/>
    <w:link w:val="Ttulo1"/>
    <w:uiPriority w:val="9"/>
    <w:rsid w:val="00CD33DC"/>
    <w:rPr>
      <w:rFonts w:ascii="Arial" w:eastAsiaTheme="majorEastAsia" w:hAnsi="Arial" w:cstheme="majorBidi"/>
      <w:b/>
      <w:bCs/>
      <w:sz w:val="28"/>
      <w:szCs w:val="32"/>
    </w:rPr>
  </w:style>
  <w:style w:type="paragraph" w:styleId="TtuloTDC">
    <w:name w:val="TOC Heading"/>
    <w:basedOn w:val="Ttulo1"/>
    <w:next w:val="Normal"/>
    <w:uiPriority w:val="39"/>
    <w:unhideWhenUsed/>
    <w:qFormat/>
    <w:rsid w:val="007D3FCB"/>
    <w:pPr>
      <w:spacing w:before="480" w:beforeAutospacing="0" w:after="0" w:afterAutospacing="0" w:line="276" w:lineRule="auto"/>
      <w:jc w:val="left"/>
      <w:outlineLvl w:val="9"/>
    </w:pPr>
    <w:rPr>
      <w:rFonts w:asciiTheme="majorHAnsi" w:hAnsiTheme="majorHAnsi"/>
      <w:color w:val="2F5496" w:themeColor="accent1" w:themeShade="BF"/>
      <w:szCs w:val="28"/>
      <w:lang w:eastAsia="es-ES"/>
    </w:rPr>
  </w:style>
  <w:style w:type="paragraph" w:styleId="TDC1">
    <w:name w:val="toc 1"/>
    <w:basedOn w:val="Normal"/>
    <w:next w:val="Normal"/>
    <w:autoRedefine/>
    <w:uiPriority w:val="39"/>
    <w:unhideWhenUsed/>
    <w:rsid w:val="00F05F23"/>
    <w:pPr>
      <w:tabs>
        <w:tab w:val="right" w:leader="dot" w:pos="7977"/>
      </w:tabs>
      <w:spacing w:after="0" w:line="240" w:lineRule="auto"/>
      <w:jc w:val="both"/>
    </w:pPr>
    <w:rPr>
      <w:rFonts w:ascii="Arial" w:hAnsi="Arial" w:cs="Arial"/>
      <w:noProof/>
      <w:sz w:val="24"/>
      <w:szCs w:val="24"/>
      <w:lang w:val="es-ES_tradnl"/>
    </w:rPr>
  </w:style>
  <w:style w:type="paragraph" w:styleId="TDC2">
    <w:name w:val="toc 2"/>
    <w:basedOn w:val="Normal"/>
    <w:next w:val="Normal"/>
    <w:autoRedefine/>
    <w:uiPriority w:val="39"/>
    <w:unhideWhenUsed/>
    <w:rsid w:val="007D3FCB"/>
    <w:pPr>
      <w:spacing w:after="0"/>
      <w:ind w:left="220"/>
    </w:pPr>
    <w:rPr>
      <w:b/>
    </w:rPr>
  </w:style>
  <w:style w:type="paragraph" w:styleId="TDC3">
    <w:name w:val="toc 3"/>
    <w:basedOn w:val="Normal"/>
    <w:next w:val="Normal"/>
    <w:autoRedefine/>
    <w:uiPriority w:val="39"/>
    <w:unhideWhenUsed/>
    <w:rsid w:val="007D3FCB"/>
    <w:pPr>
      <w:spacing w:after="0"/>
      <w:ind w:left="440"/>
    </w:pPr>
  </w:style>
  <w:style w:type="paragraph" w:styleId="TDC4">
    <w:name w:val="toc 4"/>
    <w:basedOn w:val="Normal"/>
    <w:next w:val="Normal"/>
    <w:autoRedefine/>
    <w:uiPriority w:val="39"/>
    <w:semiHidden/>
    <w:unhideWhenUsed/>
    <w:rsid w:val="007D3FCB"/>
    <w:pPr>
      <w:spacing w:after="0"/>
      <w:ind w:left="660"/>
    </w:pPr>
    <w:rPr>
      <w:sz w:val="20"/>
      <w:szCs w:val="20"/>
    </w:rPr>
  </w:style>
  <w:style w:type="paragraph" w:styleId="TDC5">
    <w:name w:val="toc 5"/>
    <w:basedOn w:val="Normal"/>
    <w:next w:val="Normal"/>
    <w:autoRedefine/>
    <w:uiPriority w:val="39"/>
    <w:semiHidden/>
    <w:unhideWhenUsed/>
    <w:rsid w:val="007D3FCB"/>
    <w:pPr>
      <w:spacing w:after="0"/>
      <w:ind w:left="880"/>
    </w:pPr>
    <w:rPr>
      <w:sz w:val="20"/>
      <w:szCs w:val="20"/>
    </w:rPr>
  </w:style>
  <w:style w:type="paragraph" w:styleId="TDC6">
    <w:name w:val="toc 6"/>
    <w:basedOn w:val="Normal"/>
    <w:next w:val="Normal"/>
    <w:autoRedefine/>
    <w:uiPriority w:val="39"/>
    <w:semiHidden/>
    <w:unhideWhenUsed/>
    <w:rsid w:val="007D3FCB"/>
    <w:pPr>
      <w:spacing w:after="0"/>
      <w:ind w:left="1100"/>
    </w:pPr>
    <w:rPr>
      <w:sz w:val="20"/>
      <w:szCs w:val="20"/>
    </w:rPr>
  </w:style>
  <w:style w:type="paragraph" w:styleId="TDC7">
    <w:name w:val="toc 7"/>
    <w:basedOn w:val="Normal"/>
    <w:next w:val="Normal"/>
    <w:autoRedefine/>
    <w:uiPriority w:val="39"/>
    <w:semiHidden/>
    <w:unhideWhenUsed/>
    <w:rsid w:val="007D3FCB"/>
    <w:pPr>
      <w:spacing w:after="0"/>
      <w:ind w:left="1320"/>
    </w:pPr>
    <w:rPr>
      <w:sz w:val="20"/>
      <w:szCs w:val="20"/>
    </w:rPr>
  </w:style>
  <w:style w:type="paragraph" w:styleId="TDC8">
    <w:name w:val="toc 8"/>
    <w:basedOn w:val="Normal"/>
    <w:next w:val="Normal"/>
    <w:autoRedefine/>
    <w:uiPriority w:val="39"/>
    <w:semiHidden/>
    <w:unhideWhenUsed/>
    <w:rsid w:val="007D3FCB"/>
    <w:pPr>
      <w:spacing w:after="0"/>
      <w:ind w:left="1540"/>
    </w:pPr>
    <w:rPr>
      <w:sz w:val="20"/>
      <w:szCs w:val="20"/>
    </w:rPr>
  </w:style>
  <w:style w:type="paragraph" w:styleId="TDC9">
    <w:name w:val="toc 9"/>
    <w:basedOn w:val="Normal"/>
    <w:next w:val="Normal"/>
    <w:autoRedefine/>
    <w:uiPriority w:val="39"/>
    <w:semiHidden/>
    <w:unhideWhenUsed/>
    <w:rsid w:val="007D3FCB"/>
    <w:pPr>
      <w:spacing w:after="0"/>
      <w:ind w:left="1760"/>
    </w:pPr>
    <w:rPr>
      <w:sz w:val="20"/>
      <w:szCs w:val="20"/>
    </w:rPr>
  </w:style>
  <w:style w:type="character" w:customStyle="1" w:styleId="Ttulo2Car">
    <w:name w:val="Título 2 Car"/>
    <w:basedOn w:val="Fuentedeprrafopredeter"/>
    <w:link w:val="Ttulo2"/>
    <w:uiPriority w:val="9"/>
    <w:rsid w:val="00867581"/>
    <w:rPr>
      <w:rFonts w:ascii="Arial" w:eastAsiaTheme="majorEastAsia" w:hAnsi="Arial" w:cstheme="majorBidi"/>
      <w:b/>
      <w:bCs/>
      <w:sz w:val="28"/>
      <w:szCs w:val="26"/>
    </w:rPr>
  </w:style>
  <w:style w:type="character" w:styleId="Refdecomentario">
    <w:name w:val="annotation reference"/>
    <w:basedOn w:val="Fuentedeprrafopredeter"/>
    <w:uiPriority w:val="99"/>
    <w:semiHidden/>
    <w:unhideWhenUsed/>
    <w:rsid w:val="0069173B"/>
    <w:rPr>
      <w:sz w:val="18"/>
      <w:szCs w:val="18"/>
    </w:rPr>
  </w:style>
  <w:style w:type="paragraph" w:styleId="Textocomentario">
    <w:name w:val="annotation text"/>
    <w:basedOn w:val="Normal"/>
    <w:link w:val="TextocomentarioCar"/>
    <w:uiPriority w:val="99"/>
    <w:semiHidden/>
    <w:unhideWhenUsed/>
    <w:rsid w:val="0069173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9173B"/>
    <w:rPr>
      <w:sz w:val="24"/>
      <w:szCs w:val="24"/>
    </w:rPr>
  </w:style>
  <w:style w:type="paragraph" w:styleId="Asuntodelcomentario">
    <w:name w:val="annotation subject"/>
    <w:basedOn w:val="Textocomentario"/>
    <w:next w:val="Textocomentario"/>
    <w:link w:val="AsuntodelcomentarioCar"/>
    <w:uiPriority w:val="99"/>
    <w:semiHidden/>
    <w:unhideWhenUsed/>
    <w:rsid w:val="0069173B"/>
    <w:rPr>
      <w:b/>
      <w:bCs/>
      <w:sz w:val="20"/>
      <w:szCs w:val="20"/>
    </w:rPr>
  </w:style>
  <w:style w:type="character" w:customStyle="1" w:styleId="AsuntodelcomentarioCar">
    <w:name w:val="Asunto del comentario Car"/>
    <w:basedOn w:val="TextocomentarioCar"/>
    <w:link w:val="Asuntodelcomentario"/>
    <w:uiPriority w:val="99"/>
    <w:semiHidden/>
    <w:rsid w:val="0069173B"/>
    <w:rPr>
      <w:b/>
      <w:bCs/>
      <w:sz w:val="20"/>
      <w:szCs w:val="20"/>
    </w:rPr>
  </w:style>
  <w:style w:type="character" w:customStyle="1" w:styleId="Mencinsinresolver1">
    <w:name w:val="Mención sin resolver1"/>
    <w:basedOn w:val="Fuentedeprrafopredeter"/>
    <w:uiPriority w:val="99"/>
    <w:semiHidden/>
    <w:unhideWhenUsed/>
    <w:rsid w:val="00E76706"/>
    <w:rPr>
      <w:color w:val="808080"/>
      <w:shd w:val="clear" w:color="auto" w:fill="E6E6E6"/>
    </w:rPr>
  </w:style>
  <w:style w:type="character" w:customStyle="1" w:styleId="Ttulo3Car">
    <w:name w:val="Título 3 Car"/>
    <w:basedOn w:val="Fuentedeprrafopredeter"/>
    <w:link w:val="Ttulo3"/>
    <w:uiPriority w:val="9"/>
    <w:rsid w:val="00E01C3A"/>
    <w:rPr>
      <w:rFonts w:ascii="Arial" w:eastAsiaTheme="majorEastAsia" w:hAnsi="Arial" w:cstheme="majorBidi"/>
      <w:b/>
      <w:bCs/>
      <w:sz w:val="28"/>
    </w:rPr>
  </w:style>
  <w:style w:type="character" w:customStyle="1" w:styleId="Ttulo4Car">
    <w:name w:val="Título 4 Car"/>
    <w:basedOn w:val="Fuentedeprrafopredeter"/>
    <w:link w:val="Ttulo4"/>
    <w:uiPriority w:val="9"/>
    <w:rsid w:val="00BE7A34"/>
    <w:rPr>
      <w:rFonts w:ascii="Arial" w:eastAsiaTheme="majorEastAsia" w:hAnsi="Arial" w:cstheme="majorBidi"/>
      <w:b/>
      <w:bCs/>
      <w:iCs/>
      <w:sz w:val="28"/>
    </w:rPr>
  </w:style>
  <w:style w:type="character" w:customStyle="1" w:styleId="PrrafodelistaCar">
    <w:name w:val="Párrafo de lista Car"/>
    <w:aliases w:val="CNBV Parrafo1 Car,Párrafo de lista1 Car,Parrafo 1 Car,Lista multicolor - Énfasis 11 Car,Lista vistosa - Énfasis 11 Car,Cuadrícula media 1 - Énfasis 21 Car,List Paragraph-Thesis Car,Cita texto Car"/>
    <w:link w:val="Prrafodelista"/>
    <w:uiPriority w:val="34"/>
    <w:rsid w:val="00E114CF"/>
  </w:style>
  <w:style w:type="paragraph" w:styleId="Sinespaciado">
    <w:name w:val="No Spacing"/>
    <w:uiPriority w:val="1"/>
    <w:qFormat/>
    <w:rsid w:val="003D714D"/>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1303">
      <w:bodyDiv w:val="1"/>
      <w:marLeft w:val="0"/>
      <w:marRight w:val="0"/>
      <w:marTop w:val="0"/>
      <w:marBottom w:val="0"/>
      <w:divBdr>
        <w:top w:val="none" w:sz="0" w:space="0" w:color="auto"/>
        <w:left w:val="none" w:sz="0" w:space="0" w:color="auto"/>
        <w:bottom w:val="none" w:sz="0" w:space="0" w:color="auto"/>
        <w:right w:val="none" w:sz="0" w:space="0" w:color="auto"/>
      </w:divBdr>
    </w:div>
    <w:div w:id="49546282">
      <w:bodyDiv w:val="1"/>
      <w:marLeft w:val="0"/>
      <w:marRight w:val="0"/>
      <w:marTop w:val="0"/>
      <w:marBottom w:val="0"/>
      <w:divBdr>
        <w:top w:val="none" w:sz="0" w:space="0" w:color="auto"/>
        <w:left w:val="none" w:sz="0" w:space="0" w:color="auto"/>
        <w:bottom w:val="none" w:sz="0" w:space="0" w:color="auto"/>
        <w:right w:val="none" w:sz="0" w:space="0" w:color="auto"/>
      </w:divBdr>
    </w:div>
    <w:div w:id="114641049">
      <w:bodyDiv w:val="1"/>
      <w:marLeft w:val="0"/>
      <w:marRight w:val="0"/>
      <w:marTop w:val="0"/>
      <w:marBottom w:val="0"/>
      <w:divBdr>
        <w:top w:val="none" w:sz="0" w:space="0" w:color="auto"/>
        <w:left w:val="none" w:sz="0" w:space="0" w:color="auto"/>
        <w:bottom w:val="none" w:sz="0" w:space="0" w:color="auto"/>
        <w:right w:val="none" w:sz="0" w:space="0" w:color="auto"/>
      </w:divBdr>
    </w:div>
    <w:div w:id="220334689">
      <w:bodyDiv w:val="1"/>
      <w:marLeft w:val="0"/>
      <w:marRight w:val="0"/>
      <w:marTop w:val="0"/>
      <w:marBottom w:val="0"/>
      <w:divBdr>
        <w:top w:val="none" w:sz="0" w:space="0" w:color="auto"/>
        <w:left w:val="none" w:sz="0" w:space="0" w:color="auto"/>
        <w:bottom w:val="none" w:sz="0" w:space="0" w:color="auto"/>
        <w:right w:val="none" w:sz="0" w:space="0" w:color="auto"/>
      </w:divBdr>
    </w:div>
    <w:div w:id="223492891">
      <w:bodyDiv w:val="1"/>
      <w:marLeft w:val="0"/>
      <w:marRight w:val="0"/>
      <w:marTop w:val="0"/>
      <w:marBottom w:val="0"/>
      <w:divBdr>
        <w:top w:val="none" w:sz="0" w:space="0" w:color="auto"/>
        <w:left w:val="none" w:sz="0" w:space="0" w:color="auto"/>
        <w:bottom w:val="none" w:sz="0" w:space="0" w:color="auto"/>
        <w:right w:val="none" w:sz="0" w:space="0" w:color="auto"/>
      </w:divBdr>
    </w:div>
    <w:div w:id="259729012">
      <w:bodyDiv w:val="1"/>
      <w:marLeft w:val="0"/>
      <w:marRight w:val="0"/>
      <w:marTop w:val="0"/>
      <w:marBottom w:val="0"/>
      <w:divBdr>
        <w:top w:val="none" w:sz="0" w:space="0" w:color="auto"/>
        <w:left w:val="none" w:sz="0" w:space="0" w:color="auto"/>
        <w:bottom w:val="none" w:sz="0" w:space="0" w:color="auto"/>
        <w:right w:val="none" w:sz="0" w:space="0" w:color="auto"/>
      </w:divBdr>
    </w:div>
    <w:div w:id="274484828">
      <w:bodyDiv w:val="1"/>
      <w:marLeft w:val="0"/>
      <w:marRight w:val="0"/>
      <w:marTop w:val="0"/>
      <w:marBottom w:val="0"/>
      <w:divBdr>
        <w:top w:val="none" w:sz="0" w:space="0" w:color="auto"/>
        <w:left w:val="none" w:sz="0" w:space="0" w:color="auto"/>
        <w:bottom w:val="none" w:sz="0" w:space="0" w:color="auto"/>
        <w:right w:val="none" w:sz="0" w:space="0" w:color="auto"/>
      </w:divBdr>
    </w:div>
    <w:div w:id="312297323">
      <w:bodyDiv w:val="1"/>
      <w:marLeft w:val="0"/>
      <w:marRight w:val="0"/>
      <w:marTop w:val="0"/>
      <w:marBottom w:val="0"/>
      <w:divBdr>
        <w:top w:val="none" w:sz="0" w:space="0" w:color="auto"/>
        <w:left w:val="none" w:sz="0" w:space="0" w:color="auto"/>
        <w:bottom w:val="none" w:sz="0" w:space="0" w:color="auto"/>
        <w:right w:val="none" w:sz="0" w:space="0" w:color="auto"/>
      </w:divBdr>
    </w:div>
    <w:div w:id="315230467">
      <w:bodyDiv w:val="1"/>
      <w:marLeft w:val="0"/>
      <w:marRight w:val="0"/>
      <w:marTop w:val="0"/>
      <w:marBottom w:val="0"/>
      <w:divBdr>
        <w:top w:val="none" w:sz="0" w:space="0" w:color="auto"/>
        <w:left w:val="none" w:sz="0" w:space="0" w:color="auto"/>
        <w:bottom w:val="none" w:sz="0" w:space="0" w:color="auto"/>
        <w:right w:val="none" w:sz="0" w:space="0" w:color="auto"/>
      </w:divBdr>
    </w:div>
    <w:div w:id="327710281">
      <w:bodyDiv w:val="1"/>
      <w:marLeft w:val="0"/>
      <w:marRight w:val="0"/>
      <w:marTop w:val="0"/>
      <w:marBottom w:val="0"/>
      <w:divBdr>
        <w:top w:val="none" w:sz="0" w:space="0" w:color="auto"/>
        <w:left w:val="none" w:sz="0" w:space="0" w:color="auto"/>
        <w:bottom w:val="none" w:sz="0" w:space="0" w:color="auto"/>
        <w:right w:val="none" w:sz="0" w:space="0" w:color="auto"/>
      </w:divBdr>
    </w:div>
    <w:div w:id="338969048">
      <w:bodyDiv w:val="1"/>
      <w:marLeft w:val="0"/>
      <w:marRight w:val="0"/>
      <w:marTop w:val="0"/>
      <w:marBottom w:val="0"/>
      <w:divBdr>
        <w:top w:val="none" w:sz="0" w:space="0" w:color="auto"/>
        <w:left w:val="none" w:sz="0" w:space="0" w:color="auto"/>
        <w:bottom w:val="none" w:sz="0" w:space="0" w:color="auto"/>
        <w:right w:val="none" w:sz="0" w:space="0" w:color="auto"/>
      </w:divBdr>
    </w:div>
    <w:div w:id="373508682">
      <w:bodyDiv w:val="1"/>
      <w:marLeft w:val="0"/>
      <w:marRight w:val="0"/>
      <w:marTop w:val="0"/>
      <w:marBottom w:val="0"/>
      <w:divBdr>
        <w:top w:val="none" w:sz="0" w:space="0" w:color="auto"/>
        <w:left w:val="none" w:sz="0" w:space="0" w:color="auto"/>
        <w:bottom w:val="none" w:sz="0" w:space="0" w:color="auto"/>
        <w:right w:val="none" w:sz="0" w:space="0" w:color="auto"/>
      </w:divBdr>
    </w:div>
    <w:div w:id="391274401">
      <w:bodyDiv w:val="1"/>
      <w:marLeft w:val="0"/>
      <w:marRight w:val="0"/>
      <w:marTop w:val="0"/>
      <w:marBottom w:val="0"/>
      <w:divBdr>
        <w:top w:val="none" w:sz="0" w:space="0" w:color="auto"/>
        <w:left w:val="none" w:sz="0" w:space="0" w:color="auto"/>
        <w:bottom w:val="none" w:sz="0" w:space="0" w:color="auto"/>
        <w:right w:val="none" w:sz="0" w:space="0" w:color="auto"/>
      </w:divBdr>
    </w:div>
    <w:div w:id="400181213">
      <w:bodyDiv w:val="1"/>
      <w:marLeft w:val="0"/>
      <w:marRight w:val="0"/>
      <w:marTop w:val="0"/>
      <w:marBottom w:val="0"/>
      <w:divBdr>
        <w:top w:val="none" w:sz="0" w:space="0" w:color="auto"/>
        <w:left w:val="none" w:sz="0" w:space="0" w:color="auto"/>
        <w:bottom w:val="none" w:sz="0" w:space="0" w:color="auto"/>
        <w:right w:val="none" w:sz="0" w:space="0" w:color="auto"/>
      </w:divBdr>
    </w:div>
    <w:div w:id="404189434">
      <w:bodyDiv w:val="1"/>
      <w:marLeft w:val="0"/>
      <w:marRight w:val="0"/>
      <w:marTop w:val="0"/>
      <w:marBottom w:val="0"/>
      <w:divBdr>
        <w:top w:val="none" w:sz="0" w:space="0" w:color="auto"/>
        <w:left w:val="none" w:sz="0" w:space="0" w:color="auto"/>
        <w:bottom w:val="none" w:sz="0" w:space="0" w:color="auto"/>
        <w:right w:val="none" w:sz="0" w:space="0" w:color="auto"/>
      </w:divBdr>
      <w:divsChild>
        <w:div w:id="78447940">
          <w:marLeft w:val="0"/>
          <w:marRight w:val="0"/>
          <w:marTop w:val="0"/>
          <w:marBottom w:val="0"/>
          <w:divBdr>
            <w:top w:val="none" w:sz="0" w:space="0" w:color="auto"/>
            <w:left w:val="none" w:sz="0" w:space="0" w:color="auto"/>
            <w:bottom w:val="none" w:sz="0" w:space="0" w:color="auto"/>
            <w:right w:val="none" w:sz="0" w:space="0" w:color="auto"/>
          </w:divBdr>
        </w:div>
      </w:divsChild>
    </w:div>
    <w:div w:id="440564324">
      <w:bodyDiv w:val="1"/>
      <w:marLeft w:val="0"/>
      <w:marRight w:val="0"/>
      <w:marTop w:val="0"/>
      <w:marBottom w:val="0"/>
      <w:divBdr>
        <w:top w:val="none" w:sz="0" w:space="0" w:color="auto"/>
        <w:left w:val="none" w:sz="0" w:space="0" w:color="auto"/>
        <w:bottom w:val="none" w:sz="0" w:space="0" w:color="auto"/>
        <w:right w:val="none" w:sz="0" w:space="0" w:color="auto"/>
      </w:divBdr>
    </w:div>
    <w:div w:id="445082154">
      <w:bodyDiv w:val="1"/>
      <w:marLeft w:val="0"/>
      <w:marRight w:val="0"/>
      <w:marTop w:val="0"/>
      <w:marBottom w:val="0"/>
      <w:divBdr>
        <w:top w:val="none" w:sz="0" w:space="0" w:color="auto"/>
        <w:left w:val="none" w:sz="0" w:space="0" w:color="auto"/>
        <w:bottom w:val="none" w:sz="0" w:space="0" w:color="auto"/>
        <w:right w:val="none" w:sz="0" w:space="0" w:color="auto"/>
      </w:divBdr>
    </w:div>
    <w:div w:id="489639417">
      <w:bodyDiv w:val="1"/>
      <w:marLeft w:val="0"/>
      <w:marRight w:val="0"/>
      <w:marTop w:val="0"/>
      <w:marBottom w:val="0"/>
      <w:divBdr>
        <w:top w:val="none" w:sz="0" w:space="0" w:color="auto"/>
        <w:left w:val="none" w:sz="0" w:space="0" w:color="auto"/>
        <w:bottom w:val="none" w:sz="0" w:space="0" w:color="auto"/>
        <w:right w:val="none" w:sz="0" w:space="0" w:color="auto"/>
      </w:divBdr>
    </w:div>
    <w:div w:id="499543487">
      <w:bodyDiv w:val="1"/>
      <w:marLeft w:val="0"/>
      <w:marRight w:val="0"/>
      <w:marTop w:val="0"/>
      <w:marBottom w:val="0"/>
      <w:divBdr>
        <w:top w:val="none" w:sz="0" w:space="0" w:color="auto"/>
        <w:left w:val="none" w:sz="0" w:space="0" w:color="auto"/>
        <w:bottom w:val="none" w:sz="0" w:space="0" w:color="auto"/>
        <w:right w:val="none" w:sz="0" w:space="0" w:color="auto"/>
      </w:divBdr>
    </w:div>
    <w:div w:id="507059448">
      <w:bodyDiv w:val="1"/>
      <w:marLeft w:val="0"/>
      <w:marRight w:val="0"/>
      <w:marTop w:val="0"/>
      <w:marBottom w:val="0"/>
      <w:divBdr>
        <w:top w:val="none" w:sz="0" w:space="0" w:color="auto"/>
        <w:left w:val="none" w:sz="0" w:space="0" w:color="auto"/>
        <w:bottom w:val="none" w:sz="0" w:space="0" w:color="auto"/>
        <w:right w:val="none" w:sz="0" w:space="0" w:color="auto"/>
      </w:divBdr>
    </w:div>
    <w:div w:id="511115525">
      <w:bodyDiv w:val="1"/>
      <w:marLeft w:val="0"/>
      <w:marRight w:val="0"/>
      <w:marTop w:val="0"/>
      <w:marBottom w:val="0"/>
      <w:divBdr>
        <w:top w:val="none" w:sz="0" w:space="0" w:color="auto"/>
        <w:left w:val="none" w:sz="0" w:space="0" w:color="auto"/>
        <w:bottom w:val="none" w:sz="0" w:space="0" w:color="auto"/>
        <w:right w:val="none" w:sz="0" w:space="0" w:color="auto"/>
      </w:divBdr>
    </w:div>
    <w:div w:id="611058787">
      <w:bodyDiv w:val="1"/>
      <w:marLeft w:val="0"/>
      <w:marRight w:val="0"/>
      <w:marTop w:val="0"/>
      <w:marBottom w:val="0"/>
      <w:divBdr>
        <w:top w:val="none" w:sz="0" w:space="0" w:color="auto"/>
        <w:left w:val="none" w:sz="0" w:space="0" w:color="auto"/>
        <w:bottom w:val="none" w:sz="0" w:space="0" w:color="auto"/>
        <w:right w:val="none" w:sz="0" w:space="0" w:color="auto"/>
      </w:divBdr>
    </w:div>
    <w:div w:id="650713943">
      <w:bodyDiv w:val="1"/>
      <w:marLeft w:val="0"/>
      <w:marRight w:val="0"/>
      <w:marTop w:val="0"/>
      <w:marBottom w:val="0"/>
      <w:divBdr>
        <w:top w:val="none" w:sz="0" w:space="0" w:color="auto"/>
        <w:left w:val="none" w:sz="0" w:space="0" w:color="auto"/>
        <w:bottom w:val="none" w:sz="0" w:space="0" w:color="auto"/>
        <w:right w:val="none" w:sz="0" w:space="0" w:color="auto"/>
      </w:divBdr>
    </w:div>
    <w:div w:id="683291775">
      <w:bodyDiv w:val="1"/>
      <w:marLeft w:val="0"/>
      <w:marRight w:val="0"/>
      <w:marTop w:val="0"/>
      <w:marBottom w:val="0"/>
      <w:divBdr>
        <w:top w:val="none" w:sz="0" w:space="0" w:color="auto"/>
        <w:left w:val="none" w:sz="0" w:space="0" w:color="auto"/>
        <w:bottom w:val="none" w:sz="0" w:space="0" w:color="auto"/>
        <w:right w:val="none" w:sz="0" w:space="0" w:color="auto"/>
      </w:divBdr>
    </w:div>
    <w:div w:id="687176735">
      <w:bodyDiv w:val="1"/>
      <w:marLeft w:val="0"/>
      <w:marRight w:val="0"/>
      <w:marTop w:val="0"/>
      <w:marBottom w:val="0"/>
      <w:divBdr>
        <w:top w:val="none" w:sz="0" w:space="0" w:color="auto"/>
        <w:left w:val="none" w:sz="0" w:space="0" w:color="auto"/>
        <w:bottom w:val="none" w:sz="0" w:space="0" w:color="auto"/>
        <w:right w:val="none" w:sz="0" w:space="0" w:color="auto"/>
      </w:divBdr>
    </w:div>
    <w:div w:id="714161972">
      <w:bodyDiv w:val="1"/>
      <w:marLeft w:val="0"/>
      <w:marRight w:val="0"/>
      <w:marTop w:val="0"/>
      <w:marBottom w:val="0"/>
      <w:divBdr>
        <w:top w:val="none" w:sz="0" w:space="0" w:color="auto"/>
        <w:left w:val="none" w:sz="0" w:space="0" w:color="auto"/>
        <w:bottom w:val="none" w:sz="0" w:space="0" w:color="auto"/>
        <w:right w:val="none" w:sz="0" w:space="0" w:color="auto"/>
      </w:divBdr>
    </w:div>
    <w:div w:id="889683142">
      <w:bodyDiv w:val="1"/>
      <w:marLeft w:val="0"/>
      <w:marRight w:val="0"/>
      <w:marTop w:val="0"/>
      <w:marBottom w:val="0"/>
      <w:divBdr>
        <w:top w:val="none" w:sz="0" w:space="0" w:color="auto"/>
        <w:left w:val="none" w:sz="0" w:space="0" w:color="auto"/>
        <w:bottom w:val="none" w:sz="0" w:space="0" w:color="auto"/>
        <w:right w:val="none" w:sz="0" w:space="0" w:color="auto"/>
      </w:divBdr>
    </w:div>
    <w:div w:id="1211454761">
      <w:bodyDiv w:val="1"/>
      <w:marLeft w:val="0"/>
      <w:marRight w:val="0"/>
      <w:marTop w:val="0"/>
      <w:marBottom w:val="0"/>
      <w:divBdr>
        <w:top w:val="none" w:sz="0" w:space="0" w:color="auto"/>
        <w:left w:val="none" w:sz="0" w:space="0" w:color="auto"/>
        <w:bottom w:val="none" w:sz="0" w:space="0" w:color="auto"/>
        <w:right w:val="none" w:sz="0" w:space="0" w:color="auto"/>
      </w:divBdr>
    </w:div>
    <w:div w:id="1213998678">
      <w:bodyDiv w:val="1"/>
      <w:marLeft w:val="0"/>
      <w:marRight w:val="0"/>
      <w:marTop w:val="0"/>
      <w:marBottom w:val="0"/>
      <w:divBdr>
        <w:top w:val="none" w:sz="0" w:space="0" w:color="auto"/>
        <w:left w:val="none" w:sz="0" w:space="0" w:color="auto"/>
        <w:bottom w:val="none" w:sz="0" w:space="0" w:color="auto"/>
        <w:right w:val="none" w:sz="0" w:space="0" w:color="auto"/>
      </w:divBdr>
    </w:div>
    <w:div w:id="1315063158">
      <w:bodyDiv w:val="1"/>
      <w:marLeft w:val="0"/>
      <w:marRight w:val="0"/>
      <w:marTop w:val="0"/>
      <w:marBottom w:val="0"/>
      <w:divBdr>
        <w:top w:val="none" w:sz="0" w:space="0" w:color="auto"/>
        <w:left w:val="none" w:sz="0" w:space="0" w:color="auto"/>
        <w:bottom w:val="none" w:sz="0" w:space="0" w:color="auto"/>
        <w:right w:val="none" w:sz="0" w:space="0" w:color="auto"/>
      </w:divBdr>
    </w:div>
    <w:div w:id="1325889273">
      <w:bodyDiv w:val="1"/>
      <w:marLeft w:val="0"/>
      <w:marRight w:val="0"/>
      <w:marTop w:val="0"/>
      <w:marBottom w:val="0"/>
      <w:divBdr>
        <w:top w:val="none" w:sz="0" w:space="0" w:color="auto"/>
        <w:left w:val="none" w:sz="0" w:space="0" w:color="auto"/>
        <w:bottom w:val="none" w:sz="0" w:space="0" w:color="auto"/>
        <w:right w:val="none" w:sz="0" w:space="0" w:color="auto"/>
      </w:divBdr>
    </w:div>
    <w:div w:id="1368218566">
      <w:bodyDiv w:val="1"/>
      <w:marLeft w:val="0"/>
      <w:marRight w:val="0"/>
      <w:marTop w:val="0"/>
      <w:marBottom w:val="0"/>
      <w:divBdr>
        <w:top w:val="none" w:sz="0" w:space="0" w:color="auto"/>
        <w:left w:val="none" w:sz="0" w:space="0" w:color="auto"/>
        <w:bottom w:val="none" w:sz="0" w:space="0" w:color="auto"/>
        <w:right w:val="none" w:sz="0" w:space="0" w:color="auto"/>
      </w:divBdr>
    </w:div>
    <w:div w:id="1380976080">
      <w:bodyDiv w:val="1"/>
      <w:marLeft w:val="0"/>
      <w:marRight w:val="0"/>
      <w:marTop w:val="0"/>
      <w:marBottom w:val="0"/>
      <w:divBdr>
        <w:top w:val="none" w:sz="0" w:space="0" w:color="auto"/>
        <w:left w:val="none" w:sz="0" w:space="0" w:color="auto"/>
        <w:bottom w:val="none" w:sz="0" w:space="0" w:color="auto"/>
        <w:right w:val="none" w:sz="0" w:space="0" w:color="auto"/>
      </w:divBdr>
    </w:div>
    <w:div w:id="1559317273">
      <w:bodyDiv w:val="1"/>
      <w:marLeft w:val="0"/>
      <w:marRight w:val="0"/>
      <w:marTop w:val="0"/>
      <w:marBottom w:val="0"/>
      <w:divBdr>
        <w:top w:val="none" w:sz="0" w:space="0" w:color="auto"/>
        <w:left w:val="none" w:sz="0" w:space="0" w:color="auto"/>
        <w:bottom w:val="none" w:sz="0" w:space="0" w:color="auto"/>
        <w:right w:val="none" w:sz="0" w:space="0" w:color="auto"/>
      </w:divBdr>
    </w:div>
    <w:div w:id="1569337873">
      <w:bodyDiv w:val="1"/>
      <w:marLeft w:val="0"/>
      <w:marRight w:val="0"/>
      <w:marTop w:val="0"/>
      <w:marBottom w:val="0"/>
      <w:divBdr>
        <w:top w:val="none" w:sz="0" w:space="0" w:color="auto"/>
        <w:left w:val="none" w:sz="0" w:space="0" w:color="auto"/>
        <w:bottom w:val="none" w:sz="0" w:space="0" w:color="auto"/>
        <w:right w:val="none" w:sz="0" w:space="0" w:color="auto"/>
      </w:divBdr>
    </w:div>
    <w:div w:id="1608270008">
      <w:bodyDiv w:val="1"/>
      <w:marLeft w:val="0"/>
      <w:marRight w:val="0"/>
      <w:marTop w:val="0"/>
      <w:marBottom w:val="0"/>
      <w:divBdr>
        <w:top w:val="none" w:sz="0" w:space="0" w:color="auto"/>
        <w:left w:val="none" w:sz="0" w:space="0" w:color="auto"/>
        <w:bottom w:val="none" w:sz="0" w:space="0" w:color="auto"/>
        <w:right w:val="none" w:sz="0" w:space="0" w:color="auto"/>
      </w:divBdr>
    </w:div>
    <w:div w:id="1700162516">
      <w:bodyDiv w:val="1"/>
      <w:marLeft w:val="0"/>
      <w:marRight w:val="0"/>
      <w:marTop w:val="0"/>
      <w:marBottom w:val="0"/>
      <w:divBdr>
        <w:top w:val="none" w:sz="0" w:space="0" w:color="auto"/>
        <w:left w:val="none" w:sz="0" w:space="0" w:color="auto"/>
        <w:bottom w:val="none" w:sz="0" w:space="0" w:color="auto"/>
        <w:right w:val="none" w:sz="0" w:space="0" w:color="auto"/>
      </w:divBdr>
    </w:div>
    <w:div w:id="1712070950">
      <w:bodyDiv w:val="1"/>
      <w:marLeft w:val="0"/>
      <w:marRight w:val="0"/>
      <w:marTop w:val="0"/>
      <w:marBottom w:val="0"/>
      <w:divBdr>
        <w:top w:val="none" w:sz="0" w:space="0" w:color="auto"/>
        <w:left w:val="none" w:sz="0" w:space="0" w:color="auto"/>
        <w:bottom w:val="none" w:sz="0" w:space="0" w:color="auto"/>
        <w:right w:val="none" w:sz="0" w:space="0" w:color="auto"/>
      </w:divBdr>
    </w:div>
    <w:div w:id="1763918535">
      <w:bodyDiv w:val="1"/>
      <w:marLeft w:val="0"/>
      <w:marRight w:val="0"/>
      <w:marTop w:val="0"/>
      <w:marBottom w:val="0"/>
      <w:divBdr>
        <w:top w:val="none" w:sz="0" w:space="0" w:color="auto"/>
        <w:left w:val="none" w:sz="0" w:space="0" w:color="auto"/>
        <w:bottom w:val="none" w:sz="0" w:space="0" w:color="auto"/>
        <w:right w:val="none" w:sz="0" w:space="0" w:color="auto"/>
      </w:divBdr>
    </w:div>
    <w:div w:id="1777404740">
      <w:bodyDiv w:val="1"/>
      <w:marLeft w:val="0"/>
      <w:marRight w:val="0"/>
      <w:marTop w:val="0"/>
      <w:marBottom w:val="0"/>
      <w:divBdr>
        <w:top w:val="none" w:sz="0" w:space="0" w:color="auto"/>
        <w:left w:val="none" w:sz="0" w:space="0" w:color="auto"/>
        <w:bottom w:val="none" w:sz="0" w:space="0" w:color="auto"/>
        <w:right w:val="none" w:sz="0" w:space="0" w:color="auto"/>
      </w:divBdr>
    </w:div>
    <w:div w:id="1840079328">
      <w:bodyDiv w:val="1"/>
      <w:marLeft w:val="0"/>
      <w:marRight w:val="0"/>
      <w:marTop w:val="0"/>
      <w:marBottom w:val="0"/>
      <w:divBdr>
        <w:top w:val="none" w:sz="0" w:space="0" w:color="auto"/>
        <w:left w:val="none" w:sz="0" w:space="0" w:color="auto"/>
        <w:bottom w:val="none" w:sz="0" w:space="0" w:color="auto"/>
        <w:right w:val="none" w:sz="0" w:space="0" w:color="auto"/>
      </w:divBdr>
    </w:div>
    <w:div w:id="1957369020">
      <w:bodyDiv w:val="1"/>
      <w:marLeft w:val="0"/>
      <w:marRight w:val="0"/>
      <w:marTop w:val="0"/>
      <w:marBottom w:val="0"/>
      <w:divBdr>
        <w:top w:val="none" w:sz="0" w:space="0" w:color="auto"/>
        <w:left w:val="none" w:sz="0" w:space="0" w:color="auto"/>
        <w:bottom w:val="none" w:sz="0" w:space="0" w:color="auto"/>
        <w:right w:val="none" w:sz="0" w:space="0" w:color="auto"/>
      </w:divBdr>
    </w:div>
    <w:div w:id="1999576386">
      <w:bodyDiv w:val="1"/>
      <w:marLeft w:val="0"/>
      <w:marRight w:val="0"/>
      <w:marTop w:val="0"/>
      <w:marBottom w:val="0"/>
      <w:divBdr>
        <w:top w:val="none" w:sz="0" w:space="0" w:color="auto"/>
        <w:left w:val="none" w:sz="0" w:space="0" w:color="auto"/>
        <w:bottom w:val="none" w:sz="0" w:space="0" w:color="auto"/>
        <w:right w:val="none" w:sz="0" w:space="0" w:color="auto"/>
      </w:divBdr>
    </w:div>
    <w:div w:id="2044744551">
      <w:bodyDiv w:val="1"/>
      <w:marLeft w:val="0"/>
      <w:marRight w:val="0"/>
      <w:marTop w:val="0"/>
      <w:marBottom w:val="0"/>
      <w:divBdr>
        <w:top w:val="none" w:sz="0" w:space="0" w:color="auto"/>
        <w:left w:val="none" w:sz="0" w:space="0" w:color="auto"/>
        <w:bottom w:val="none" w:sz="0" w:space="0" w:color="auto"/>
        <w:right w:val="none" w:sz="0" w:space="0" w:color="auto"/>
      </w:divBdr>
    </w:div>
    <w:div w:id="2102022987">
      <w:bodyDiv w:val="1"/>
      <w:marLeft w:val="0"/>
      <w:marRight w:val="0"/>
      <w:marTop w:val="0"/>
      <w:marBottom w:val="0"/>
      <w:divBdr>
        <w:top w:val="none" w:sz="0" w:space="0" w:color="auto"/>
        <w:left w:val="none" w:sz="0" w:space="0" w:color="auto"/>
        <w:bottom w:val="none" w:sz="0" w:space="0" w:color="auto"/>
        <w:right w:val="none" w:sz="0" w:space="0" w:color="auto"/>
      </w:divBdr>
    </w:div>
    <w:div w:id="2108888275">
      <w:bodyDiv w:val="1"/>
      <w:marLeft w:val="0"/>
      <w:marRight w:val="0"/>
      <w:marTop w:val="0"/>
      <w:marBottom w:val="0"/>
      <w:divBdr>
        <w:top w:val="none" w:sz="0" w:space="0" w:color="auto"/>
        <w:left w:val="none" w:sz="0" w:space="0" w:color="auto"/>
        <w:bottom w:val="none" w:sz="0" w:space="0" w:color="auto"/>
        <w:right w:val="none" w:sz="0" w:space="0" w:color="auto"/>
      </w:divBdr>
    </w:div>
    <w:div w:id="2111781161">
      <w:bodyDiv w:val="1"/>
      <w:marLeft w:val="0"/>
      <w:marRight w:val="0"/>
      <w:marTop w:val="0"/>
      <w:marBottom w:val="0"/>
      <w:divBdr>
        <w:top w:val="none" w:sz="0" w:space="0" w:color="auto"/>
        <w:left w:val="none" w:sz="0" w:space="0" w:color="auto"/>
        <w:bottom w:val="none" w:sz="0" w:space="0" w:color="auto"/>
        <w:right w:val="none" w:sz="0" w:space="0" w:color="auto"/>
      </w:divBdr>
    </w:div>
    <w:div w:id="21447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8A64F-94D4-4F6E-A8ED-887D4DFE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34</Pages>
  <Words>5745</Words>
  <Characters>31602</Characters>
  <Application>Microsoft Office Word</Application>
  <DocSecurity>0</DocSecurity>
  <Lines>263</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Rodrigo Lara Martín</dc:creator>
  <cp:keywords/>
  <dc:description/>
  <cp:lastModifiedBy>Luis Ángel Hernández Ribbon</cp:lastModifiedBy>
  <cp:revision>24</cp:revision>
  <cp:lastPrinted>2018-05-10T16:33:00Z</cp:lastPrinted>
  <dcterms:created xsi:type="dcterms:W3CDTF">2018-06-16T23:01:00Z</dcterms:created>
  <dcterms:modified xsi:type="dcterms:W3CDTF">2018-06-20T15:59:00Z</dcterms:modified>
</cp:coreProperties>
</file>