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36E" w:rsidRPr="00D83EAC" w:rsidRDefault="0036036E" w:rsidP="00360567">
      <w:pPr>
        <w:pStyle w:val="Rubro"/>
        <w:spacing w:before="0" w:after="0"/>
        <w:ind w:left="3540"/>
        <w:rPr>
          <w:szCs w:val="28"/>
        </w:rPr>
      </w:pPr>
      <w:r w:rsidRPr="00D83EAC">
        <w:rPr>
          <w:szCs w:val="28"/>
        </w:rPr>
        <w:t>recurso de revisión del procedimiento especial sancionador</w:t>
      </w:r>
    </w:p>
    <w:p w:rsidR="0036036E" w:rsidRPr="00D83EAC" w:rsidRDefault="0036036E" w:rsidP="00360567">
      <w:pPr>
        <w:spacing w:before="0" w:after="0" w:line="240" w:lineRule="auto"/>
        <w:ind w:left="3540"/>
        <w:rPr>
          <w:b/>
          <w:caps/>
          <w:sz w:val="24"/>
        </w:rPr>
      </w:pPr>
    </w:p>
    <w:p w:rsidR="0036036E" w:rsidRPr="00D83EAC" w:rsidRDefault="0036036E" w:rsidP="00360567">
      <w:pPr>
        <w:spacing w:before="0" w:after="0" w:line="240" w:lineRule="auto"/>
        <w:ind w:left="3540"/>
        <w:rPr>
          <w:caps/>
          <w:spacing w:val="20"/>
          <w:sz w:val="24"/>
        </w:rPr>
      </w:pPr>
      <w:r w:rsidRPr="00D83EAC">
        <w:rPr>
          <w:b/>
          <w:caps/>
          <w:spacing w:val="20"/>
          <w:sz w:val="24"/>
        </w:rPr>
        <w:t>EXPEDIENTE:</w:t>
      </w:r>
      <w:r w:rsidRPr="00D83EAC">
        <w:rPr>
          <w:caps/>
          <w:spacing w:val="20"/>
          <w:sz w:val="24"/>
        </w:rPr>
        <w:t xml:space="preserve"> </w:t>
      </w:r>
      <w:r w:rsidRPr="00D83EAC">
        <w:rPr>
          <w:caps/>
          <w:spacing w:val="30"/>
          <w:sz w:val="24"/>
        </w:rPr>
        <w:t>SUP-REP-</w:t>
      </w:r>
      <w:r w:rsidR="00B40F4C">
        <w:rPr>
          <w:caps/>
          <w:spacing w:val="30"/>
          <w:sz w:val="24"/>
        </w:rPr>
        <w:t>2</w:t>
      </w:r>
      <w:r w:rsidRPr="00D83EAC">
        <w:rPr>
          <w:caps/>
          <w:spacing w:val="30"/>
          <w:sz w:val="24"/>
        </w:rPr>
        <w:t>5</w:t>
      </w:r>
      <w:r w:rsidR="00B40F4C">
        <w:rPr>
          <w:caps/>
          <w:spacing w:val="30"/>
          <w:sz w:val="24"/>
        </w:rPr>
        <w:t>0</w:t>
      </w:r>
      <w:r w:rsidRPr="00D83EAC">
        <w:rPr>
          <w:caps/>
          <w:spacing w:val="30"/>
          <w:sz w:val="24"/>
        </w:rPr>
        <w:t>/2018</w:t>
      </w:r>
    </w:p>
    <w:p w:rsidR="0036036E" w:rsidRPr="00D83EAC" w:rsidRDefault="0036036E" w:rsidP="00360567">
      <w:pPr>
        <w:spacing w:before="0" w:after="0" w:line="240" w:lineRule="auto"/>
        <w:ind w:left="3540"/>
        <w:rPr>
          <w:b/>
          <w:caps/>
          <w:sz w:val="24"/>
        </w:rPr>
      </w:pPr>
    </w:p>
    <w:p w:rsidR="0036036E" w:rsidRPr="00D83EAC" w:rsidRDefault="0036036E" w:rsidP="00360567">
      <w:pPr>
        <w:spacing w:before="0" w:after="0" w:line="240" w:lineRule="auto"/>
        <w:ind w:left="3540"/>
        <w:rPr>
          <w:caps/>
          <w:sz w:val="24"/>
        </w:rPr>
      </w:pPr>
      <w:r w:rsidRPr="00D83EAC">
        <w:rPr>
          <w:b/>
          <w:caps/>
          <w:sz w:val="24"/>
        </w:rPr>
        <w:t>recurrente:</w:t>
      </w:r>
      <w:r w:rsidRPr="00D83EAC">
        <w:rPr>
          <w:caps/>
          <w:sz w:val="24"/>
        </w:rPr>
        <w:t xml:space="preserve"> </w:t>
      </w:r>
      <w:r w:rsidR="00B40F4C">
        <w:rPr>
          <w:caps/>
          <w:sz w:val="24"/>
        </w:rPr>
        <w:t>PARTIDO DE LA REVOLUCIÓN DEMOCRÁTICA</w:t>
      </w:r>
      <w:r w:rsidRPr="00D83EAC">
        <w:rPr>
          <w:caps/>
          <w:sz w:val="24"/>
        </w:rPr>
        <w:t xml:space="preserve"> </w:t>
      </w:r>
    </w:p>
    <w:p w:rsidR="0036036E" w:rsidRPr="00D83EAC" w:rsidRDefault="0036036E" w:rsidP="00360567">
      <w:pPr>
        <w:spacing w:before="0" w:after="0" w:line="240" w:lineRule="auto"/>
        <w:ind w:left="3540"/>
        <w:rPr>
          <w:b/>
          <w:caps/>
          <w:sz w:val="24"/>
        </w:rPr>
      </w:pPr>
    </w:p>
    <w:p w:rsidR="0036036E" w:rsidRPr="00D83EAC" w:rsidRDefault="0036036E" w:rsidP="00360567">
      <w:pPr>
        <w:spacing w:before="0" w:after="0" w:line="240" w:lineRule="auto"/>
        <w:ind w:left="3540"/>
        <w:rPr>
          <w:caps/>
          <w:sz w:val="24"/>
        </w:rPr>
      </w:pPr>
      <w:r w:rsidRPr="00D83EAC">
        <w:rPr>
          <w:b/>
          <w:caps/>
          <w:sz w:val="24"/>
        </w:rPr>
        <w:t>AUTORIDAD responsable:</w:t>
      </w:r>
      <w:r w:rsidRPr="00D83EAC">
        <w:rPr>
          <w:caps/>
          <w:sz w:val="24"/>
        </w:rPr>
        <w:t xml:space="preserve"> </w:t>
      </w:r>
      <w:r w:rsidR="00B40F4C">
        <w:rPr>
          <w:caps/>
          <w:sz w:val="24"/>
        </w:rPr>
        <w:t>12 CONSEJO DISTRITAL DEL INSTITUTO NACIONAL ELECTORAL EN PUEBLA</w:t>
      </w:r>
    </w:p>
    <w:p w:rsidR="0036036E" w:rsidRPr="00D83EAC" w:rsidRDefault="0036036E" w:rsidP="00360567">
      <w:pPr>
        <w:spacing w:before="0" w:after="0" w:line="240" w:lineRule="auto"/>
        <w:ind w:left="3540"/>
        <w:rPr>
          <w:caps/>
          <w:sz w:val="24"/>
        </w:rPr>
      </w:pPr>
    </w:p>
    <w:p w:rsidR="0036036E" w:rsidRPr="00D83EAC" w:rsidRDefault="0036036E" w:rsidP="00360567">
      <w:pPr>
        <w:spacing w:before="0" w:after="0" w:line="240" w:lineRule="auto"/>
        <w:ind w:left="3540"/>
        <w:rPr>
          <w:caps/>
          <w:sz w:val="24"/>
        </w:rPr>
      </w:pPr>
      <w:r w:rsidRPr="00D83EAC">
        <w:rPr>
          <w:b/>
          <w:caps/>
          <w:sz w:val="24"/>
        </w:rPr>
        <w:t>MAGISTRADO PONENTE:</w:t>
      </w:r>
      <w:r w:rsidRPr="00D83EAC">
        <w:rPr>
          <w:caps/>
          <w:sz w:val="24"/>
        </w:rPr>
        <w:t xml:space="preserve"> FELIPE ALFREDO FUENTES BARRERA</w:t>
      </w:r>
    </w:p>
    <w:p w:rsidR="0036036E" w:rsidRPr="00D83EAC" w:rsidRDefault="0036036E" w:rsidP="00360567">
      <w:pPr>
        <w:spacing w:before="0" w:after="0" w:line="240" w:lineRule="auto"/>
        <w:ind w:left="3540"/>
        <w:rPr>
          <w:caps/>
          <w:sz w:val="24"/>
        </w:rPr>
      </w:pPr>
    </w:p>
    <w:p w:rsidR="0036036E" w:rsidRPr="00D83EAC" w:rsidRDefault="0036036E" w:rsidP="00360567">
      <w:pPr>
        <w:spacing w:before="0" w:after="0" w:line="240" w:lineRule="auto"/>
        <w:ind w:left="3540"/>
        <w:rPr>
          <w:caps/>
          <w:sz w:val="24"/>
        </w:rPr>
      </w:pPr>
      <w:r w:rsidRPr="00D83EAC">
        <w:rPr>
          <w:b/>
          <w:caps/>
          <w:sz w:val="24"/>
        </w:rPr>
        <w:t xml:space="preserve">SECRETARIOs: </w:t>
      </w:r>
      <w:r w:rsidR="00B40F4C" w:rsidRPr="00D83EAC">
        <w:rPr>
          <w:caps/>
          <w:sz w:val="24"/>
        </w:rPr>
        <w:t xml:space="preserve">moisés manuel romo cruz </w:t>
      </w:r>
      <w:r w:rsidR="00B40F4C">
        <w:rPr>
          <w:caps/>
          <w:sz w:val="24"/>
        </w:rPr>
        <w:t xml:space="preserve">Y </w:t>
      </w:r>
      <w:r w:rsidR="00536986" w:rsidRPr="00D83EAC">
        <w:rPr>
          <w:caps/>
          <w:sz w:val="24"/>
        </w:rPr>
        <w:t>v</w:t>
      </w:r>
      <w:r w:rsidR="0025640A" w:rsidRPr="00D83EAC">
        <w:rPr>
          <w:caps/>
          <w:sz w:val="24"/>
        </w:rPr>
        <w:t>Í</w:t>
      </w:r>
      <w:r w:rsidR="00536986" w:rsidRPr="00D83EAC">
        <w:rPr>
          <w:caps/>
          <w:sz w:val="24"/>
        </w:rPr>
        <w:t xml:space="preserve">ctor manuel rosas leal </w:t>
      </w:r>
    </w:p>
    <w:p w:rsidR="00536986" w:rsidRPr="00D83EAC" w:rsidRDefault="00536986" w:rsidP="00360567">
      <w:pPr>
        <w:spacing w:before="0" w:after="0" w:line="240" w:lineRule="auto"/>
        <w:ind w:left="3540"/>
        <w:rPr>
          <w:caps/>
          <w:sz w:val="24"/>
        </w:rPr>
      </w:pPr>
    </w:p>
    <w:p w:rsidR="00536986" w:rsidRPr="00D83EAC" w:rsidRDefault="00536986" w:rsidP="00360567">
      <w:pPr>
        <w:spacing w:before="0" w:after="0" w:line="240" w:lineRule="auto"/>
        <w:ind w:left="3540"/>
        <w:rPr>
          <w:caps/>
          <w:sz w:val="24"/>
        </w:rPr>
      </w:pPr>
      <w:r w:rsidRPr="00D83EAC">
        <w:rPr>
          <w:b/>
          <w:caps/>
          <w:sz w:val="24"/>
        </w:rPr>
        <w:t>COLABOR</w:t>
      </w:r>
      <w:r w:rsidR="00B40F4C">
        <w:rPr>
          <w:b/>
          <w:caps/>
          <w:sz w:val="24"/>
        </w:rPr>
        <w:t>Ó</w:t>
      </w:r>
      <w:r w:rsidRPr="00D83EAC">
        <w:rPr>
          <w:b/>
          <w:caps/>
          <w:sz w:val="24"/>
        </w:rPr>
        <w:t xml:space="preserve">: </w:t>
      </w:r>
      <w:r w:rsidRPr="00D83EAC">
        <w:rPr>
          <w:caps/>
          <w:sz w:val="24"/>
        </w:rPr>
        <w:t>VICENTE ALDO HERNÁNDEZ CARRILLO</w:t>
      </w:r>
    </w:p>
    <w:p w:rsidR="0036036E" w:rsidRDefault="0036036E" w:rsidP="00995560">
      <w:pPr>
        <w:spacing w:before="0" w:after="0" w:line="240" w:lineRule="auto"/>
        <w:ind w:firstLine="1418"/>
        <w:rPr>
          <w:sz w:val="28"/>
        </w:rPr>
      </w:pPr>
    </w:p>
    <w:p w:rsidR="00CB7F20" w:rsidRDefault="00CB7F20" w:rsidP="00CB7F20">
      <w:pPr>
        <w:spacing w:before="0" w:after="0"/>
        <w:rPr>
          <w:sz w:val="26"/>
          <w:szCs w:val="26"/>
          <w:lang w:val="es-MX" w:eastAsia="es-MX"/>
        </w:rPr>
      </w:pPr>
    </w:p>
    <w:p w:rsidR="0036036E" w:rsidRDefault="0036036E" w:rsidP="00B515AD">
      <w:pPr>
        <w:spacing w:before="0" w:after="0"/>
        <w:rPr>
          <w:sz w:val="26"/>
          <w:szCs w:val="26"/>
          <w:lang w:val="es-MX" w:eastAsia="es-MX"/>
        </w:rPr>
      </w:pPr>
      <w:r w:rsidRPr="00CB7F20">
        <w:rPr>
          <w:sz w:val="26"/>
          <w:szCs w:val="26"/>
          <w:lang w:val="es-MX" w:eastAsia="es-MX"/>
        </w:rPr>
        <w:t>Ciudad de México. Sentencia de la Sala Superior del Tribunal Electoral del Poder Judicial de la Federación, corr</w:t>
      </w:r>
      <w:r w:rsidR="009B23CA" w:rsidRPr="00CB7F20">
        <w:rPr>
          <w:sz w:val="26"/>
          <w:szCs w:val="26"/>
          <w:lang w:val="es-MX" w:eastAsia="es-MX"/>
        </w:rPr>
        <w:t xml:space="preserve">espondiente a la sesión de </w:t>
      </w:r>
      <w:r w:rsidR="00213925">
        <w:rPr>
          <w:sz w:val="26"/>
          <w:szCs w:val="26"/>
          <w:lang w:val="es-MX" w:eastAsia="es-MX"/>
        </w:rPr>
        <w:t xml:space="preserve">trece </w:t>
      </w:r>
      <w:r w:rsidRPr="00CB7F20">
        <w:rPr>
          <w:sz w:val="26"/>
          <w:szCs w:val="26"/>
          <w:lang w:val="es-MX" w:eastAsia="es-MX"/>
        </w:rPr>
        <w:t xml:space="preserve">de </w:t>
      </w:r>
      <w:r w:rsidR="00B40F4C" w:rsidRPr="00CB7F20">
        <w:rPr>
          <w:sz w:val="26"/>
          <w:szCs w:val="26"/>
          <w:lang w:val="es-MX" w:eastAsia="es-MX"/>
        </w:rPr>
        <w:t xml:space="preserve">junio </w:t>
      </w:r>
      <w:r w:rsidRPr="00CB7F20">
        <w:rPr>
          <w:sz w:val="26"/>
          <w:szCs w:val="26"/>
          <w:lang w:val="es-MX" w:eastAsia="es-MX"/>
        </w:rPr>
        <w:t>de dos mil dieciocho.</w:t>
      </w:r>
    </w:p>
    <w:p w:rsidR="00CB7F20" w:rsidRPr="00CB7F20" w:rsidRDefault="00CB7F20" w:rsidP="00B515AD">
      <w:pPr>
        <w:spacing w:before="0" w:after="0"/>
        <w:rPr>
          <w:sz w:val="26"/>
          <w:szCs w:val="26"/>
          <w:lang w:val="es-MX" w:eastAsia="es-MX"/>
        </w:rPr>
      </w:pPr>
    </w:p>
    <w:p w:rsidR="00A46620" w:rsidRDefault="0036036E" w:rsidP="00B515AD">
      <w:pPr>
        <w:spacing w:before="0" w:after="0"/>
        <w:rPr>
          <w:sz w:val="26"/>
          <w:szCs w:val="26"/>
          <w:lang w:val="es-MX" w:eastAsia="es-MX"/>
        </w:rPr>
      </w:pPr>
      <w:r w:rsidRPr="00CB7F20">
        <w:rPr>
          <w:b/>
          <w:sz w:val="26"/>
          <w:szCs w:val="26"/>
          <w:lang w:val="es-MX" w:eastAsia="es-MX"/>
        </w:rPr>
        <w:t>VISTOS</w:t>
      </w:r>
      <w:r w:rsidRPr="00CB7F20">
        <w:rPr>
          <w:sz w:val="26"/>
          <w:szCs w:val="26"/>
          <w:lang w:val="es-MX" w:eastAsia="es-MX"/>
        </w:rPr>
        <w:t xml:space="preserve"> para resolver, los autos del </w:t>
      </w:r>
      <w:r w:rsidR="008640CE" w:rsidRPr="00CB7F20">
        <w:rPr>
          <w:sz w:val="26"/>
          <w:szCs w:val="26"/>
          <w:lang w:val="es-MX" w:eastAsia="es-MX"/>
        </w:rPr>
        <w:t xml:space="preserve">recurso de </w:t>
      </w:r>
      <w:r w:rsidR="00546015" w:rsidRPr="00CB7F20">
        <w:rPr>
          <w:sz w:val="26"/>
          <w:szCs w:val="26"/>
          <w:lang w:val="es-MX" w:eastAsia="es-MX"/>
        </w:rPr>
        <w:t xml:space="preserve">revisión del procedimiento especial sancionador, </w:t>
      </w:r>
      <w:r w:rsidRPr="00CB7F20">
        <w:rPr>
          <w:sz w:val="26"/>
          <w:szCs w:val="26"/>
          <w:lang w:val="es-MX" w:eastAsia="es-MX"/>
        </w:rPr>
        <w:t>cuyos datos de identificación se citan al rubro.</w:t>
      </w:r>
    </w:p>
    <w:p w:rsidR="00CB7F20" w:rsidRPr="00CB7F20" w:rsidRDefault="00CB7F20" w:rsidP="00CB7F20">
      <w:pPr>
        <w:spacing w:before="0" w:after="0"/>
        <w:rPr>
          <w:sz w:val="26"/>
          <w:szCs w:val="26"/>
          <w:lang w:val="es-MX" w:eastAsia="es-MX"/>
        </w:rPr>
      </w:pPr>
    </w:p>
    <w:p w:rsidR="0036036E" w:rsidRDefault="0036036E" w:rsidP="00CB7F20">
      <w:pPr>
        <w:spacing w:before="0" w:after="0"/>
        <w:jc w:val="center"/>
        <w:rPr>
          <w:rFonts w:eastAsiaTheme="majorEastAsia"/>
          <w:b/>
          <w:sz w:val="26"/>
          <w:szCs w:val="26"/>
          <w:lang w:val="es-MX" w:eastAsia="es-MX"/>
        </w:rPr>
      </w:pPr>
      <w:r w:rsidRPr="00CB7F20">
        <w:rPr>
          <w:rFonts w:eastAsiaTheme="majorEastAsia"/>
          <w:b/>
          <w:sz w:val="26"/>
          <w:szCs w:val="26"/>
          <w:lang w:val="es-MX" w:eastAsia="es-MX"/>
        </w:rPr>
        <w:t>R E S U L T A N D O</w:t>
      </w:r>
      <w:r w:rsidR="00D358E1" w:rsidRPr="00CB7F20">
        <w:rPr>
          <w:rFonts w:eastAsiaTheme="majorEastAsia"/>
          <w:b/>
          <w:sz w:val="26"/>
          <w:szCs w:val="26"/>
          <w:lang w:val="es-MX" w:eastAsia="es-MX"/>
        </w:rPr>
        <w:t>:</w:t>
      </w:r>
    </w:p>
    <w:p w:rsidR="00CB7F20" w:rsidRPr="00CB7F20" w:rsidRDefault="00CB7F20" w:rsidP="00CB7F20">
      <w:pPr>
        <w:spacing w:before="0" w:after="0"/>
        <w:jc w:val="center"/>
        <w:rPr>
          <w:rFonts w:eastAsiaTheme="majorEastAsia"/>
          <w:b/>
          <w:sz w:val="26"/>
          <w:szCs w:val="26"/>
          <w:lang w:val="es-MX" w:eastAsia="es-MX"/>
        </w:rPr>
      </w:pPr>
    </w:p>
    <w:p w:rsidR="00A46620" w:rsidRDefault="0036036E" w:rsidP="00CB7F20">
      <w:pPr>
        <w:spacing w:before="0" w:after="0"/>
        <w:rPr>
          <w:sz w:val="26"/>
          <w:szCs w:val="26"/>
          <w:lang w:val="es-MX" w:eastAsia="es-MX"/>
        </w:rPr>
      </w:pPr>
      <w:r w:rsidRPr="00CB7F20">
        <w:rPr>
          <w:b/>
          <w:sz w:val="26"/>
          <w:szCs w:val="26"/>
          <w:lang w:val="es-MX" w:eastAsia="es-MX"/>
        </w:rPr>
        <w:t>1. Interposición del recurso.</w:t>
      </w:r>
      <w:r w:rsidR="00B21033" w:rsidRPr="00CB7F20">
        <w:rPr>
          <w:sz w:val="26"/>
          <w:szCs w:val="26"/>
          <w:lang w:val="es-MX" w:eastAsia="es-MX"/>
        </w:rPr>
        <w:t xml:space="preserve"> El </w:t>
      </w:r>
      <w:r w:rsidR="00B40F4C" w:rsidRPr="00CB7F20">
        <w:rPr>
          <w:sz w:val="26"/>
          <w:szCs w:val="26"/>
          <w:lang w:val="es-MX" w:eastAsia="es-MX"/>
        </w:rPr>
        <w:t xml:space="preserve">ocho de junio </w:t>
      </w:r>
      <w:r w:rsidRPr="00CB7F20">
        <w:rPr>
          <w:sz w:val="26"/>
          <w:szCs w:val="26"/>
          <w:lang w:val="es-MX" w:eastAsia="es-MX"/>
        </w:rPr>
        <w:t xml:space="preserve">de dos mil dieciocho, </w:t>
      </w:r>
      <w:r w:rsidR="00B40F4C" w:rsidRPr="00CB7F20">
        <w:rPr>
          <w:sz w:val="26"/>
          <w:szCs w:val="26"/>
          <w:lang w:val="es-MX" w:eastAsia="es-MX"/>
        </w:rPr>
        <w:t>el Partido de la Revolución Democrática</w:t>
      </w:r>
      <w:r w:rsidR="006E539A" w:rsidRPr="00CB7F20">
        <w:rPr>
          <w:rStyle w:val="Refdenotaalpie"/>
          <w:sz w:val="26"/>
          <w:szCs w:val="26"/>
          <w:lang w:val="es-MX" w:eastAsia="es-MX"/>
        </w:rPr>
        <w:footnoteReference w:id="1"/>
      </w:r>
      <w:r w:rsidR="00B40F4C" w:rsidRPr="00CB7F20">
        <w:rPr>
          <w:sz w:val="26"/>
          <w:szCs w:val="26"/>
          <w:lang w:val="es-MX" w:eastAsia="es-MX"/>
        </w:rPr>
        <w:t xml:space="preserve">, a través de su representante propietario, Gerardo Fabian Soriano Soriano, </w:t>
      </w:r>
      <w:r w:rsidRPr="00CB7F20">
        <w:rPr>
          <w:sz w:val="26"/>
          <w:szCs w:val="26"/>
          <w:lang w:val="es-MX" w:eastAsia="es-MX"/>
        </w:rPr>
        <w:t>interpuso recurso de revisión del procedimient</w:t>
      </w:r>
      <w:r w:rsidR="00B40F4C" w:rsidRPr="00CB7F20">
        <w:rPr>
          <w:sz w:val="26"/>
          <w:szCs w:val="26"/>
          <w:lang w:val="es-MX" w:eastAsia="es-MX"/>
        </w:rPr>
        <w:t xml:space="preserve">o especial sancionador, ante el </w:t>
      </w:r>
      <w:r w:rsidR="00B40F4C" w:rsidRPr="00CB7F20">
        <w:rPr>
          <w:sz w:val="26"/>
          <w:szCs w:val="26"/>
          <w:lang w:val="es-MX" w:eastAsia="es-MX"/>
        </w:rPr>
        <w:lastRenderedPageBreak/>
        <w:t xml:space="preserve">12 </w:t>
      </w:r>
      <w:r w:rsidR="00B40F4C" w:rsidRPr="00BE0D35">
        <w:rPr>
          <w:b/>
          <w:sz w:val="26"/>
          <w:szCs w:val="26"/>
          <w:lang w:val="es-MX" w:eastAsia="es-MX"/>
        </w:rPr>
        <w:t>Consejo Distrital del Instituto Nacional Electoral en Puebla</w:t>
      </w:r>
      <w:r w:rsidR="006E539A" w:rsidRPr="00CB7F20">
        <w:rPr>
          <w:rStyle w:val="Refdenotaalpie"/>
          <w:sz w:val="26"/>
          <w:szCs w:val="26"/>
          <w:lang w:val="es-MX" w:eastAsia="es-MX"/>
        </w:rPr>
        <w:footnoteReference w:id="2"/>
      </w:r>
      <w:r w:rsidR="00A42F3A" w:rsidRPr="00CB7F20">
        <w:rPr>
          <w:sz w:val="26"/>
          <w:szCs w:val="26"/>
          <w:lang w:val="es-MX" w:eastAsia="es-MX"/>
        </w:rPr>
        <w:t>,</w:t>
      </w:r>
      <w:r w:rsidR="001242D1" w:rsidRPr="00CB7F20">
        <w:rPr>
          <w:sz w:val="26"/>
          <w:szCs w:val="26"/>
          <w:lang w:val="es-MX" w:eastAsia="es-MX"/>
        </w:rPr>
        <w:t xml:space="preserve"> a fin de controvertir </w:t>
      </w:r>
      <w:r w:rsidR="00B11660" w:rsidRPr="00CB7F20">
        <w:rPr>
          <w:sz w:val="26"/>
          <w:szCs w:val="26"/>
          <w:lang w:val="es-MX" w:eastAsia="es-MX"/>
        </w:rPr>
        <w:t>el acuerdo emitido por</w:t>
      </w:r>
      <w:r w:rsidR="00313842" w:rsidRPr="00CB7F20">
        <w:rPr>
          <w:sz w:val="26"/>
          <w:szCs w:val="26"/>
          <w:lang w:val="es-MX" w:eastAsia="es-MX"/>
        </w:rPr>
        <w:t xml:space="preserve"> el </w:t>
      </w:r>
      <w:r w:rsidR="006E539A" w:rsidRPr="00CB7F20">
        <w:rPr>
          <w:sz w:val="26"/>
          <w:szCs w:val="26"/>
          <w:lang w:val="es-MX" w:eastAsia="es-MX"/>
        </w:rPr>
        <w:t>Vocal Ejecutivo y Consejera Presidente del referido Consejo Distrital</w:t>
      </w:r>
      <w:r w:rsidR="00313842" w:rsidRPr="00CB7F20">
        <w:rPr>
          <w:sz w:val="26"/>
          <w:szCs w:val="26"/>
          <w:lang w:val="es-MX" w:eastAsia="es-MX"/>
        </w:rPr>
        <w:t>, mediante el cual, determin</w:t>
      </w:r>
      <w:r w:rsidR="008E4A83">
        <w:rPr>
          <w:sz w:val="26"/>
          <w:szCs w:val="26"/>
          <w:lang w:val="es-MX" w:eastAsia="es-MX"/>
        </w:rPr>
        <w:t>aron</w:t>
      </w:r>
      <w:r w:rsidR="00313842" w:rsidRPr="00CB7F20">
        <w:rPr>
          <w:sz w:val="26"/>
          <w:szCs w:val="26"/>
          <w:lang w:val="es-MX" w:eastAsia="es-MX"/>
        </w:rPr>
        <w:t xml:space="preserve"> </w:t>
      </w:r>
      <w:r w:rsidR="00B11660" w:rsidRPr="00CB7F20">
        <w:rPr>
          <w:sz w:val="26"/>
          <w:szCs w:val="26"/>
          <w:lang w:val="es-MX" w:eastAsia="es-MX"/>
        </w:rPr>
        <w:t xml:space="preserve">desechar de plano la </w:t>
      </w:r>
      <w:r w:rsidR="00F736A9">
        <w:rPr>
          <w:sz w:val="26"/>
          <w:szCs w:val="26"/>
          <w:lang w:val="es-MX" w:eastAsia="es-MX"/>
        </w:rPr>
        <w:t xml:space="preserve">denuncia </w:t>
      </w:r>
      <w:r w:rsidR="00313842" w:rsidRPr="00CB7F20">
        <w:rPr>
          <w:sz w:val="26"/>
          <w:szCs w:val="26"/>
          <w:lang w:val="es-MX" w:eastAsia="es-MX"/>
        </w:rPr>
        <w:t>presentada</w:t>
      </w:r>
      <w:r w:rsidR="00F736A9">
        <w:rPr>
          <w:sz w:val="26"/>
          <w:szCs w:val="26"/>
          <w:lang w:val="es-MX" w:eastAsia="es-MX"/>
        </w:rPr>
        <w:t xml:space="preserve"> por el citado partido político y </w:t>
      </w:r>
      <w:r w:rsidR="00E35DAD">
        <w:rPr>
          <w:sz w:val="26"/>
          <w:szCs w:val="26"/>
          <w:lang w:val="es-MX" w:eastAsia="es-MX"/>
        </w:rPr>
        <w:t xml:space="preserve">Roxana Luna Porquillo, </w:t>
      </w:r>
      <w:r w:rsidR="00313842" w:rsidRPr="00CB7F20">
        <w:rPr>
          <w:sz w:val="26"/>
          <w:szCs w:val="26"/>
          <w:lang w:val="es-MX" w:eastAsia="es-MX"/>
        </w:rPr>
        <w:t>al considerar</w:t>
      </w:r>
      <w:r w:rsidR="00B11660" w:rsidRPr="00CB7F20">
        <w:rPr>
          <w:sz w:val="26"/>
          <w:szCs w:val="26"/>
          <w:lang w:val="es-MX" w:eastAsia="es-MX"/>
        </w:rPr>
        <w:t xml:space="preserve"> que los hechos denunciados no constituyen una violación en materia de propaganda político electoral</w:t>
      </w:r>
      <w:r w:rsidR="00600BBD" w:rsidRPr="00CB7F20">
        <w:rPr>
          <w:sz w:val="26"/>
          <w:szCs w:val="26"/>
          <w:lang w:val="es-MX" w:eastAsia="es-MX"/>
        </w:rPr>
        <w:t>.</w:t>
      </w:r>
    </w:p>
    <w:p w:rsidR="00CB7F20" w:rsidRPr="00CB7F20" w:rsidRDefault="00CB7F20" w:rsidP="00CB7F20">
      <w:pPr>
        <w:spacing w:before="0" w:after="0"/>
        <w:rPr>
          <w:sz w:val="26"/>
          <w:szCs w:val="26"/>
          <w:lang w:val="es-MX" w:eastAsia="es-MX"/>
        </w:rPr>
      </w:pPr>
    </w:p>
    <w:p w:rsidR="00A46620" w:rsidRDefault="0036036E" w:rsidP="00CB7F20">
      <w:pPr>
        <w:spacing w:before="0" w:after="0"/>
        <w:rPr>
          <w:sz w:val="26"/>
          <w:szCs w:val="26"/>
          <w:lang w:val="es-MX" w:eastAsia="es-MX"/>
        </w:rPr>
      </w:pPr>
      <w:r w:rsidRPr="00CB7F20">
        <w:rPr>
          <w:b/>
          <w:sz w:val="26"/>
          <w:szCs w:val="26"/>
          <w:lang w:val="es-MX" w:eastAsia="es-MX"/>
        </w:rPr>
        <w:t>2. Turno.</w:t>
      </w:r>
      <w:r w:rsidRPr="00CB7F20">
        <w:rPr>
          <w:sz w:val="26"/>
          <w:szCs w:val="26"/>
          <w:lang w:val="es-MX" w:eastAsia="es-MX"/>
        </w:rPr>
        <w:t xml:space="preserve"> </w:t>
      </w:r>
      <w:r w:rsidR="00CB7F20" w:rsidRPr="00CB7F20">
        <w:rPr>
          <w:sz w:val="26"/>
          <w:szCs w:val="26"/>
          <w:lang w:val="es-MX" w:eastAsia="es-MX"/>
        </w:rPr>
        <w:t xml:space="preserve">Mediante acuerdo de </w:t>
      </w:r>
      <w:r w:rsidR="00CB7F20" w:rsidRPr="006274F1">
        <w:rPr>
          <w:sz w:val="26"/>
          <w:szCs w:val="26"/>
          <w:lang w:val="es-MX" w:eastAsia="es-MX"/>
        </w:rPr>
        <w:t>nueve de junio del año en curso</w:t>
      </w:r>
      <w:r w:rsidR="00CB7F20" w:rsidRPr="00CB7F20">
        <w:rPr>
          <w:sz w:val="26"/>
          <w:szCs w:val="26"/>
          <w:lang w:val="es-MX" w:eastAsia="es-MX"/>
        </w:rPr>
        <w:t xml:space="preserve">, la Magistrada Presidenta de esta Sala Superior acordó turnar el expediente identificado con la clave </w:t>
      </w:r>
      <w:r w:rsidR="00CB7F20" w:rsidRPr="00CB7F20">
        <w:rPr>
          <w:b/>
          <w:sz w:val="26"/>
          <w:szCs w:val="26"/>
          <w:lang w:val="es-MX" w:eastAsia="es-MX"/>
        </w:rPr>
        <w:t xml:space="preserve">SUP-REP-250/2018 </w:t>
      </w:r>
      <w:r w:rsidR="00CB7F20" w:rsidRPr="00CB7F20">
        <w:rPr>
          <w:sz w:val="26"/>
          <w:szCs w:val="26"/>
          <w:lang w:val="es-MX" w:eastAsia="es-MX"/>
        </w:rPr>
        <w:t>a la Ponencia del Magistrado Felipe Alfredo Fuentes Barrera, para los efectos previstos en los artículos 19 de la Ley General del Sistema de Medios de Impugnación en Materia Electoral.</w:t>
      </w:r>
      <w:r w:rsidRPr="00CB7F20">
        <w:rPr>
          <w:sz w:val="26"/>
          <w:szCs w:val="26"/>
          <w:lang w:val="es-MX" w:eastAsia="es-MX"/>
        </w:rPr>
        <w:t xml:space="preserve"> </w:t>
      </w:r>
    </w:p>
    <w:p w:rsidR="00CB7F20" w:rsidRPr="00CB7F20" w:rsidRDefault="00CB7F20" w:rsidP="00CB7F20">
      <w:pPr>
        <w:spacing w:before="0" w:after="0"/>
        <w:rPr>
          <w:sz w:val="26"/>
          <w:szCs w:val="26"/>
          <w:lang w:val="es-MX" w:eastAsia="es-MX"/>
        </w:rPr>
      </w:pPr>
    </w:p>
    <w:p w:rsidR="00A46620" w:rsidRDefault="0036036E" w:rsidP="00CB7F20">
      <w:pPr>
        <w:spacing w:before="0" w:after="0"/>
        <w:rPr>
          <w:sz w:val="26"/>
          <w:szCs w:val="26"/>
          <w:lang w:val="es-MX" w:eastAsia="es-MX"/>
        </w:rPr>
      </w:pPr>
      <w:r w:rsidRPr="00CB7F20">
        <w:rPr>
          <w:b/>
          <w:sz w:val="26"/>
          <w:szCs w:val="26"/>
          <w:lang w:val="es-MX" w:eastAsia="es-MX"/>
        </w:rPr>
        <w:t>3. Recepción, admisión y cierre.</w:t>
      </w:r>
      <w:r w:rsidRPr="00CB7F20">
        <w:rPr>
          <w:sz w:val="26"/>
          <w:szCs w:val="26"/>
          <w:lang w:val="es-MX" w:eastAsia="es-MX"/>
        </w:rPr>
        <w:t xml:space="preserve"> En su oportunidad, el Magistrado Instructor acordó recibir, admitir a trámite el recurso respectivo y declaró cerrada la instrucción.</w:t>
      </w:r>
    </w:p>
    <w:p w:rsidR="00B515AD" w:rsidRPr="00CB7F20" w:rsidRDefault="00B515AD" w:rsidP="00CB7F20">
      <w:pPr>
        <w:spacing w:before="0" w:after="0"/>
        <w:rPr>
          <w:sz w:val="26"/>
          <w:szCs w:val="26"/>
          <w:lang w:val="es-MX" w:eastAsia="es-MX"/>
        </w:rPr>
      </w:pPr>
    </w:p>
    <w:p w:rsidR="00B515AD" w:rsidRDefault="0036036E" w:rsidP="00B515AD">
      <w:pPr>
        <w:spacing w:before="100" w:beforeAutospacing="1" w:after="100" w:afterAutospacing="1"/>
        <w:ind w:firstLine="851"/>
        <w:jc w:val="center"/>
        <w:rPr>
          <w:rFonts w:eastAsiaTheme="majorEastAsia"/>
          <w:b/>
          <w:sz w:val="28"/>
          <w:lang w:val="es-MX" w:eastAsia="es-MX"/>
        </w:rPr>
      </w:pPr>
      <w:r w:rsidRPr="00D53CF4">
        <w:rPr>
          <w:rFonts w:eastAsiaTheme="majorEastAsia"/>
          <w:b/>
          <w:sz w:val="28"/>
          <w:lang w:val="es-MX" w:eastAsia="es-MX"/>
        </w:rPr>
        <w:t>C O N S I D E R A N D O</w:t>
      </w:r>
      <w:r w:rsidR="00D358E1" w:rsidRPr="00D53CF4">
        <w:rPr>
          <w:rFonts w:eastAsiaTheme="majorEastAsia"/>
          <w:b/>
          <w:sz w:val="28"/>
          <w:lang w:val="es-MX" w:eastAsia="es-MX"/>
        </w:rPr>
        <w:t>:</w:t>
      </w:r>
    </w:p>
    <w:p w:rsidR="00CB7F20" w:rsidRPr="00B515AD" w:rsidRDefault="0036036E" w:rsidP="00B515AD">
      <w:pPr>
        <w:spacing w:before="0" w:after="0"/>
        <w:rPr>
          <w:rFonts w:eastAsiaTheme="majorEastAsia"/>
          <w:b/>
          <w:sz w:val="28"/>
          <w:lang w:val="es-MX" w:eastAsia="es-MX"/>
        </w:rPr>
      </w:pPr>
      <w:r w:rsidRPr="00AF5678">
        <w:rPr>
          <w:rFonts w:eastAsiaTheme="majorEastAsia"/>
          <w:b/>
          <w:sz w:val="26"/>
          <w:szCs w:val="26"/>
          <w:lang w:val="es-MX" w:eastAsia="es-MX"/>
        </w:rPr>
        <w:t>1. Competencia</w:t>
      </w:r>
      <w:r w:rsidR="00B515AD">
        <w:rPr>
          <w:rFonts w:eastAsiaTheme="majorEastAsia"/>
          <w:b/>
          <w:sz w:val="26"/>
          <w:szCs w:val="26"/>
          <w:lang w:val="es-MX" w:eastAsia="es-MX"/>
        </w:rPr>
        <w:t xml:space="preserve">. </w:t>
      </w:r>
      <w:r w:rsidR="00CB7F20" w:rsidRPr="00AF5678">
        <w:rPr>
          <w:sz w:val="26"/>
          <w:szCs w:val="26"/>
          <w:lang w:val="es-MX" w:eastAsia="es-MX"/>
        </w:rPr>
        <w:t xml:space="preserve">Esta Sala Superior es competente para conocer y resolver el presente medio de impugnación, con fundamento en lo establecido en los artículos 41, base VI, y 99, fracción IX, de la Constitución General; 186, fracción III, inciso h), y 189, fracción XIX, de la Ley Orgánica del Poder Judicial de la Federación; y 3, párrafo 2, inciso f), 4, párrafo 1, y 109, párrafos 1, inciso a), y 2, de la Ley General del Sistema de Medios de Impugnación en Materia Electoral, al tratarse de recursos de revisión del procedimiento especial </w:t>
      </w:r>
      <w:r w:rsidR="00CB7F20" w:rsidRPr="00AF5678">
        <w:rPr>
          <w:sz w:val="26"/>
          <w:szCs w:val="26"/>
          <w:lang w:val="es-MX" w:eastAsia="es-MX"/>
        </w:rPr>
        <w:lastRenderedPageBreak/>
        <w:t xml:space="preserve">sancionador interpuestos para controvertir una </w:t>
      </w:r>
      <w:r w:rsidR="00E35DAD">
        <w:rPr>
          <w:sz w:val="26"/>
          <w:szCs w:val="26"/>
          <w:lang w:val="es-MX" w:eastAsia="es-MX"/>
        </w:rPr>
        <w:t xml:space="preserve">resolución </w:t>
      </w:r>
      <w:r w:rsidR="00CB7F20" w:rsidRPr="00AF5678">
        <w:rPr>
          <w:sz w:val="26"/>
          <w:szCs w:val="26"/>
          <w:lang w:val="es-MX" w:eastAsia="es-MX"/>
        </w:rPr>
        <w:t xml:space="preserve">emitida por </w:t>
      </w:r>
      <w:r w:rsidR="00E35DAD">
        <w:rPr>
          <w:sz w:val="26"/>
          <w:szCs w:val="26"/>
          <w:lang w:val="es-MX" w:eastAsia="es-MX"/>
        </w:rPr>
        <w:t>un Consejo Distrital del INE, que determinó desechar de plano una queja en materia de propaganda electoral y de violencia política de género</w:t>
      </w:r>
      <w:r w:rsidR="00CB7F20" w:rsidRPr="00AF5678">
        <w:rPr>
          <w:sz w:val="26"/>
          <w:szCs w:val="26"/>
          <w:lang w:val="es-MX" w:eastAsia="es-MX"/>
        </w:rPr>
        <w:t>.</w:t>
      </w:r>
    </w:p>
    <w:p w:rsidR="00AF5678" w:rsidRPr="00AF5678" w:rsidRDefault="00AF5678" w:rsidP="00AF5678">
      <w:pPr>
        <w:spacing w:before="0" w:after="0"/>
        <w:rPr>
          <w:sz w:val="26"/>
          <w:szCs w:val="26"/>
          <w:lang w:val="es-MX" w:eastAsia="es-MX"/>
        </w:rPr>
      </w:pPr>
    </w:p>
    <w:p w:rsidR="00B515AD" w:rsidRDefault="0036036E" w:rsidP="00B515AD">
      <w:pPr>
        <w:spacing w:before="0" w:after="0"/>
        <w:rPr>
          <w:rFonts w:eastAsiaTheme="majorEastAsia"/>
          <w:sz w:val="26"/>
          <w:szCs w:val="26"/>
          <w:lang w:val="es-MX" w:eastAsia="es-MX"/>
        </w:rPr>
      </w:pPr>
      <w:r w:rsidRPr="00AF5678">
        <w:rPr>
          <w:rFonts w:eastAsiaTheme="majorEastAsia"/>
          <w:b/>
          <w:sz w:val="26"/>
          <w:szCs w:val="26"/>
          <w:lang w:val="es-MX" w:eastAsia="es-MX"/>
        </w:rPr>
        <w:t xml:space="preserve">2. </w:t>
      </w:r>
      <w:r w:rsidR="00F736A9" w:rsidRPr="00AF5678">
        <w:rPr>
          <w:b/>
          <w:sz w:val="26"/>
          <w:szCs w:val="26"/>
          <w:lang w:val="es-MX" w:eastAsia="es-MX"/>
        </w:rPr>
        <w:t>C</w:t>
      </w:r>
      <w:r w:rsidR="00F736A9">
        <w:rPr>
          <w:b/>
          <w:sz w:val="26"/>
          <w:szCs w:val="26"/>
          <w:lang w:val="es-MX" w:eastAsia="es-MX"/>
        </w:rPr>
        <w:t>ausa de im</w:t>
      </w:r>
      <w:r w:rsidR="00B515AD">
        <w:rPr>
          <w:b/>
          <w:sz w:val="26"/>
          <w:szCs w:val="26"/>
          <w:lang w:val="es-MX" w:eastAsia="es-MX"/>
        </w:rPr>
        <w:t xml:space="preserve">procedencia. </w:t>
      </w:r>
      <w:r w:rsidR="00F736A9">
        <w:rPr>
          <w:rFonts w:eastAsiaTheme="majorEastAsia"/>
          <w:sz w:val="26"/>
          <w:szCs w:val="26"/>
          <w:lang w:val="es-MX" w:eastAsia="es-MX"/>
        </w:rPr>
        <w:t>La responsable s</w:t>
      </w:r>
      <w:r w:rsidR="00F736A9" w:rsidRPr="00AF5678">
        <w:rPr>
          <w:rFonts w:eastAsiaTheme="majorEastAsia"/>
          <w:sz w:val="26"/>
          <w:szCs w:val="26"/>
          <w:lang w:val="es-MX" w:eastAsia="es-MX"/>
        </w:rPr>
        <w:t>eñala</w:t>
      </w:r>
      <w:r w:rsidR="00F736A9">
        <w:rPr>
          <w:rFonts w:eastAsiaTheme="majorEastAsia"/>
          <w:sz w:val="26"/>
          <w:szCs w:val="26"/>
          <w:lang w:val="es-MX" w:eastAsia="es-MX"/>
        </w:rPr>
        <w:t xml:space="preserve"> en su informe </w:t>
      </w:r>
      <w:r w:rsidR="00F736A9" w:rsidRPr="00AF5678">
        <w:rPr>
          <w:rFonts w:eastAsiaTheme="majorEastAsia"/>
          <w:sz w:val="26"/>
          <w:szCs w:val="26"/>
          <w:lang w:val="es-MX" w:eastAsia="es-MX"/>
        </w:rPr>
        <w:t xml:space="preserve">que, </w:t>
      </w:r>
      <w:r w:rsidR="00F736A9">
        <w:rPr>
          <w:rFonts w:eastAsiaTheme="majorEastAsia"/>
          <w:sz w:val="26"/>
          <w:szCs w:val="26"/>
          <w:lang w:val="es-MX" w:eastAsia="es-MX"/>
        </w:rPr>
        <w:t xml:space="preserve">en el </w:t>
      </w:r>
      <w:r w:rsidR="00F736A9" w:rsidRPr="00AF5678">
        <w:rPr>
          <w:rFonts w:eastAsiaTheme="majorEastAsia"/>
          <w:sz w:val="26"/>
          <w:szCs w:val="26"/>
          <w:lang w:val="es-MX" w:eastAsia="es-MX"/>
        </w:rPr>
        <w:t>escrito del presente recurso, el recurrente solicita la revocación del acuerdo impugnado, sin que le asist</w:t>
      </w:r>
      <w:r w:rsidR="00F736A9">
        <w:rPr>
          <w:rFonts w:eastAsiaTheme="majorEastAsia"/>
          <w:sz w:val="26"/>
          <w:szCs w:val="26"/>
          <w:lang w:val="es-MX" w:eastAsia="es-MX"/>
        </w:rPr>
        <w:t>a</w:t>
      </w:r>
      <w:r w:rsidR="00F736A9" w:rsidRPr="00AF5678">
        <w:rPr>
          <w:rFonts w:eastAsiaTheme="majorEastAsia"/>
          <w:sz w:val="26"/>
          <w:szCs w:val="26"/>
          <w:lang w:val="es-MX" w:eastAsia="es-MX"/>
        </w:rPr>
        <w:t xml:space="preserve"> razón jurídica, pues dicha determinación fue apegada a la legalidad y principios rectores de la función electoral, motivo por el cual considera que esta Sala Superior debe desestimar y desechar el recurso, al </w:t>
      </w:r>
      <w:r w:rsidR="00F736A9">
        <w:rPr>
          <w:rFonts w:eastAsiaTheme="majorEastAsia"/>
          <w:sz w:val="26"/>
          <w:szCs w:val="26"/>
          <w:lang w:val="es-MX" w:eastAsia="es-MX"/>
        </w:rPr>
        <w:t xml:space="preserve">ser </w:t>
      </w:r>
      <w:r w:rsidR="00F736A9" w:rsidRPr="00AF5678">
        <w:rPr>
          <w:rFonts w:eastAsiaTheme="majorEastAsia"/>
          <w:sz w:val="26"/>
          <w:szCs w:val="26"/>
          <w:lang w:val="es-MX" w:eastAsia="es-MX"/>
        </w:rPr>
        <w:t>frívolo e improcedente</w:t>
      </w:r>
      <w:r w:rsidR="00F736A9">
        <w:rPr>
          <w:rFonts w:eastAsiaTheme="majorEastAsia"/>
          <w:sz w:val="26"/>
          <w:szCs w:val="26"/>
          <w:lang w:val="es-MX" w:eastAsia="es-MX"/>
        </w:rPr>
        <w:t>.</w:t>
      </w:r>
    </w:p>
    <w:p w:rsidR="00B515AD" w:rsidRDefault="00B515AD" w:rsidP="00B515AD">
      <w:pPr>
        <w:spacing w:before="0" w:after="0"/>
        <w:rPr>
          <w:rFonts w:eastAsiaTheme="majorEastAsia"/>
          <w:sz w:val="26"/>
          <w:szCs w:val="26"/>
          <w:lang w:val="es-MX" w:eastAsia="es-MX"/>
        </w:rPr>
      </w:pPr>
    </w:p>
    <w:p w:rsidR="00F736A9" w:rsidRPr="00B515AD" w:rsidRDefault="00B515AD" w:rsidP="00B515AD">
      <w:pPr>
        <w:spacing w:before="0" w:after="0"/>
        <w:rPr>
          <w:rFonts w:eastAsiaTheme="majorEastAsia"/>
          <w:sz w:val="26"/>
          <w:szCs w:val="26"/>
          <w:lang w:val="es-MX" w:eastAsia="es-MX"/>
        </w:rPr>
      </w:pPr>
      <w:r w:rsidRPr="00B515AD">
        <w:rPr>
          <w:rFonts w:eastAsiaTheme="majorEastAsia"/>
          <w:sz w:val="26"/>
          <w:szCs w:val="26"/>
          <w:lang w:val="es-MX" w:eastAsia="es-MX"/>
        </w:rPr>
        <w:t>Esta Sala Superior estima que</w:t>
      </w:r>
      <w:r w:rsidR="00F736A9" w:rsidRPr="00B515AD">
        <w:rPr>
          <w:rFonts w:eastAsiaTheme="majorEastAsia"/>
          <w:sz w:val="26"/>
          <w:szCs w:val="26"/>
          <w:lang w:val="es-MX" w:eastAsia="es-MX"/>
        </w:rPr>
        <w:t xml:space="preserve"> la causa de improcedencia </w:t>
      </w:r>
      <w:r w:rsidRPr="00B515AD">
        <w:rPr>
          <w:rFonts w:eastAsiaTheme="majorEastAsia"/>
          <w:sz w:val="26"/>
          <w:szCs w:val="26"/>
          <w:lang w:val="es-MX" w:eastAsia="es-MX"/>
        </w:rPr>
        <w:t>es infundada</w:t>
      </w:r>
      <w:r w:rsidR="00F736A9" w:rsidRPr="00B515AD">
        <w:rPr>
          <w:rFonts w:eastAsiaTheme="majorEastAsia"/>
          <w:sz w:val="26"/>
          <w:szCs w:val="26"/>
          <w:lang w:val="es-MX" w:eastAsia="es-MX"/>
        </w:rPr>
        <w:t xml:space="preserve"> porque</w:t>
      </w:r>
      <w:r w:rsidRPr="00B515AD">
        <w:rPr>
          <w:rFonts w:eastAsiaTheme="majorEastAsia"/>
          <w:sz w:val="26"/>
          <w:szCs w:val="26"/>
          <w:lang w:val="es-MX" w:eastAsia="es-MX"/>
        </w:rPr>
        <w:t xml:space="preserve"> contrario a lo que argumenta dicha autoridad, </w:t>
      </w:r>
      <w:r w:rsidR="00F736A9" w:rsidRPr="00B515AD">
        <w:rPr>
          <w:rFonts w:eastAsiaTheme="majorEastAsia"/>
          <w:sz w:val="26"/>
          <w:szCs w:val="26"/>
          <w:lang w:val="es-MX" w:eastAsia="es-MX"/>
        </w:rPr>
        <w:t xml:space="preserve">la parte recurrente expone los argumentos que considera necesarios para controvertir </w:t>
      </w:r>
      <w:r>
        <w:rPr>
          <w:rFonts w:eastAsiaTheme="majorEastAsia"/>
          <w:sz w:val="26"/>
          <w:szCs w:val="26"/>
          <w:lang w:val="es-MX" w:eastAsia="es-MX"/>
        </w:rPr>
        <w:t>el desechamiento de su denuncia</w:t>
      </w:r>
      <w:r w:rsidR="00F736A9" w:rsidRPr="00B515AD">
        <w:rPr>
          <w:rFonts w:eastAsiaTheme="majorEastAsia"/>
          <w:sz w:val="26"/>
          <w:szCs w:val="26"/>
          <w:lang w:val="es-MX" w:eastAsia="es-MX"/>
        </w:rPr>
        <w:t>, señala los hechos que le causan agravios y las infracciones que pudieron ocurrir.</w:t>
      </w:r>
    </w:p>
    <w:p w:rsidR="00F736A9" w:rsidRPr="009A7D89" w:rsidRDefault="00F736A9" w:rsidP="00F736A9">
      <w:pPr>
        <w:keepNext/>
        <w:keepLines/>
        <w:spacing w:before="0" w:after="0"/>
        <w:outlineLvl w:val="1"/>
        <w:rPr>
          <w:rFonts w:eastAsiaTheme="majorEastAsia"/>
          <w:sz w:val="26"/>
          <w:szCs w:val="26"/>
          <w:lang w:val="es-MX" w:eastAsia="es-MX"/>
        </w:rPr>
      </w:pPr>
    </w:p>
    <w:p w:rsidR="00F736A9" w:rsidRPr="009A7D89" w:rsidRDefault="00F736A9" w:rsidP="00F736A9">
      <w:pPr>
        <w:keepNext/>
        <w:keepLines/>
        <w:spacing w:before="0" w:after="0"/>
        <w:outlineLvl w:val="1"/>
        <w:rPr>
          <w:rFonts w:eastAsiaTheme="majorEastAsia"/>
          <w:sz w:val="26"/>
          <w:szCs w:val="26"/>
          <w:lang w:val="es-MX" w:eastAsia="es-MX"/>
        </w:rPr>
      </w:pPr>
      <w:r w:rsidRPr="009A7D89">
        <w:rPr>
          <w:rFonts w:eastAsiaTheme="majorEastAsia"/>
          <w:sz w:val="26"/>
          <w:szCs w:val="26"/>
          <w:lang w:val="es-MX" w:eastAsia="es-MX"/>
        </w:rPr>
        <w:t>De manera que, no se advierte que el medio de impugnación resulte frívolo, porque</w:t>
      </w:r>
      <w:r w:rsidR="00B515AD">
        <w:rPr>
          <w:rFonts w:eastAsiaTheme="majorEastAsia"/>
          <w:sz w:val="26"/>
          <w:szCs w:val="26"/>
          <w:lang w:val="es-MX" w:eastAsia="es-MX"/>
        </w:rPr>
        <w:t xml:space="preserve"> en todo caso,</w:t>
      </w:r>
      <w:r w:rsidRPr="009A7D89">
        <w:rPr>
          <w:rFonts w:eastAsiaTheme="majorEastAsia"/>
          <w:sz w:val="26"/>
          <w:szCs w:val="26"/>
          <w:lang w:val="es-MX" w:eastAsia="es-MX"/>
        </w:rPr>
        <w:t xml:space="preserve"> </w:t>
      </w:r>
      <w:r w:rsidR="00B515AD">
        <w:rPr>
          <w:rFonts w:eastAsiaTheme="majorEastAsia"/>
          <w:sz w:val="26"/>
          <w:szCs w:val="26"/>
          <w:lang w:val="es-MX" w:eastAsia="es-MX"/>
        </w:rPr>
        <w:t xml:space="preserve">si el recurrente puede o no alcanzar las pretensiones jurídicas que plantea ello </w:t>
      </w:r>
      <w:r w:rsidRPr="009A7D89">
        <w:rPr>
          <w:rFonts w:eastAsiaTheme="majorEastAsia"/>
          <w:sz w:val="26"/>
          <w:szCs w:val="26"/>
          <w:lang w:val="es-MX" w:eastAsia="es-MX"/>
        </w:rPr>
        <w:t>es una cuestión que debe dilucidarse al resolver el fondo de la controversia y no en la etapa de improcedencia del recurso.</w:t>
      </w:r>
    </w:p>
    <w:p w:rsidR="00F736A9" w:rsidRPr="009A7D89" w:rsidRDefault="00F736A9" w:rsidP="00F736A9">
      <w:pPr>
        <w:keepNext/>
        <w:keepLines/>
        <w:spacing w:before="0" w:after="0"/>
        <w:outlineLvl w:val="1"/>
        <w:rPr>
          <w:rFonts w:eastAsiaTheme="majorEastAsia"/>
          <w:sz w:val="26"/>
          <w:szCs w:val="26"/>
          <w:lang w:val="es-MX" w:eastAsia="es-MX"/>
        </w:rPr>
      </w:pPr>
    </w:p>
    <w:p w:rsidR="00F736A9" w:rsidRPr="00AF5678" w:rsidRDefault="00F736A9" w:rsidP="00F736A9">
      <w:pPr>
        <w:spacing w:before="0" w:after="0"/>
        <w:rPr>
          <w:sz w:val="26"/>
          <w:szCs w:val="26"/>
          <w:lang w:val="es-MX" w:eastAsia="es-MX"/>
        </w:rPr>
      </w:pPr>
      <w:r w:rsidRPr="009A7D89">
        <w:rPr>
          <w:rFonts w:eastAsiaTheme="majorEastAsia"/>
          <w:sz w:val="26"/>
          <w:szCs w:val="26"/>
          <w:lang w:val="es-MX" w:eastAsia="es-MX"/>
        </w:rPr>
        <w:t xml:space="preserve">Resulta aplicable, en lo conducente, la jurisprudencia </w:t>
      </w:r>
      <w:r w:rsidRPr="00887052">
        <w:rPr>
          <w:rFonts w:eastAsiaTheme="majorEastAsia"/>
          <w:b/>
          <w:sz w:val="26"/>
          <w:szCs w:val="26"/>
          <w:lang w:val="es-MX" w:eastAsia="es-MX"/>
        </w:rPr>
        <w:t>33/2002</w:t>
      </w:r>
      <w:r w:rsidRPr="009A7D89">
        <w:rPr>
          <w:rFonts w:eastAsiaTheme="majorEastAsia"/>
          <w:sz w:val="26"/>
          <w:szCs w:val="26"/>
          <w:lang w:val="es-MX" w:eastAsia="es-MX"/>
        </w:rPr>
        <w:t>, de esta Sala Superior que cuenta con el rubro: “</w:t>
      </w:r>
      <w:r w:rsidRPr="00887052">
        <w:rPr>
          <w:rFonts w:eastAsiaTheme="majorEastAsia"/>
          <w:b/>
          <w:sz w:val="26"/>
          <w:szCs w:val="26"/>
          <w:lang w:val="es-MX" w:eastAsia="es-MX"/>
        </w:rPr>
        <w:t>FRIVOLIDAD CONSTATADA AL EXAMINAR EL FONDO DE UN MEDIO DE IMPUGNACIÓN. PUEDE DAR LUGAR A UNA SANCIÓN AL PROMOVENTE</w:t>
      </w:r>
      <w:r w:rsidRPr="009A7D89">
        <w:rPr>
          <w:rFonts w:eastAsiaTheme="majorEastAsia"/>
          <w:sz w:val="26"/>
          <w:szCs w:val="26"/>
          <w:lang w:val="es-MX" w:eastAsia="es-MX"/>
        </w:rPr>
        <w:t>”.</w:t>
      </w:r>
    </w:p>
    <w:p w:rsidR="00F736A9" w:rsidRDefault="00F736A9" w:rsidP="00AF5678">
      <w:pPr>
        <w:spacing w:before="0" w:after="0"/>
        <w:rPr>
          <w:sz w:val="26"/>
          <w:szCs w:val="26"/>
          <w:lang w:val="es-MX" w:eastAsia="es-MX"/>
        </w:rPr>
      </w:pPr>
    </w:p>
    <w:p w:rsidR="00A46620" w:rsidRDefault="00B515AD" w:rsidP="00AF5678">
      <w:pPr>
        <w:spacing w:before="0" w:after="0"/>
        <w:rPr>
          <w:sz w:val="26"/>
          <w:szCs w:val="26"/>
          <w:lang w:val="es-MX" w:eastAsia="es-MX"/>
        </w:rPr>
      </w:pPr>
      <w:r>
        <w:rPr>
          <w:b/>
          <w:sz w:val="26"/>
          <w:szCs w:val="26"/>
          <w:lang w:val="es-MX" w:eastAsia="es-MX"/>
        </w:rPr>
        <w:lastRenderedPageBreak/>
        <w:t>3</w:t>
      </w:r>
      <w:r w:rsidR="00F736A9" w:rsidRPr="00F736A9">
        <w:rPr>
          <w:b/>
          <w:sz w:val="26"/>
          <w:szCs w:val="26"/>
          <w:lang w:val="es-MX" w:eastAsia="es-MX"/>
        </w:rPr>
        <w:t xml:space="preserve">. </w:t>
      </w:r>
      <w:r>
        <w:rPr>
          <w:b/>
          <w:sz w:val="26"/>
          <w:szCs w:val="26"/>
          <w:lang w:val="es-MX" w:eastAsia="es-MX"/>
        </w:rPr>
        <w:t xml:space="preserve">Requisitos de procedencia. </w:t>
      </w:r>
      <w:r w:rsidR="000221A1" w:rsidRPr="00AF5678">
        <w:rPr>
          <w:sz w:val="26"/>
          <w:szCs w:val="26"/>
          <w:lang w:val="es-MX" w:eastAsia="es-MX"/>
        </w:rPr>
        <w:t>El recurso de revisión del procedimiento especial sancionador al rubro indicado, reúne los requisitos previstos en los artículos 8, párrafo 1; 9, párrafo 1; 45, párrafo 1, inciso b); 109, párrafo 3</w:t>
      </w:r>
      <w:r w:rsidR="00F736A9">
        <w:rPr>
          <w:sz w:val="26"/>
          <w:szCs w:val="26"/>
          <w:lang w:val="es-MX" w:eastAsia="es-MX"/>
        </w:rPr>
        <w:t>,</w:t>
      </w:r>
      <w:r w:rsidR="000221A1" w:rsidRPr="00AF5678">
        <w:rPr>
          <w:sz w:val="26"/>
          <w:szCs w:val="26"/>
          <w:lang w:val="es-MX" w:eastAsia="es-MX"/>
        </w:rPr>
        <w:t xml:space="preserve"> y 110, de la Ley General del Sistema de Medios de Impugnación en Materia Electoral.</w:t>
      </w:r>
    </w:p>
    <w:p w:rsidR="00AF5678" w:rsidRPr="00AF5678" w:rsidRDefault="00AF5678" w:rsidP="00AF5678">
      <w:pPr>
        <w:spacing w:before="0" w:after="0"/>
        <w:rPr>
          <w:sz w:val="26"/>
          <w:szCs w:val="26"/>
          <w:lang w:val="es-MX" w:eastAsia="es-MX"/>
        </w:rPr>
      </w:pPr>
    </w:p>
    <w:p w:rsidR="001776DE" w:rsidRDefault="000221A1" w:rsidP="00AF5678">
      <w:pPr>
        <w:spacing w:before="0" w:after="0"/>
        <w:rPr>
          <w:sz w:val="26"/>
          <w:szCs w:val="26"/>
          <w:lang w:val="es-MX" w:eastAsia="es-MX"/>
        </w:rPr>
      </w:pPr>
      <w:r w:rsidRPr="00AF5678">
        <w:rPr>
          <w:b/>
          <w:sz w:val="26"/>
          <w:szCs w:val="26"/>
          <w:lang w:val="es-MX" w:eastAsia="es-MX"/>
        </w:rPr>
        <w:t>a. Forma.</w:t>
      </w:r>
      <w:r w:rsidRPr="00AF5678">
        <w:rPr>
          <w:sz w:val="26"/>
          <w:szCs w:val="26"/>
          <w:lang w:val="es-MX" w:eastAsia="es-MX"/>
        </w:rPr>
        <w:t xml:space="preserve"> </w:t>
      </w:r>
      <w:r w:rsidR="00E35DAD">
        <w:rPr>
          <w:sz w:val="26"/>
          <w:szCs w:val="26"/>
          <w:lang w:val="es-MX" w:eastAsia="es-MX"/>
        </w:rPr>
        <w:t>El medio</w:t>
      </w:r>
      <w:r w:rsidRPr="00AF5678">
        <w:rPr>
          <w:sz w:val="26"/>
          <w:szCs w:val="26"/>
          <w:lang w:val="es-MX" w:eastAsia="es-MX"/>
        </w:rPr>
        <w:t xml:space="preserve"> se presentó por escrito ante la autoridad señalada como responsable</w:t>
      </w:r>
      <w:r w:rsidR="006A77F5" w:rsidRPr="00AF5678">
        <w:rPr>
          <w:sz w:val="26"/>
          <w:szCs w:val="26"/>
          <w:lang w:val="es-MX" w:eastAsia="es-MX"/>
        </w:rPr>
        <w:t>;</w:t>
      </w:r>
      <w:r w:rsidRPr="00AF5678">
        <w:rPr>
          <w:sz w:val="26"/>
          <w:szCs w:val="26"/>
          <w:lang w:val="es-MX" w:eastAsia="es-MX"/>
        </w:rPr>
        <w:t xml:space="preserve"> en ella se hace constar el nombre y firma autógrafa de</w:t>
      </w:r>
      <w:r w:rsidR="00F736A9">
        <w:rPr>
          <w:sz w:val="26"/>
          <w:szCs w:val="26"/>
          <w:lang w:val="es-MX" w:eastAsia="es-MX"/>
        </w:rPr>
        <w:t xml:space="preserve"> representante del partido</w:t>
      </w:r>
      <w:r w:rsidRPr="00AF5678">
        <w:rPr>
          <w:sz w:val="26"/>
          <w:szCs w:val="26"/>
          <w:lang w:val="es-MX" w:eastAsia="es-MX"/>
        </w:rPr>
        <w:t>, se identifica</w:t>
      </w:r>
      <w:r w:rsidR="0062306A" w:rsidRPr="00AF5678">
        <w:rPr>
          <w:sz w:val="26"/>
          <w:szCs w:val="26"/>
          <w:lang w:val="es-MX" w:eastAsia="es-MX"/>
        </w:rPr>
        <w:t xml:space="preserve"> el acuerdo </w:t>
      </w:r>
      <w:r w:rsidRPr="00AF5678">
        <w:rPr>
          <w:sz w:val="26"/>
          <w:szCs w:val="26"/>
          <w:lang w:val="es-MX" w:eastAsia="es-MX"/>
        </w:rPr>
        <w:t>controvertid</w:t>
      </w:r>
      <w:r w:rsidR="0062306A" w:rsidRPr="00AF5678">
        <w:rPr>
          <w:sz w:val="26"/>
          <w:szCs w:val="26"/>
          <w:lang w:val="es-MX" w:eastAsia="es-MX"/>
        </w:rPr>
        <w:t>o</w:t>
      </w:r>
      <w:r w:rsidRPr="00AF5678">
        <w:rPr>
          <w:sz w:val="26"/>
          <w:szCs w:val="26"/>
          <w:lang w:val="es-MX" w:eastAsia="es-MX"/>
        </w:rPr>
        <w:t>, se mencionan los hechos</w:t>
      </w:r>
      <w:r w:rsidR="0062306A" w:rsidRPr="00AF5678">
        <w:rPr>
          <w:sz w:val="26"/>
          <w:szCs w:val="26"/>
          <w:lang w:val="es-MX" w:eastAsia="es-MX"/>
        </w:rPr>
        <w:t xml:space="preserve"> y agravios </w:t>
      </w:r>
      <w:r w:rsidRPr="00AF5678">
        <w:rPr>
          <w:sz w:val="26"/>
          <w:szCs w:val="26"/>
          <w:lang w:val="es-MX" w:eastAsia="es-MX"/>
        </w:rPr>
        <w:t xml:space="preserve">en que se basa la impugnación, </w:t>
      </w:r>
      <w:r w:rsidR="0062306A" w:rsidRPr="00AF5678">
        <w:rPr>
          <w:sz w:val="26"/>
          <w:szCs w:val="26"/>
          <w:lang w:val="es-MX" w:eastAsia="es-MX"/>
        </w:rPr>
        <w:t xml:space="preserve">así como </w:t>
      </w:r>
      <w:r w:rsidRPr="00AF5678">
        <w:rPr>
          <w:sz w:val="26"/>
          <w:szCs w:val="26"/>
          <w:lang w:val="es-MX" w:eastAsia="es-MX"/>
        </w:rPr>
        <w:t xml:space="preserve">los preceptos presuntamente violados. </w:t>
      </w:r>
    </w:p>
    <w:p w:rsidR="00AF5678" w:rsidRPr="00AF5678" w:rsidRDefault="00AF5678" w:rsidP="00AF5678">
      <w:pPr>
        <w:spacing w:before="0" w:after="0"/>
        <w:rPr>
          <w:sz w:val="26"/>
          <w:szCs w:val="26"/>
        </w:rPr>
      </w:pPr>
    </w:p>
    <w:p w:rsidR="00A46620" w:rsidRDefault="000221A1" w:rsidP="00AF5678">
      <w:pPr>
        <w:spacing w:before="0" w:after="0"/>
        <w:rPr>
          <w:sz w:val="26"/>
          <w:szCs w:val="26"/>
          <w:lang w:val="es-MX" w:eastAsia="es-MX"/>
        </w:rPr>
      </w:pPr>
      <w:r w:rsidRPr="00AF5678">
        <w:rPr>
          <w:b/>
          <w:sz w:val="26"/>
          <w:szCs w:val="26"/>
          <w:lang w:val="es-MX" w:eastAsia="es-MX"/>
        </w:rPr>
        <w:t xml:space="preserve">b. Oportunidad. </w:t>
      </w:r>
      <w:r w:rsidR="007D1B1B" w:rsidRPr="00AF5678">
        <w:rPr>
          <w:sz w:val="26"/>
          <w:szCs w:val="26"/>
          <w:lang w:val="es-MX" w:eastAsia="es-MX"/>
        </w:rPr>
        <w:t xml:space="preserve">Toda vez que a través del acuerdo impugnado se desechó </w:t>
      </w:r>
      <w:r w:rsidR="00E35DAD">
        <w:rPr>
          <w:sz w:val="26"/>
          <w:szCs w:val="26"/>
          <w:lang w:val="es-MX" w:eastAsia="es-MX"/>
        </w:rPr>
        <w:t xml:space="preserve">de plano </w:t>
      </w:r>
      <w:r w:rsidR="007D1B1B" w:rsidRPr="00AF5678">
        <w:rPr>
          <w:sz w:val="26"/>
          <w:szCs w:val="26"/>
          <w:lang w:val="es-MX" w:eastAsia="es-MX"/>
        </w:rPr>
        <w:t>la queja en un procedimiento especial sancionador, el recurso se interpuso dentro del plazo de cuatro días</w:t>
      </w:r>
      <w:r w:rsidR="006A77F5" w:rsidRPr="00AF5678">
        <w:rPr>
          <w:sz w:val="26"/>
          <w:szCs w:val="26"/>
          <w:lang w:val="es-MX" w:eastAsia="es-MX"/>
        </w:rPr>
        <w:t xml:space="preserve">, conforme con </w:t>
      </w:r>
      <w:r w:rsidR="007D1B1B" w:rsidRPr="00AF5678">
        <w:rPr>
          <w:sz w:val="26"/>
          <w:szCs w:val="26"/>
          <w:lang w:val="es-MX" w:eastAsia="es-MX"/>
        </w:rPr>
        <w:t xml:space="preserve">la jurisprudencia </w:t>
      </w:r>
      <w:r w:rsidR="007D1B1B" w:rsidRPr="00AF5678">
        <w:rPr>
          <w:b/>
          <w:sz w:val="26"/>
          <w:szCs w:val="26"/>
          <w:lang w:val="es-MX" w:eastAsia="es-MX"/>
        </w:rPr>
        <w:t>11/2016</w:t>
      </w:r>
      <w:r w:rsidR="007D1B1B" w:rsidRPr="00AF5678">
        <w:rPr>
          <w:sz w:val="26"/>
          <w:szCs w:val="26"/>
          <w:lang w:val="es-MX" w:eastAsia="es-MX"/>
        </w:rPr>
        <w:t xml:space="preserve"> de esta Sala Superior, de rubro: “</w:t>
      </w:r>
      <w:r w:rsidR="007D1B1B" w:rsidRPr="00AF5678">
        <w:rPr>
          <w:b/>
          <w:sz w:val="26"/>
          <w:szCs w:val="26"/>
          <w:lang w:val="es-MX" w:eastAsia="es-MX"/>
        </w:rPr>
        <w:t>RECURSO DE REVISIÓN DEL PROCEDIMIENTO ESPECIAL SANCIONADOR. EL PLAZO PARA IMPUGNAR LOS ACUERDOS DE DESECHAMIENTO O INCOMPETENCIA PARA CONOCER DE LA DENUNCIA ES DE CUATRO DÍAS</w:t>
      </w:r>
      <w:r w:rsidR="007D1B1B" w:rsidRPr="00AF5678">
        <w:rPr>
          <w:sz w:val="26"/>
          <w:szCs w:val="26"/>
          <w:lang w:val="es-MX" w:eastAsia="es-MX"/>
        </w:rPr>
        <w:t xml:space="preserve">”, como se demuestra a continuación: </w:t>
      </w:r>
    </w:p>
    <w:p w:rsidR="00AF5678" w:rsidRPr="00AF5678" w:rsidRDefault="00AF5678" w:rsidP="00AF5678">
      <w:pPr>
        <w:spacing w:before="0" w:after="0"/>
        <w:rPr>
          <w:sz w:val="26"/>
          <w:szCs w:val="26"/>
          <w:lang w:val="es-MX" w:eastAsia="es-MX"/>
        </w:rPr>
      </w:pPr>
    </w:p>
    <w:p w:rsidR="00A46620" w:rsidRDefault="000221A1" w:rsidP="00AF5678">
      <w:pPr>
        <w:spacing w:before="0" w:after="0"/>
        <w:rPr>
          <w:sz w:val="26"/>
          <w:szCs w:val="26"/>
          <w:lang w:val="es-MX" w:eastAsia="es-MX"/>
        </w:rPr>
      </w:pPr>
      <w:r w:rsidRPr="00AF5678">
        <w:rPr>
          <w:sz w:val="26"/>
          <w:szCs w:val="26"/>
          <w:lang w:val="es-MX" w:eastAsia="es-MX"/>
        </w:rPr>
        <w:t xml:space="preserve">El </w:t>
      </w:r>
      <w:r w:rsidR="007D1B1B" w:rsidRPr="00AF5678">
        <w:rPr>
          <w:sz w:val="26"/>
          <w:szCs w:val="26"/>
          <w:lang w:val="es-MX" w:eastAsia="es-MX"/>
        </w:rPr>
        <w:t xml:space="preserve">acuerdo </w:t>
      </w:r>
      <w:r w:rsidR="001776DE" w:rsidRPr="00AF5678">
        <w:rPr>
          <w:sz w:val="26"/>
          <w:szCs w:val="26"/>
          <w:lang w:val="es-MX" w:eastAsia="es-MX"/>
        </w:rPr>
        <w:t xml:space="preserve">impugnado </w:t>
      </w:r>
      <w:r w:rsidR="007D1B1B" w:rsidRPr="00AF5678">
        <w:rPr>
          <w:sz w:val="26"/>
          <w:szCs w:val="26"/>
          <w:lang w:val="es-MX" w:eastAsia="es-MX"/>
        </w:rPr>
        <w:t xml:space="preserve">se emitió el </w:t>
      </w:r>
      <w:r w:rsidR="00CB7F20" w:rsidRPr="00AF5678">
        <w:rPr>
          <w:sz w:val="26"/>
          <w:szCs w:val="26"/>
          <w:lang w:val="es-MX" w:eastAsia="es-MX"/>
        </w:rPr>
        <w:t xml:space="preserve">cinco de junio </w:t>
      </w:r>
      <w:r w:rsidR="007D1B1B" w:rsidRPr="00AF5678">
        <w:rPr>
          <w:sz w:val="26"/>
          <w:szCs w:val="26"/>
          <w:lang w:val="es-MX" w:eastAsia="es-MX"/>
        </w:rPr>
        <w:t xml:space="preserve">de dos mil dieciocho y se notificó </w:t>
      </w:r>
      <w:r w:rsidRPr="00AF5678">
        <w:rPr>
          <w:sz w:val="26"/>
          <w:szCs w:val="26"/>
          <w:lang w:val="es-MX" w:eastAsia="es-MX"/>
        </w:rPr>
        <w:t xml:space="preserve">el </w:t>
      </w:r>
      <w:r w:rsidR="00CB7F20" w:rsidRPr="00AF5678">
        <w:rPr>
          <w:sz w:val="26"/>
          <w:szCs w:val="26"/>
          <w:lang w:val="es-MX" w:eastAsia="es-MX"/>
        </w:rPr>
        <w:t xml:space="preserve">cinco </w:t>
      </w:r>
      <w:r w:rsidR="007D1B1B" w:rsidRPr="00AF5678">
        <w:rPr>
          <w:sz w:val="26"/>
          <w:szCs w:val="26"/>
          <w:lang w:val="es-MX" w:eastAsia="es-MX"/>
        </w:rPr>
        <w:t>del mismo mes, por lo que</w:t>
      </w:r>
      <w:r w:rsidR="006A77F5" w:rsidRPr="00AF5678">
        <w:rPr>
          <w:sz w:val="26"/>
          <w:szCs w:val="26"/>
          <w:lang w:val="es-MX" w:eastAsia="es-MX"/>
        </w:rPr>
        <w:t>,</w:t>
      </w:r>
      <w:r w:rsidR="007D1B1B" w:rsidRPr="00AF5678">
        <w:rPr>
          <w:sz w:val="26"/>
          <w:szCs w:val="26"/>
          <w:lang w:val="es-MX" w:eastAsia="es-MX"/>
        </w:rPr>
        <w:t xml:space="preserve"> el referido </w:t>
      </w:r>
      <w:r w:rsidRPr="00AF5678">
        <w:rPr>
          <w:sz w:val="26"/>
          <w:szCs w:val="26"/>
          <w:lang w:val="es-MX" w:eastAsia="es-MX"/>
        </w:rPr>
        <w:t xml:space="preserve">plazo de cuatro días </w:t>
      </w:r>
      <w:r w:rsidR="007D1B1B" w:rsidRPr="00AF5678">
        <w:rPr>
          <w:sz w:val="26"/>
          <w:szCs w:val="26"/>
          <w:lang w:val="es-MX" w:eastAsia="es-MX"/>
        </w:rPr>
        <w:t xml:space="preserve">transcurrió del </w:t>
      </w:r>
      <w:r w:rsidR="00CB7F20" w:rsidRPr="00AF5678">
        <w:rPr>
          <w:sz w:val="26"/>
          <w:szCs w:val="26"/>
          <w:lang w:val="es-MX" w:eastAsia="es-MX"/>
        </w:rPr>
        <w:t xml:space="preserve">seis </w:t>
      </w:r>
      <w:r w:rsidR="007D1B1B" w:rsidRPr="00AF5678">
        <w:rPr>
          <w:sz w:val="26"/>
          <w:szCs w:val="26"/>
          <w:lang w:val="es-MX" w:eastAsia="es-MX"/>
        </w:rPr>
        <w:t xml:space="preserve">al </w:t>
      </w:r>
      <w:r w:rsidR="00CB7F20" w:rsidRPr="00AF5678">
        <w:rPr>
          <w:sz w:val="26"/>
          <w:szCs w:val="26"/>
          <w:lang w:val="es-MX" w:eastAsia="es-MX"/>
        </w:rPr>
        <w:t xml:space="preserve">nueve </w:t>
      </w:r>
      <w:r w:rsidR="007D1B1B" w:rsidRPr="00AF5678">
        <w:rPr>
          <w:sz w:val="26"/>
          <w:szCs w:val="26"/>
          <w:lang w:val="es-MX" w:eastAsia="es-MX"/>
        </w:rPr>
        <w:t xml:space="preserve">de </w:t>
      </w:r>
      <w:r w:rsidR="00CB7F20" w:rsidRPr="00AF5678">
        <w:rPr>
          <w:sz w:val="26"/>
          <w:szCs w:val="26"/>
          <w:lang w:val="es-MX" w:eastAsia="es-MX"/>
        </w:rPr>
        <w:t xml:space="preserve">junio </w:t>
      </w:r>
      <w:r w:rsidR="007D1B1B" w:rsidRPr="00AF5678">
        <w:rPr>
          <w:sz w:val="26"/>
          <w:szCs w:val="26"/>
          <w:lang w:val="es-MX" w:eastAsia="es-MX"/>
        </w:rPr>
        <w:t>del año en curso, siendo hábiles todos los días, de conformidad con lo previsto en el artículo 7, numeral 1,</w:t>
      </w:r>
      <w:r w:rsidRPr="00AF5678">
        <w:rPr>
          <w:sz w:val="26"/>
          <w:szCs w:val="26"/>
          <w:lang w:val="es-MX" w:eastAsia="es-MX"/>
        </w:rPr>
        <w:t xml:space="preserve"> de la Ley General del Sistema de Impugnación en Materia Electoral</w:t>
      </w:r>
      <w:r w:rsidR="006A77F5" w:rsidRPr="00AF5678">
        <w:rPr>
          <w:sz w:val="26"/>
          <w:szCs w:val="26"/>
          <w:lang w:val="es-MX" w:eastAsia="es-MX"/>
        </w:rPr>
        <w:t>.</w:t>
      </w:r>
    </w:p>
    <w:p w:rsidR="002C47AD" w:rsidRDefault="002C47AD" w:rsidP="00AF5678">
      <w:pPr>
        <w:spacing w:before="0" w:after="0"/>
        <w:rPr>
          <w:sz w:val="26"/>
          <w:szCs w:val="26"/>
          <w:lang w:val="es-MX" w:eastAsia="es-MX"/>
        </w:rPr>
      </w:pPr>
    </w:p>
    <w:p w:rsidR="007D1B1B" w:rsidRDefault="007D1B1B" w:rsidP="00AF5678">
      <w:pPr>
        <w:spacing w:before="0" w:after="0"/>
        <w:rPr>
          <w:sz w:val="26"/>
          <w:szCs w:val="26"/>
          <w:lang w:val="es-MX" w:eastAsia="es-MX"/>
        </w:rPr>
      </w:pPr>
      <w:r w:rsidRPr="00AF5678">
        <w:rPr>
          <w:sz w:val="26"/>
          <w:szCs w:val="26"/>
          <w:lang w:val="es-MX" w:eastAsia="es-MX"/>
        </w:rPr>
        <w:t xml:space="preserve">Por lo que, si el medio de impugnación se presentó el </w:t>
      </w:r>
      <w:r w:rsidR="00CB7F20" w:rsidRPr="00AF5678">
        <w:rPr>
          <w:sz w:val="26"/>
          <w:szCs w:val="26"/>
          <w:lang w:val="es-MX" w:eastAsia="es-MX"/>
        </w:rPr>
        <w:t>ocho de junio</w:t>
      </w:r>
      <w:r w:rsidRPr="00AF5678">
        <w:rPr>
          <w:sz w:val="26"/>
          <w:szCs w:val="26"/>
          <w:lang w:val="es-MX" w:eastAsia="es-MX"/>
        </w:rPr>
        <w:t xml:space="preserve">, su </w:t>
      </w:r>
      <w:r w:rsidR="00E35DAD">
        <w:rPr>
          <w:sz w:val="26"/>
          <w:szCs w:val="26"/>
          <w:lang w:val="es-MX" w:eastAsia="es-MX"/>
        </w:rPr>
        <w:t xml:space="preserve">interposición </w:t>
      </w:r>
      <w:r w:rsidRPr="00AF5678">
        <w:rPr>
          <w:sz w:val="26"/>
          <w:szCs w:val="26"/>
          <w:lang w:val="es-MX" w:eastAsia="es-MX"/>
        </w:rPr>
        <w:t>resulta oportuna, como se evidencia a continuación:</w:t>
      </w:r>
    </w:p>
    <w:tbl>
      <w:tblPr>
        <w:tblStyle w:val="Tablaconcuadrcula"/>
        <w:tblW w:w="8124" w:type="dxa"/>
        <w:jc w:val="center"/>
        <w:tblLook w:val="04A0" w:firstRow="1" w:lastRow="0" w:firstColumn="1" w:lastColumn="0" w:noHBand="0" w:noVBand="1"/>
      </w:tblPr>
      <w:tblGrid>
        <w:gridCol w:w="1354"/>
        <w:gridCol w:w="1336"/>
        <w:gridCol w:w="1815"/>
        <w:gridCol w:w="1936"/>
        <w:gridCol w:w="1683"/>
      </w:tblGrid>
      <w:tr w:rsidR="00B9592B" w:rsidRPr="00D83EAC" w:rsidTr="00D83EAC">
        <w:trPr>
          <w:trHeight w:val="262"/>
          <w:jc w:val="center"/>
        </w:trPr>
        <w:tc>
          <w:tcPr>
            <w:tcW w:w="8124" w:type="dxa"/>
            <w:gridSpan w:val="5"/>
            <w:shd w:val="clear" w:color="auto" w:fill="BFBFBF" w:themeFill="background1" w:themeFillShade="BF"/>
          </w:tcPr>
          <w:p w:rsidR="00B9592B" w:rsidRPr="00D83EAC" w:rsidRDefault="00CB7F20" w:rsidP="00D83EAC">
            <w:pPr>
              <w:spacing w:before="0" w:after="0" w:line="240" w:lineRule="auto"/>
              <w:jc w:val="center"/>
              <w:rPr>
                <w:sz w:val="22"/>
                <w:szCs w:val="24"/>
                <w:lang w:val="es-MX" w:eastAsia="es-MX"/>
              </w:rPr>
            </w:pPr>
            <w:r>
              <w:rPr>
                <w:sz w:val="22"/>
                <w:szCs w:val="24"/>
                <w:lang w:val="es-MX" w:eastAsia="es-MX"/>
              </w:rPr>
              <w:lastRenderedPageBreak/>
              <w:t>JUNIO</w:t>
            </w:r>
          </w:p>
        </w:tc>
      </w:tr>
      <w:tr w:rsidR="00CE39CD" w:rsidRPr="00D83EAC" w:rsidTr="00D83EAC">
        <w:trPr>
          <w:trHeight w:val="434"/>
          <w:jc w:val="center"/>
        </w:trPr>
        <w:tc>
          <w:tcPr>
            <w:tcW w:w="1354" w:type="dxa"/>
            <w:shd w:val="clear" w:color="auto" w:fill="BFBFBF" w:themeFill="background1" w:themeFillShade="BF"/>
          </w:tcPr>
          <w:p w:rsidR="00B9592B" w:rsidRPr="00D83EAC" w:rsidRDefault="00CE39CD" w:rsidP="00D83EAC">
            <w:pPr>
              <w:spacing w:before="0" w:after="0" w:line="240" w:lineRule="auto"/>
              <w:jc w:val="center"/>
              <w:rPr>
                <w:sz w:val="22"/>
                <w:szCs w:val="24"/>
                <w:lang w:val="es-MX" w:eastAsia="es-MX"/>
              </w:rPr>
            </w:pPr>
            <w:r>
              <w:rPr>
                <w:sz w:val="22"/>
                <w:szCs w:val="24"/>
                <w:lang w:val="es-MX" w:eastAsia="es-MX"/>
              </w:rPr>
              <w:t>Martes</w:t>
            </w:r>
          </w:p>
          <w:p w:rsidR="005D694D" w:rsidRPr="00D83EAC" w:rsidRDefault="005D694D" w:rsidP="00D83EAC">
            <w:pPr>
              <w:spacing w:before="0" w:after="0" w:line="240" w:lineRule="auto"/>
              <w:jc w:val="center"/>
              <w:rPr>
                <w:sz w:val="22"/>
                <w:szCs w:val="24"/>
                <w:lang w:val="es-MX" w:eastAsia="es-MX"/>
              </w:rPr>
            </w:pPr>
          </w:p>
          <w:p w:rsidR="00B9592B" w:rsidRPr="00D83EAC" w:rsidRDefault="00CE39CD" w:rsidP="00D83EAC">
            <w:pPr>
              <w:spacing w:before="0" w:after="0" w:line="240" w:lineRule="auto"/>
              <w:jc w:val="center"/>
              <w:rPr>
                <w:sz w:val="22"/>
                <w:szCs w:val="24"/>
                <w:lang w:val="es-MX" w:eastAsia="es-MX"/>
              </w:rPr>
            </w:pPr>
            <w:r>
              <w:rPr>
                <w:sz w:val="22"/>
                <w:szCs w:val="24"/>
                <w:lang w:val="es-MX" w:eastAsia="es-MX"/>
              </w:rPr>
              <w:t>5</w:t>
            </w:r>
          </w:p>
        </w:tc>
        <w:tc>
          <w:tcPr>
            <w:tcW w:w="1336" w:type="dxa"/>
            <w:shd w:val="clear" w:color="auto" w:fill="BFBFBF" w:themeFill="background1" w:themeFillShade="BF"/>
          </w:tcPr>
          <w:p w:rsidR="00B9592B" w:rsidRPr="00D83EAC" w:rsidRDefault="00CE39CD" w:rsidP="00D83EAC">
            <w:pPr>
              <w:spacing w:before="0" w:after="0" w:line="240" w:lineRule="auto"/>
              <w:jc w:val="center"/>
              <w:rPr>
                <w:sz w:val="22"/>
                <w:szCs w:val="24"/>
                <w:lang w:val="es-MX" w:eastAsia="es-MX"/>
              </w:rPr>
            </w:pPr>
            <w:r>
              <w:rPr>
                <w:sz w:val="22"/>
                <w:szCs w:val="24"/>
                <w:lang w:val="es-MX" w:eastAsia="es-MX"/>
              </w:rPr>
              <w:t>Miércoles</w:t>
            </w:r>
          </w:p>
          <w:p w:rsidR="005D694D" w:rsidRPr="00D83EAC" w:rsidRDefault="005D694D" w:rsidP="00D83EAC">
            <w:pPr>
              <w:spacing w:before="0" w:after="0" w:line="240" w:lineRule="auto"/>
              <w:jc w:val="center"/>
              <w:rPr>
                <w:sz w:val="22"/>
                <w:szCs w:val="24"/>
                <w:lang w:val="es-MX" w:eastAsia="es-MX"/>
              </w:rPr>
            </w:pPr>
          </w:p>
          <w:p w:rsidR="00B9592B" w:rsidRPr="00D83EAC" w:rsidRDefault="00CE39CD" w:rsidP="00D83EAC">
            <w:pPr>
              <w:spacing w:before="0" w:after="0" w:line="240" w:lineRule="auto"/>
              <w:jc w:val="center"/>
              <w:rPr>
                <w:sz w:val="22"/>
                <w:szCs w:val="24"/>
                <w:lang w:val="es-MX" w:eastAsia="es-MX"/>
              </w:rPr>
            </w:pPr>
            <w:r>
              <w:rPr>
                <w:sz w:val="22"/>
                <w:szCs w:val="24"/>
                <w:lang w:val="es-MX" w:eastAsia="es-MX"/>
              </w:rPr>
              <w:t>6</w:t>
            </w:r>
          </w:p>
        </w:tc>
        <w:tc>
          <w:tcPr>
            <w:tcW w:w="1815" w:type="dxa"/>
            <w:shd w:val="clear" w:color="auto" w:fill="BFBFBF" w:themeFill="background1" w:themeFillShade="BF"/>
          </w:tcPr>
          <w:p w:rsidR="00B9592B" w:rsidRPr="00D83EAC" w:rsidRDefault="00CE39CD" w:rsidP="00D83EAC">
            <w:pPr>
              <w:spacing w:before="0" w:after="0" w:line="240" w:lineRule="auto"/>
              <w:jc w:val="center"/>
              <w:rPr>
                <w:sz w:val="22"/>
                <w:szCs w:val="24"/>
                <w:lang w:val="es-MX" w:eastAsia="es-MX"/>
              </w:rPr>
            </w:pPr>
            <w:r>
              <w:rPr>
                <w:sz w:val="22"/>
                <w:szCs w:val="24"/>
                <w:lang w:val="es-MX" w:eastAsia="es-MX"/>
              </w:rPr>
              <w:t>Jueves</w:t>
            </w:r>
          </w:p>
          <w:p w:rsidR="005D694D" w:rsidRPr="00D83EAC" w:rsidRDefault="005D694D" w:rsidP="00D83EAC">
            <w:pPr>
              <w:spacing w:before="0" w:after="0" w:line="240" w:lineRule="auto"/>
              <w:jc w:val="center"/>
              <w:rPr>
                <w:sz w:val="22"/>
                <w:szCs w:val="24"/>
                <w:lang w:val="es-MX" w:eastAsia="es-MX"/>
              </w:rPr>
            </w:pPr>
          </w:p>
          <w:p w:rsidR="00B9592B" w:rsidRPr="00D83EAC" w:rsidRDefault="00CE39CD" w:rsidP="00D83EAC">
            <w:pPr>
              <w:spacing w:before="0" w:after="0" w:line="240" w:lineRule="auto"/>
              <w:jc w:val="center"/>
              <w:rPr>
                <w:sz w:val="22"/>
                <w:szCs w:val="24"/>
                <w:lang w:val="es-MX" w:eastAsia="es-MX"/>
              </w:rPr>
            </w:pPr>
            <w:r>
              <w:rPr>
                <w:sz w:val="22"/>
                <w:szCs w:val="24"/>
                <w:lang w:val="es-MX" w:eastAsia="es-MX"/>
              </w:rPr>
              <w:t>7</w:t>
            </w:r>
          </w:p>
        </w:tc>
        <w:tc>
          <w:tcPr>
            <w:tcW w:w="1936" w:type="dxa"/>
            <w:shd w:val="clear" w:color="auto" w:fill="BFBFBF" w:themeFill="background1" w:themeFillShade="BF"/>
          </w:tcPr>
          <w:p w:rsidR="00B9592B" w:rsidRPr="00D83EAC" w:rsidRDefault="00CE39CD" w:rsidP="00D83EAC">
            <w:pPr>
              <w:spacing w:before="0" w:after="0" w:line="240" w:lineRule="auto"/>
              <w:jc w:val="center"/>
              <w:rPr>
                <w:sz w:val="22"/>
                <w:szCs w:val="24"/>
                <w:lang w:val="es-MX" w:eastAsia="es-MX"/>
              </w:rPr>
            </w:pPr>
            <w:r>
              <w:rPr>
                <w:sz w:val="22"/>
                <w:szCs w:val="24"/>
                <w:lang w:val="es-MX" w:eastAsia="es-MX"/>
              </w:rPr>
              <w:t>Viernes</w:t>
            </w:r>
          </w:p>
          <w:p w:rsidR="005D694D" w:rsidRPr="00D83EAC" w:rsidRDefault="005D694D" w:rsidP="00D83EAC">
            <w:pPr>
              <w:spacing w:before="0" w:after="0" w:line="240" w:lineRule="auto"/>
              <w:jc w:val="center"/>
              <w:rPr>
                <w:sz w:val="22"/>
                <w:szCs w:val="24"/>
                <w:lang w:val="es-MX" w:eastAsia="es-MX"/>
              </w:rPr>
            </w:pPr>
          </w:p>
          <w:p w:rsidR="00B9592B" w:rsidRPr="00D83EAC" w:rsidRDefault="00CE39CD" w:rsidP="00D83EAC">
            <w:pPr>
              <w:spacing w:before="0" w:after="0" w:line="240" w:lineRule="auto"/>
              <w:jc w:val="center"/>
              <w:rPr>
                <w:sz w:val="22"/>
                <w:szCs w:val="24"/>
                <w:lang w:val="es-MX" w:eastAsia="es-MX"/>
              </w:rPr>
            </w:pPr>
            <w:r>
              <w:rPr>
                <w:sz w:val="22"/>
                <w:szCs w:val="24"/>
                <w:lang w:val="es-MX" w:eastAsia="es-MX"/>
              </w:rPr>
              <w:t>8</w:t>
            </w:r>
          </w:p>
        </w:tc>
        <w:tc>
          <w:tcPr>
            <w:tcW w:w="1683" w:type="dxa"/>
            <w:shd w:val="clear" w:color="auto" w:fill="BFBFBF" w:themeFill="background1" w:themeFillShade="BF"/>
          </w:tcPr>
          <w:p w:rsidR="00B9592B" w:rsidRPr="00D83EAC" w:rsidRDefault="00CE39CD" w:rsidP="00D83EAC">
            <w:pPr>
              <w:spacing w:before="0" w:after="0" w:line="240" w:lineRule="auto"/>
              <w:jc w:val="center"/>
              <w:rPr>
                <w:sz w:val="22"/>
                <w:szCs w:val="24"/>
                <w:lang w:val="es-MX" w:eastAsia="es-MX"/>
              </w:rPr>
            </w:pPr>
            <w:r>
              <w:rPr>
                <w:sz w:val="22"/>
                <w:szCs w:val="24"/>
                <w:lang w:val="es-MX" w:eastAsia="es-MX"/>
              </w:rPr>
              <w:t>Sábado</w:t>
            </w:r>
          </w:p>
          <w:p w:rsidR="005D694D" w:rsidRPr="00D83EAC" w:rsidRDefault="005D694D" w:rsidP="00D83EAC">
            <w:pPr>
              <w:spacing w:before="0" w:after="0" w:line="240" w:lineRule="auto"/>
              <w:jc w:val="center"/>
              <w:rPr>
                <w:sz w:val="22"/>
                <w:szCs w:val="24"/>
                <w:lang w:val="es-MX" w:eastAsia="es-MX"/>
              </w:rPr>
            </w:pPr>
          </w:p>
          <w:p w:rsidR="00B9592B" w:rsidRPr="00D83EAC" w:rsidRDefault="00CE39CD" w:rsidP="00D83EAC">
            <w:pPr>
              <w:spacing w:before="0" w:after="0" w:line="240" w:lineRule="auto"/>
              <w:jc w:val="center"/>
              <w:rPr>
                <w:sz w:val="22"/>
                <w:szCs w:val="24"/>
                <w:lang w:val="es-MX" w:eastAsia="es-MX"/>
              </w:rPr>
            </w:pPr>
            <w:r>
              <w:rPr>
                <w:sz w:val="22"/>
                <w:szCs w:val="24"/>
                <w:lang w:val="es-MX" w:eastAsia="es-MX"/>
              </w:rPr>
              <w:t>9</w:t>
            </w:r>
          </w:p>
        </w:tc>
      </w:tr>
      <w:tr w:rsidR="005D694D" w:rsidRPr="00D83EAC" w:rsidTr="00D83EAC">
        <w:trPr>
          <w:trHeight w:val="463"/>
          <w:jc w:val="center"/>
        </w:trPr>
        <w:tc>
          <w:tcPr>
            <w:tcW w:w="1354" w:type="dxa"/>
          </w:tcPr>
          <w:p w:rsidR="00B9592B" w:rsidRPr="00D83EAC" w:rsidRDefault="00B9592B" w:rsidP="00D83EAC">
            <w:pPr>
              <w:spacing w:before="0" w:after="0" w:line="240" w:lineRule="auto"/>
              <w:jc w:val="center"/>
              <w:rPr>
                <w:sz w:val="22"/>
                <w:szCs w:val="24"/>
                <w:lang w:val="es-MX" w:eastAsia="es-MX"/>
              </w:rPr>
            </w:pPr>
            <w:r w:rsidRPr="00D83EAC">
              <w:rPr>
                <w:sz w:val="22"/>
                <w:szCs w:val="24"/>
                <w:lang w:val="es-MX" w:eastAsia="es-MX"/>
              </w:rPr>
              <w:t>Notificación del acuerdo impugnado</w:t>
            </w:r>
          </w:p>
        </w:tc>
        <w:tc>
          <w:tcPr>
            <w:tcW w:w="1336" w:type="dxa"/>
          </w:tcPr>
          <w:p w:rsidR="00B9592B" w:rsidRPr="00D83EAC" w:rsidRDefault="00B9592B" w:rsidP="00D83EAC">
            <w:pPr>
              <w:spacing w:before="0" w:after="0" w:line="240" w:lineRule="auto"/>
              <w:jc w:val="center"/>
              <w:rPr>
                <w:sz w:val="22"/>
                <w:szCs w:val="24"/>
                <w:lang w:val="es-MX" w:eastAsia="es-MX"/>
              </w:rPr>
            </w:pPr>
            <w:r w:rsidRPr="00D83EAC">
              <w:rPr>
                <w:sz w:val="22"/>
                <w:szCs w:val="24"/>
                <w:lang w:val="es-MX" w:eastAsia="es-MX"/>
              </w:rPr>
              <w:t>(1)</w:t>
            </w:r>
          </w:p>
        </w:tc>
        <w:tc>
          <w:tcPr>
            <w:tcW w:w="1815" w:type="dxa"/>
          </w:tcPr>
          <w:p w:rsidR="00B9592B" w:rsidRPr="00D83EAC" w:rsidRDefault="00B9592B" w:rsidP="00D83EAC">
            <w:pPr>
              <w:spacing w:before="0" w:after="0" w:line="240" w:lineRule="auto"/>
              <w:jc w:val="center"/>
              <w:rPr>
                <w:sz w:val="22"/>
                <w:szCs w:val="24"/>
                <w:lang w:val="es-MX" w:eastAsia="es-MX"/>
              </w:rPr>
            </w:pPr>
            <w:r w:rsidRPr="00D83EAC">
              <w:rPr>
                <w:sz w:val="22"/>
                <w:szCs w:val="24"/>
                <w:lang w:val="es-MX" w:eastAsia="es-MX"/>
              </w:rPr>
              <w:t>(2)</w:t>
            </w:r>
          </w:p>
        </w:tc>
        <w:tc>
          <w:tcPr>
            <w:tcW w:w="1936" w:type="dxa"/>
          </w:tcPr>
          <w:p w:rsidR="00B9592B" w:rsidRDefault="00B9592B" w:rsidP="00D83EAC">
            <w:pPr>
              <w:spacing w:before="0" w:after="0" w:line="240" w:lineRule="auto"/>
              <w:jc w:val="center"/>
              <w:rPr>
                <w:sz w:val="22"/>
                <w:szCs w:val="24"/>
                <w:lang w:val="es-MX" w:eastAsia="es-MX"/>
              </w:rPr>
            </w:pPr>
            <w:r w:rsidRPr="00D83EAC">
              <w:rPr>
                <w:sz w:val="22"/>
                <w:szCs w:val="24"/>
                <w:lang w:val="es-MX" w:eastAsia="es-MX"/>
              </w:rPr>
              <w:t>(3)</w:t>
            </w:r>
          </w:p>
          <w:p w:rsidR="00CE39CD" w:rsidRPr="00D83EAC" w:rsidRDefault="00CE39CD" w:rsidP="00D83EAC">
            <w:pPr>
              <w:spacing w:before="0" w:after="0" w:line="240" w:lineRule="auto"/>
              <w:jc w:val="center"/>
              <w:rPr>
                <w:sz w:val="22"/>
                <w:szCs w:val="24"/>
                <w:lang w:val="es-MX" w:eastAsia="es-MX"/>
              </w:rPr>
            </w:pPr>
            <w:r>
              <w:rPr>
                <w:sz w:val="22"/>
                <w:szCs w:val="24"/>
                <w:lang w:val="es-MX" w:eastAsia="es-MX"/>
              </w:rPr>
              <w:t>Interposición de recurso</w:t>
            </w:r>
          </w:p>
        </w:tc>
        <w:tc>
          <w:tcPr>
            <w:tcW w:w="1683" w:type="dxa"/>
          </w:tcPr>
          <w:p w:rsidR="00B9592B" w:rsidRPr="00D83EAC" w:rsidRDefault="00B9592B" w:rsidP="00D83EAC">
            <w:pPr>
              <w:spacing w:before="0" w:after="0" w:line="240" w:lineRule="auto"/>
              <w:jc w:val="center"/>
              <w:rPr>
                <w:sz w:val="22"/>
                <w:szCs w:val="24"/>
                <w:lang w:val="es-MX" w:eastAsia="es-MX"/>
              </w:rPr>
            </w:pPr>
            <w:r w:rsidRPr="00D83EAC">
              <w:rPr>
                <w:sz w:val="22"/>
                <w:szCs w:val="24"/>
                <w:lang w:val="es-MX" w:eastAsia="es-MX"/>
              </w:rPr>
              <w:t>(4)</w:t>
            </w:r>
          </w:p>
          <w:p w:rsidR="00B9592B" w:rsidRPr="00D83EAC" w:rsidRDefault="00CE39CD" w:rsidP="00D83EAC">
            <w:pPr>
              <w:spacing w:before="0" w:after="0" w:line="240" w:lineRule="auto"/>
              <w:jc w:val="center"/>
              <w:rPr>
                <w:sz w:val="22"/>
                <w:szCs w:val="24"/>
                <w:lang w:val="es-MX" w:eastAsia="es-MX"/>
              </w:rPr>
            </w:pPr>
            <w:r>
              <w:rPr>
                <w:sz w:val="22"/>
                <w:szCs w:val="24"/>
                <w:lang w:val="es-MX" w:eastAsia="es-MX"/>
              </w:rPr>
              <w:t>Vence el plazo</w:t>
            </w:r>
          </w:p>
        </w:tc>
      </w:tr>
    </w:tbl>
    <w:p w:rsidR="00AF5678" w:rsidRDefault="00AF5678" w:rsidP="00AF5678">
      <w:pPr>
        <w:spacing w:before="120" w:after="120"/>
        <w:rPr>
          <w:b/>
          <w:sz w:val="26"/>
          <w:szCs w:val="26"/>
          <w:lang w:val="es-MX" w:eastAsia="es-MX"/>
        </w:rPr>
      </w:pPr>
    </w:p>
    <w:p w:rsidR="002C47AD" w:rsidRDefault="0036036E" w:rsidP="00AF5678">
      <w:pPr>
        <w:spacing w:before="120" w:after="120"/>
        <w:rPr>
          <w:sz w:val="26"/>
          <w:szCs w:val="26"/>
          <w:lang w:val="es-MX" w:eastAsia="es-MX"/>
        </w:rPr>
      </w:pPr>
      <w:r w:rsidRPr="00AF5678">
        <w:rPr>
          <w:b/>
          <w:sz w:val="26"/>
          <w:szCs w:val="26"/>
          <w:lang w:val="es-MX" w:eastAsia="es-MX"/>
        </w:rPr>
        <w:t>c. Legitimación y personería.</w:t>
      </w:r>
      <w:r w:rsidRPr="00AF5678">
        <w:rPr>
          <w:sz w:val="26"/>
          <w:szCs w:val="26"/>
          <w:lang w:val="es-MX" w:eastAsia="es-MX"/>
        </w:rPr>
        <w:t xml:space="preserve"> Este requisito se encuentra satisfecho, toda vez que </w:t>
      </w:r>
      <w:r w:rsidR="00EB05A5">
        <w:rPr>
          <w:sz w:val="26"/>
          <w:szCs w:val="26"/>
          <w:lang w:val="es-MX" w:eastAsia="es-MX"/>
        </w:rPr>
        <w:t xml:space="preserve">el </w:t>
      </w:r>
      <w:r w:rsidR="0036154C" w:rsidRPr="00AF5678">
        <w:rPr>
          <w:sz w:val="26"/>
          <w:szCs w:val="26"/>
          <w:lang w:val="es-MX" w:eastAsia="es-MX"/>
        </w:rPr>
        <w:t>recurrente</w:t>
      </w:r>
      <w:r w:rsidR="00EB05A5">
        <w:rPr>
          <w:sz w:val="26"/>
          <w:szCs w:val="26"/>
          <w:lang w:val="es-MX" w:eastAsia="es-MX"/>
        </w:rPr>
        <w:t xml:space="preserve"> es el partido político que presentó la denuncia junto con la candidata agraviada; quine comparece por conducto del representante que denunció a su nombre. Esta </w:t>
      </w:r>
      <w:r w:rsidR="00E35DAD">
        <w:rPr>
          <w:sz w:val="26"/>
          <w:szCs w:val="26"/>
          <w:lang w:val="es-MX" w:eastAsia="es-MX"/>
        </w:rPr>
        <w:t xml:space="preserve">calidad </w:t>
      </w:r>
      <w:r w:rsidR="00EB05A5">
        <w:rPr>
          <w:sz w:val="26"/>
          <w:szCs w:val="26"/>
          <w:lang w:val="es-MX" w:eastAsia="es-MX"/>
        </w:rPr>
        <w:t>es</w:t>
      </w:r>
      <w:r w:rsidR="00E35DAD">
        <w:rPr>
          <w:sz w:val="26"/>
          <w:szCs w:val="26"/>
          <w:lang w:val="es-MX" w:eastAsia="es-MX"/>
        </w:rPr>
        <w:t xml:space="preserve"> reconocida en la propia resolución recurrida</w:t>
      </w:r>
      <w:r w:rsidR="00EB05A5">
        <w:rPr>
          <w:sz w:val="26"/>
          <w:szCs w:val="26"/>
          <w:lang w:val="es-MX" w:eastAsia="es-MX"/>
        </w:rPr>
        <w:t xml:space="preserve"> y en el informe circunstanciado</w:t>
      </w:r>
      <w:r w:rsidR="00E35DAD">
        <w:rPr>
          <w:sz w:val="26"/>
          <w:szCs w:val="26"/>
          <w:lang w:val="es-MX" w:eastAsia="es-MX"/>
        </w:rPr>
        <w:t>.</w:t>
      </w:r>
    </w:p>
    <w:p w:rsidR="002C47AD" w:rsidRDefault="002C47AD" w:rsidP="00AF5678">
      <w:pPr>
        <w:spacing w:before="120" w:after="120"/>
        <w:rPr>
          <w:b/>
          <w:sz w:val="26"/>
          <w:szCs w:val="26"/>
          <w:lang w:val="es-MX" w:eastAsia="es-MX"/>
        </w:rPr>
      </w:pPr>
    </w:p>
    <w:p w:rsidR="00A46620" w:rsidRDefault="00C200DF" w:rsidP="00AF5678">
      <w:pPr>
        <w:spacing w:before="120" w:after="120"/>
        <w:rPr>
          <w:sz w:val="26"/>
          <w:szCs w:val="26"/>
          <w:lang w:val="es-MX" w:eastAsia="es-MX"/>
        </w:rPr>
      </w:pPr>
      <w:r w:rsidRPr="00AF5678">
        <w:rPr>
          <w:b/>
          <w:sz w:val="26"/>
          <w:szCs w:val="26"/>
          <w:lang w:val="es-MX" w:eastAsia="es-MX"/>
        </w:rPr>
        <w:t>d</w:t>
      </w:r>
      <w:r w:rsidR="0036036E" w:rsidRPr="00AF5678">
        <w:rPr>
          <w:b/>
          <w:sz w:val="26"/>
          <w:szCs w:val="26"/>
          <w:lang w:val="es-MX" w:eastAsia="es-MX"/>
        </w:rPr>
        <w:t>. Interés jurídico.</w:t>
      </w:r>
      <w:r w:rsidR="0036036E" w:rsidRPr="00AF5678">
        <w:rPr>
          <w:sz w:val="26"/>
          <w:szCs w:val="26"/>
          <w:lang w:val="es-MX" w:eastAsia="es-MX"/>
        </w:rPr>
        <w:t xml:space="preserve"> </w:t>
      </w:r>
      <w:r w:rsidR="00CE39CD" w:rsidRPr="00AF5678">
        <w:rPr>
          <w:sz w:val="26"/>
          <w:szCs w:val="26"/>
          <w:lang w:val="es-MX" w:eastAsia="es-MX"/>
        </w:rPr>
        <w:t>El</w:t>
      </w:r>
      <w:r w:rsidR="000C7D2D" w:rsidRPr="00AF5678">
        <w:rPr>
          <w:sz w:val="26"/>
          <w:szCs w:val="26"/>
          <w:lang w:val="es-MX" w:eastAsia="es-MX"/>
        </w:rPr>
        <w:t xml:space="preserve"> </w:t>
      </w:r>
      <w:r w:rsidR="00DD7C52" w:rsidRPr="00AF5678">
        <w:rPr>
          <w:sz w:val="26"/>
          <w:szCs w:val="26"/>
          <w:lang w:val="es-MX" w:eastAsia="es-MX"/>
        </w:rPr>
        <w:t xml:space="preserve">recurrente cuenta con interés jurídico para interponer el recurso de revisión del procedimiento especial sancionador en que se actúa, ya que impugna la determinación que desecha la </w:t>
      </w:r>
      <w:r w:rsidR="00EB05A5">
        <w:rPr>
          <w:sz w:val="26"/>
          <w:szCs w:val="26"/>
          <w:lang w:val="es-MX" w:eastAsia="es-MX"/>
        </w:rPr>
        <w:t xml:space="preserve">denuncia que presentó </w:t>
      </w:r>
      <w:r w:rsidR="00E35DAD">
        <w:rPr>
          <w:sz w:val="26"/>
          <w:szCs w:val="26"/>
          <w:lang w:val="es-MX" w:eastAsia="es-MX"/>
        </w:rPr>
        <w:t>de forma conjunta</w:t>
      </w:r>
      <w:r w:rsidR="00DD7C52" w:rsidRPr="00AF5678">
        <w:rPr>
          <w:sz w:val="26"/>
          <w:szCs w:val="26"/>
          <w:lang w:val="es-MX" w:eastAsia="es-MX"/>
        </w:rPr>
        <w:t>.</w:t>
      </w:r>
    </w:p>
    <w:p w:rsidR="00AF5678" w:rsidRPr="00AF5678" w:rsidRDefault="00AF5678" w:rsidP="00AF5678">
      <w:pPr>
        <w:spacing w:before="120" w:after="120"/>
        <w:rPr>
          <w:sz w:val="26"/>
          <w:szCs w:val="26"/>
          <w:lang w:val="es-MX" w:eastAsia="es-MX"/>
        </w:rPr>
      </w:pPr>
    </w:p>
    <w:p w:rsidR="00A46620" w:rsidRDefault="0036036E" w:rsidP="00AF5678">
      <w:pPr>
        <w:spacing w:before="120" w:after="120"/>
        <w:rPr>
          <w:sz w:val="26"/>
          <w:szCs w:val="26"/>
          <w:lang w:val="es-MX" w:eastAsia="es-MX"/>
        </w:rPr>
      </w:pPr>
      <w:r w:rsidRPr="00AF5678">
        <w:rPr>
          <w:b/>
          <w:sz w:val="26"/>
          <w:szCs w:val="26"/>
          <w:lang w:val="es-MX" w:eastAsia="es-MX"/>
        </w:rPr>
        <w:t>e. Definitividad.</w:t>
      </w:r>
      <w:r w:rsidRPr="00AF5678">
        <w:rPr>
          <w:sz w:val="26"/>
          <w:szCs w:val="26"/>
          <w:lang w:val="es-MX" w:eastAsia="es-MX"/>
        </w:rPr>
        <w:t xml:space="preserve"> </w:t>
      </w:r>
      <w:r w:rsidR="00DD7C52" w:rsidRPr="00AF5678">
        <w:rPr>
          <w:sz w:val="26"/>
          <w:szCs w:val="26"/>
          <w:lang w:val="es-MX" w:eastAsia="es-MX"/>
        </w:rPr>
        <w:t>Esta Sala Superior advierte que no existe algún otro medio de impugnación que debiera agotarse por l</w:t>
      </w:r>
      <w:r w:rsidR="000C7D2D" w:rsidRPr="00AF5678">
        <w:rPr>
          <w:sz w:val="26"/>
          <w:szCs w:val="26"/>
          <w:lang w:val="es-MX" w:eastAsia="es-MX"/>
        </w:rPr>
        <w:t>a</w:t>
      </w:r>
      <w:r w:rsidR="00DD7C52" w:rsidRPr="00AF5678">
        <w:rPr>
          <w:sz w:val="26"/>
          <w:szCs w:val="26"/>
          <w:lang w:val="es-MX" w:eastAsia="es-MX"/>
        </w:rPr>
        <w:t xml:space="preserve"> recurrente antes de acudir a esta instancia federal, con lo cual debe tenerse satisfecho el requisito de procedencia bajo análisis.</w:t>
      </w:r>
    </w:p>
    <w:p w:rsidR="00BE212F" w:rsidRDefault="00BE212F" w:rsidP="00AF5678">
      <w:pPr>
        <w:spacing w:before="120" w:after="120"/>
        <w:rPr>
          <w:rFonts w:eastAsiaTheme="majorEastAsia"/>
          <w:b/>
          <w:sz w:val="26"/>
          <w:szCs w:val="26"/>
          <w:lang w:val="es-MX" w:eastAsia="es-MX"/>
        </w:rPr>
      </w:pPr>
    </w:p>
    <w:p w:rsidR="00A46620" w:rsidRDefault="00E8336C" w:rsidP="00AF5678">
      <w:pPr>
        <w:spacing w:before="120" w:after="120"/>
        <w:rPr>
          <w:sz w:val="26"/>
          <w:szCs w:val="26"/>
          <w:lang w:val="es-MX" w:eastAsia="es-MX"/>
        </w:rPr>
      </w:pPr>
      <w:r>
        <w:rPr>
          <w:rFonts w:eastAsiaTheme="majorEastAsia"/>
          <w:b/>
          <w:sz w:val="26"/>
          <w:szCs w:val="26"/>
          <w:lang w:val="es-MX" w:eastAsia="es-MX"/>
        </w:rPr>
        <w:t>4</w:t>
      </w:r>
      <w:r w:rsidR="0036036E" w:rsidRPr="00AF5678">
        <w:rPr>
          <w:rFonts w:eastAsiaTheme="majorEastAsia"/>
          <w:b/>
          <w:sz w:val="26"/>
          <w:szCs w:val="26"/>
          <w:lang w:val="es-MX" w:eastAsia="es-MX"/>
        </w:rPr>
        <w:t>. Hechos rel</w:t>
      </w:r>
      <w:r w:rsidR="00AF5678">
        <w:rPr>
          <w:rFonts w:eastAsiaTheme="majorEastAsia"/>
          <w:b/>
          <w:sz w:val="26"/>
          <w:szCs w:val="26"/>
          <w:lang w:val="es-MX" w:eastAsia="es-MX"/>
        </w:rPr>
        <w:t>evantes</w:t>
      </w:r>
      <w:r w:rsidR="00B515AD">
        <w:rPr>
          <w:rFonts w:eastAsiaTheme="majorEastAsia"/>
          <w:b/>
          <w:sz w:val="26"/>
          <w:szCs w:val="26"/>
          <w:lang w:val="es-MX" w:eastAsia="es-MX"/>
        </w:rPr>
        <w:t xml:space="preserve">. </w:t>
      </w:r>
      <w:r w:rsidR="0036036E" w:rsidRPr="00AF5678">
        <w:rPr>
          <w:sz w:val="26"/>
          <w:szCs w:val="26"/>
          <w:lang w:val="es-MX" w:eastAsia="es-MX"/>
        </w:rPr>
        <w:t xml:space="preserve">Los </w:t>
      </w:r>
      <w:r w:rsidR="00AF5678" w:rsidRPr="00AF5678">
        <w:rPr>
          <w:sz w:val="26"/>
          <w:szCs w:val="26"/>
          <w:lang w:val="es-MX" w:eastAsia="es-MX"/>
        </w:rPr>
        <w:t xml:space="preserve">hechos que dieron origen </w:t>
      </w:r>
      <w:r w:rsidR="008957F3" w:rsidRPr="00AF5678">
        <w:rPr>
          <w:sz w:val="26"/>
          <w:szCs w:val="26"/>
          <w:lang w:val="es-MX" w:eastAsia="es-MX"/>
        </w:rPr>
        <w:t>al</w:t>
      </w:r>
      <w:r w:rsidR="00C200DF" w:rsidRPr="00AF5678">
        <w:rPr>
          <w:sz w:val="26"/>
          <w:szCs w:val="26"/>
          <w:lang w:val="es-MX" w:eastAsia="es-MX"/>
        </w:rPr>
        <w:t xml:space="preserve"> acuerdo </w:t>
      </w:r>
      <w:r w:rsidR="00932ABD" w:rsidRPr="00AF5678">
        <w:rPr>
          <w:sz w:val="26"/>
          <w:szCs w:val="26"/>
          <w:lang w:val="es-MX" w:eastAsia="es-MX"/>
        </w:rPr>
        <w:t>recurrido</w:t>
      </w:r>
      <w:r w:rsidR="00F318EF" w:rsidRPr="00AF5678">
        <w:rPr>
          <w:sz w:val="26"/>
          <w:szCs w:val="26"/>
          <w:lang w:val="es-MX" w:eastAsia="es-MX"/>
        </w:rPr>
        <w:t xml:space="preserve"> son los </w:t>
      </w:r>
      <w:r w:rsidR="0036036E" w:rsidRPr="00AF5678">
        <w:rPr>
          <w:sz w:val="26"/>
          <w:szCs w:val="26"/>
          <w:lang w:val="es-MX" w:eastAsia="es-MX"/>
        </w:rPr>
        <w:t>siguientes:</w:t>
      </w:r>
    </w:p>
    <w:p w:rsidR="00F92AB0" w:rsidRPr="00AF5678" w:rsidRDefault="00F92AB0" w:rsidP="00AF5678">
      <w:pPr>
        <w:spacing w:before="120" w:after="120"/>
        <w:rPr>
          <w:sz w:val="26"/>
          <w:szCs w:val="26"/>
          <w:lang w:val="es-MX" w:eastAsia="es-MX"/>
        </w:rPr>
      </w:pPr>
    </w:p>
    <w:p w:rsidR="00A46620" w:rsidRDefault="00E8336C" w:rsidP="00F92AB0">
      <w:pPr>
        <w:spacing w:before="0" w:after="0"/>
        <w:rPr>
          <w:sz w:val="26"/>
          <w:szCs w:val="26"/>
          <w:lang w:val="es-MX" w:eastAsia="es-MX"/>
        </w:rPr>
      </w:pPr>
      <w:r>
        <w:rPr>
          <w:b/>
          <w:sz w:val="26"/>
          <w:szCs w:val="26"/>
          <w:lang w:val="es-MX" w:eastAsia="es-MX"/>
        </w:rPr>
        <w:t>4</w:t>
      </w:r>
      <w:r w:rsidR="00C01CEB" w:rsidRPr="00F92AB0">
        <w:rPr>
          <w:b/>
          <w:sz w:val="26"/>
          <w:szCs w:val="26"/>
          <w:lang w:val="es-MX" w:eastAsia="es-MX"/>
        </w:rPr>
        <w:t>.</w:t>
      </w:r>
      <w:r w:rsidR="00A122B9" w:rsidRPr="00F92AB0">
        <w:rPr>
          <w:b/>
          <w:sz w:val="26"/>
          <w:szCs w:val="26"/>
          <w:lang w:val="es-MX" w:eastAsia="es-MX"/>
        </w:rPr>
        <w:t xml:space="preserve">1. </w:t>
      </w:r>
      <w:r w:rsidR="00302841" w:rsidRPr="00F92AB0">
        <w:rPr>
          <w:b/>
          <w:sz w:val="26"/>
          <w:szCs w:val="26"/>
          <w:lang w:val="es-MX" w:eastAsia="es-MX"/>
        </w:rPr>
        <w:t>Queja</w:t>
      </w:r>
      <w:r w:rsidR="0036036E" w:rsidRPr="00F92AB0">
        <w:rPr>
          <w:b/>
          <w:sz w:val="26"/>
          <w:szCs w:val="26"/>
          <w:lang w:val="es-MX" w:eastAsia="es-MX"/>
        </w:rPr>
        <w:t>.</w:t>
      </w:r>
      <w:r w:rsidR="0036036E" w:rsidRPr="00F92AB0">
        <w:rPr>
          <w:sz w:val="26"/>
          <w:szCs w:val="26"/>
          <w:lang w:val="es-MX" w:eastAsia="es-MX"/>
        </w:rPr>
        <w:t xml:space="preserve"> </w:t>
      </w:r>
      <w:r w:rsidR="00970E8C" w:rsidRPr="00F92AB0">
        <w:rPr>
          <w:sz w:val="26"/>
          <w:szCs w:val="26"/>
          <w:lang w:val="es-MX" w:eastAsia="es-MX"/>
        </w:rPr>
        <w:t xml:space="preserve">El </w:t>
      </w:r>
      <w:r w:rsidR="00302841" w:rsidRPr="00F92AB0">
        <w:rPr>
          <w:sz w:val="26"/>
          <w:szCs w:val="26"/>
          <w:lang w:val="es-MX" w:eastAsia="es-MX"/>
        </w:rPr>
        <w:t>cuatro de junio de</w:t>
      </w:r>
      <w:r w:rsidR="00A122B9" w:rsidRPr="00F92AB0">
        <w:rPr>
          <w:sz w:val="26"/>
          <w:szCs w:val="26"/>
          <w:lang w:val="es-MX" w:eastAsia="es-MX"/>
        </w:rPr>
        <w:t xml:space="preserve"> dos mil dieciocho</w:t>
      </w:r>
      <w:r w:rsidR="00795766" w:rsidRPr="00F92AB0">
        <w:rPr>
          <w:sz w:val="26"/>
          <w:szCs w:val="26"/>
          <w:lang w:val="es-MX" w:eastAsia="es-MX"/>
        </w:rPr>
        <w:t xml:space="preserve">, </w:t>
      </w:r>
      <w:r w:rsidR="00302841" w:rsidRPr="00F92AB0">
        <w:rPr>
          <w:sz w:val="26"/>
          <w:szCs w:val="26"/>
          <w:lang w:val="es-MX" w:eastAsia="es-MX"/>
        </w:rPr>
        <w:t xml:space="preserve">Gerardo Fabián Soriano Soriano, representante </w:t>
      </w:r>
      <w:r w:rsidR="00391DDC" w:rsidRPr="00F92AB0">
        <w:rPr>
          <w:sz w:val="26"/>
          <w:szCs w:val="26"/>
          <w:lang w:val="es-MX" w:eastAsia="es-MX"/>
        </w:rPr>
        <w:t xml:space="preserve">propietario del PRD, </w:t>
      </w:r>
      <w:r w:rsidR="00970E8C" w:rsidRPr="00F92AB0">
        <w:rPr>
          <w:sz w:val="26"/>
          <w:szCs w:val="26"/>
          <w:lang w:val="es-MX" w:eastAsia="es-MX"/>
        </w:rPr>
        <w:t xml:space="preserve">presentó </w:t>
      </w:r>
      <w:r w:rsidR="00175001" w:rsidRPr="00F92AB0">
        <w:rPr>
          <w:sz w:val="26"/>
          <w:szCs w:val="26"/>
          <w:lang w:val="es-MX" w:eastAsia="es-MX"/>
        </w:rPr>
        <w:lastRenderedPageBreak/>
        <w:t>denuncia</w:t>
      </w:r>
      <w:r w:rsidR="00A122B9" w:rsidRPr="00F92AB0">
        <w:rPr>
          <w:sz w:val="26"/>
          <w:szCs w:val="26"/>
          <w:lang w:val="es-MX" w:eastAsia="es-MX"/>
        </w:rPr>
        <w:t xml:space="preserve"> </w:t>
      </w:r>
      <w:r w:rsidR="00391DDC" w:rsidRPr="00F92AB0">
        <w:rPr>
          <w:sz w:val="26"/>
          <w:szCs w:val="26"/>
          <w:lang w:val="es-MX" w:eastAsia="es-MX"/>
        </w:rPr>
        <w:t xml:space="preserve">en representación de la candidata a diputada federal Roxana Luna Porquillo </w:t>
      </w:r>
      <w:r w:rsidR="00A122B9" w:rsidRPr="00F92AB0">
        <w:rPr>
          <w:sz w:val="26"/>
          <w:szCs w:val="26"/>
          <w:lang w:val="es-MX" w:eastAsia="es-MX"/>
        </w:rPr>
        <w:t>contra</w:t>
      </w:r>
      <w:r w:rsidR="00191EF0" w:rsidRPr="00F92AB0">
        <w:rPr>
          <w:sz w:val="26"/>
          <w:szCs w:val="26"/>
          <w:lang w:val="es-MX" w:eastAsia="es-MX"/>
        </w:rPr>
        <w:t xml:space="preserve"> </w:t>
      </w:r>
      <w:r w:rsidR="00391DDC" w:rsidRPr="00F92AB0">
        <w:rPr>
          <w:sz w:val="26"/>
          <w:szCs w:val="26"/>
          <w:lang w:val="es-MX" w:eastAsia="es-MX"/>
        </w:rPr>
        <w:t xml:space="preserve">el candidato </w:t>
      </w:r>
      <w:r w:rsidR="00391DDC" w:rsidRPr="00473FAD">
        <w:rPr>
          <w:sz w:val="26"/>
          <w:szCs w:val="26"/>
          <w:lang w:val="es-MX" w:eastAsia="es-MX"/>
        </w:rPr>
        <w:t xml:space="preserve">a diputado federal </w:t>
      </w:r>
      <w:r w:rsidR="00473FAD" w:rsidRPr="00473FAD">
        <w:rPr>
          <w:sz w:val="26"/>
          <w:szCs w:val="26"/>
          <w:lang w:val="es-MX" w:eastAsia="es-MX"/>
        </w:rPr>
        <w:t xml:space="preserve">de </w:t>
      </w:r>
      <w:r w:rsidR="00473FAD">
        <w:rPr>
          <w:sz w:val="26"/>
          <w:szCs w:val="26"/>
          <w:lang w:val="es-MX" w:eastAsia="es-MX"/>
        </w:rPr>
        <w:t>la coalición Juntos Haremos Historia</w:t>
      </w:r>
      <w:r w:rsidR="00E35DAD" w:rsidRPr="00473FAD">
        <w:rPr>
          <w:sz w:val="26"/>
          <w:szCs w:val="26"/>
          <w:lang w:val="es-MX" w:eastAsia="es-MX"/>
        </w:rPr>
        <w:t xml:space="preserve">, </w:t>
      </w:r>
      <w:r w:rsidR="00473FAD" w:rsidRPr="00473FAD">
        <w:rPr>
          <w:sz w:val="26"/>
          <w:szCs w:val="26"/>
          <w:lang w:val="es-MX" w:eastAsia="es-MX"/>
        </w:rPr>
        <w:t xml:space="preserve">Fernando Manzanilla Prieto </w:t>
      </w:r>
      <w:r w:rsidR="006B2540" w:rsidRPr="00473FAD">
        <w:rPr>
          <w:sz w:val="26"/>
          <w:szCs w:val="26"/>
          <w:lang w:val="es-MX" w:eastAsia="es-MX"/>
        </w:rPr>
        <w:t>solicitando</w:t>
      </w:r>
      <w:r w:rsidR="00BE212F" w:rsidRPr="00473FAD">
        <w:rPr>
          <w:sz w:val="26"/>
          <w:szCs w:val="26"/>
          <w:lang w:val="es-MX" w:eastAsia="es-MX"/>
        </w:rPr>
        <w:t>,</w:t>
      </w:r>
      <w:r w:rsidR="006B2540" w:rsidRPr="00473FAD">
        <w:rPr>
          <w:sz w:val="26"/>
          <w:szCs w:val="26"/>
          <w:lang w:val="es-MX" w:eastAsia="es-MX"/>
        </w:rPr>
        <w:t xml:space="preserve"> además</w:t>
      </w:r>
      <w:r w:rsidR="00BE212F" w:rsidRPr="00473FAD">
        <w:rPr>
          <w:sz w:val="26"/>
          <w:szCs w:val="26"/>
          <w:lang w:val="es-MX" w:eastAsia="es-MX"/>
        </w:rPr>
        <w:t>,</w:t>
      </w:r>
      <w:r w:rsidR="006B2540" w:rsidRPr="00473FAD">
        <w:rPr>
          <w:sz w:val="26"/>
          <w:szCs w:val="26"/>
          <w:lang w:val="es-MX" w:eastAsia="es-MX"/>
        </w:rPr>
        <w:t xml:space="preserve"> </w:t>
      </w:r>
      <w:r w:rsidR="00BE212F" w:rsidRPr="00473FAD">
        <w:rPr>
          <w:sz w:val="26"/>
          <w:szCs w:val="26"/>
          <w:lang w:val="es-MX" w:eastAsia="es-MX"/>
        </w:rPr>
        <w:t>la adopción de</w:t>
      </w:r>
      <w:r w:rsidR="00E32322" w:rsidRPr="00473FAD">
        <w:rPr>
          <w:sz w:val="26"/>
          <w:szCs w:val="26"/>
          <w:lang w:val="es-MX" w:eastAsia="es-MX"/>
        </w:rPr>
        <w:t xml:space="preserve"> medidas cautelares</w:t>
      </w:r>
      <w:r w:rsidR="000C7D2D" w:rsidRPr="00473FAD">
        <w:rPr>
          <w:sz w:val="26"/>
          <w:szCs w:val="26"/>
          <w:lang w:val="es-MX" w:eastAsia="es-MX"/>
        </w:rPr>
        <w:t>.</w:t>
      </w:r>
      <w:r w:rsidR="00A122B9" w:rsidRPr="00F92AB0">
        <w:rPr>
          <w:sz w:val="26"/>
          <w:szCs w:val="26"/>
          <w:lang w:val="es-MX" w:eastAsia="es-MX"/>
        </w:rPr>
        <w:t xml:space="preserve"> </w:t>
      </w:r>
    </w:p>
    <w:p w:rsidR="00F92AB0" w:rsidRPr="00F92AB0" w:rsidRDefault="00F92AB0" w:rsidP="00F92AB0">
      <w:pPr>
        <w:spacing w:before="0" w:after="0"/>
        <w:rPr>
          <w:sz w:val="26"/>
          <w:szCs w:val="26"/>
          <w:lang w:val="es-MX" w:eastAsia="es-MX"/>
        </w:rPr>
      </w:pPr>
    </w:p>
    <w:p w:rsidR="00D74D8C" w:rsidRDefault="00311396" w:rsidP="00F92AB0">
      <w:pPr>
        <w:spacing w:before="0" w:after="0"/>
        <w:rPr>
          <w:sz w:val="26"/>
          <w:szCs w:val="26"/>
          <w:lang w:val="es-MX" w:eastAsia="es-MX"/>
        </w:rPr>
      </w:pPr>
      <w:r w:rsidRPr="00F92AB0">
        <w:rPr>
          <w:sz w:val="26"/>
          <w:szCs w:val="26"/>
          <w:lang w:val="es-MX" w:eastAsia="es-MX"/>
        </w:rPr>
        <w:t xml:space="preserve">Tal denuncia tuvo sustento en las </w:t>
      </w:r>
      <w:r w:rsidR="0086776C">
        <w:rPr>
          <w:sz w:val="26"/>
          <w:szCs w:val="26"/>
          <w:lang w:val="es-MX" w:eastAsia="es-MX"/>
        </w:rPr>
        <w:t xml:space="preserve">siguientes </w:t>
      </w:r>
      <w:r w:rsidR="00A122B9" w:rsidRPr="00F92AB0">
        <w:rPr>
          <w:sz w:val="26"/>
          <w:szCs w:val="26"/>
          <w:lang w:val="es-MX" w:eastAsia="es-MX"/>
        </w:rPr>
        <w:t>manifestaciones realizadas por el denunciado</w:t>
      </w:r>
      <w:r w:rsidR="00D74D8C" w:rsidRPr="00F92AB0">
        <w:rPr>
          <w:sz w:val="26"/>
          <w:szCs w:val="26"/>
          <w:lang w:val="es-MX" w:eastAsia="es-MX"/>
        </w:rPr>
        <w:t>:</w:t>
      </w:r>
    </w:p>
    <w:p w:rsidR="00F92AB0" w:rsidRDefault="00F92AB0" w:rsidP="00F92AB0">
      <w:pPr>
        <w:spacing w:before="0" w:after="0"/>
        <w:rPr>
          <w:sz w:val="26"/>
          <w:szCs w:val="26"/>
          <w:lang w:val="es-MX" w:eastAsia="es-MX"/>
        </w:rPr>
      </w:pPr>
    </w:p>
    <w:p w:rsidR="00695628" w:rsidRDefault="00473FAD" w:rsidP="00F92AB0">
      <w:pPr>
        <w:spacing w:before="0" w:after="0"/>
        <w:rPr>
          <w:sz w:val="26"/>
          <w:szCs w:val="26"/>
          <w:lang w:val="es-MX" w:eastAsia="es-MX"/>
        </w:rPr>
      </w:pPr>
      <w:r w:rsidRPr="00473FAD">
        <w:rPr>
          <w:b/>
          <w:sz w:val="26"/>
          <w:szCs w:val="26"/>
          <w:lang w:val="es-MX" w:eastAsia="es-MX"/>
        </w:rPr>
        <w:t>a) Reunión en el restaurante Antiguo Cazador</w:t>
      </w:r>
      <w:r>
        <w:rPr>
          <w:sz w:val="26"/>
          <w:szCs w:val="26"/>
          <w:lang w:val="es-MX" w:eastAsia="es-MX"/>
        </w:rPr>
        <w:t xml:space="preserve">. </w:t>
      </w:r>
      <w:r w:rsidR="00695628" w:rsidRPr="00F92AB0">
        <w:rPr>
          <w:sz w:val="26"/>
          <w:szCs w:val="26"/>
          <w:lang w:val="es-MX" w:eastAsia="es-MX"/>
        </w:rPr>
        <w:t xml:space="preserve">El quince de mayo del presente año, </w:t>
      </w:r>
      <w:r>
        <w:rPr>
          <w:sz w:val="26"/>
          <w:szCs w:val="26"/>
          <w:lang w:val="es-MX" w:eastAsia="es-MX"/>
        </w:rPr>
        <w:t>Fernando Manzanilla Prieto</w:t>
      </w:r>
      <w:r w:rsidR="00695628" w:rsidRPr="00F92AB0">
        <w:rPr>
          <w:sz w:val="26"/>
          <w:szCs w:val="26"/>
          <w:lang w:val="es-MX" w:eastAsia="es-MX"/>
        </w:rPr>
        <w:t xml:space="preserve">, en una reunión </w:t>
      </w:r>
      <w:r>
        <w:rPr>
          <w:sz w:val="26"/>
          <w:szCs w:val="26"/>
          <w:lang w:val="es-MX" w:eastAsia="es-MX"/>
        </w:rPr>
        <w:t xml:space="preserve">en </w:t>
      </w:r>
      <w:r w:rsidRPr="00F92AB0">
        <w:rPr>
          <w:sz w:val="26"/>
          <w:szCs w:val="26"/>
          <w:lang w:val="es-MX" w:eastAsia="es-MX"/>
        </w:rPr>
        <w:t>el restaurante</w:t>
      </w:r>
      <w:r>
        <w:rPr>
          <w:sz w:val="26"/>
          <w:szCs w:val="26"/>
          <w:lang w:val="es-MX" w:eastAsia="es-MX"/>
        </w:rPr>
        <w:t xml:space="preserve"> mencionado</w:t>
      </w:r>
      <w:r w:rsidRPr="00F92AB0">
        <w:rPr>
          <w:sz w:val="26"/>
          <w:szCs w:val="26"/>
          <w:lang w:val="es-MX" w:eastAsia="es-MX"/>
        </w:rPr>
        <w:t xml:space="preserve">, </w:t>
      </w:r>
      <w:r w:rsidR="00695628" w:rsidRPr="00F92AB0">
        <w:rPr>
          <w:sz w:val="26"/>
          <w:szCs w:val="26"/>
          <w:lang w:val="es-MX" w:eastAsia="es-MX"/>
        </w:rPr>
        <w:t xml:space="preserve">con la comunidad de la Universidad Autónoma de Puebla dijo: </w:t>
      </w:r>
      <w:r w:rsidR="00695628" w:rsidRPr="00F92AB0">
        <w:rPr>
          <w:i/>
          <w:sz w:val="26"/>
          <w:szCs w:val="26"/>
          <w:lang w:val="es-MX" w:eastAsia="es-MX"/>
        </w:rPr>
        <w:t xml:space="preserve">“Yo conocí a Roxana Luna, en mi oficina, en Casa Aguayo, como Secretario General de Gobierno… </w:t>
      </w:r>
      <w:r w:rsidR="00695628" w:rsidRPr="0086776C">
        <w:rPr>
          <w:b/>
          <w:i/>
          <w:sz w:val="26"/>
          <w:szCs w:val="26"/>
          <w:lang w:val="es-MX" w:eastAsia="es-MX"/>
        </w:rPr>
        <w:t>era otra Roxana Luna, desde la vestimenta hasta su tono aguerrido”</w:t>
      </w:r>
      <w:r w:rsidR="00695628" w:rsidRPr="00F92AB0">
        <w:rPr>
          <w:sz w:val="26"/>
          <w:szCs w:val="26"/>
          <w:lang w:val="es-MX" w:eastAsia="es-MX"/>
        </w:rPr>
        <w:t xml:space="preserve">; además señaló: </w:t>
      </w:r>
      <w:r w:rsidR="00695628" w:rsidRPr="00F92AB0">
        <w:rPr>
          <w:i/>
          <w:sz w:val="26"/>
          <w:szCs w:val="26"/>
          <w:lang w:val="es-MX" w:eastAsia="es-MX"/>
        </w:rPr>
        <w:t>“Yo tuve una reunión con ella cuando sacamos todo el tema del espionaje de Moreno Valle…”, “…porque ella me había dicho que quería hacer una denuncia…”, “… le dije tengo mucha información, te la dejo, (ella respondió) “no, fíjate que ya no puedo entrarle a ese tema, ya no estoy en eso”, “</w:t>
      </w:r>
      <w:r w:rsidR="00695628" w:rsidRPr="00F92AB0">
        <w:rPr>
          <w:b/>
          <w:i/>
          <w:sz w:val="26"/>
          <w:szCs w:val="26"/>
          <w:lang w:val="es-MX" w:eastAsia="es-MX"/>
        </w:rPr>
        <w:t>se hizo bruta realmente</w:t>
      </w:r>
      <w:r w:rsidR="00695628" w:rsidRPr="00F92AB0">
        <w:rPr>
          <w:i/>
          <w:sz w:val="26"/>
          <w:szCs w:val="26"/>
          <w:lang w:val="es-MX" w:eastAsia="es-MX"/>
        </w:rPr>
        <w:t>” y luego como si no le hubiera yo dicho nada, “oye, no te gustaría ser candidato de la alianza PAN-PRD? … es que sí va a haber coalición y pensé que tú podrías ser un gran candidato”, Yo le dije ¡Oye Roxana, ¡cómo crees que me vería yo siendo candidato, tú crees que yo podría alzarles la mano a Martha Erika?!”</w:t>
      </w:r>
      <w:r w:rsidR="00695628" w:rsidRPr="00F92AB0">
        <w:rPr>
          <w:sz w:val="26"/>
          <w:szCs w:val="26"/>
          <w:lang w:val="es-MX" w:eastAsia="es-MX"/>
        </w:rPr>
        <w:t>.</w:t>
      </w:r>
    </w:p>
    <w:p w:rsidR="00E32322" w:rsidRDefault="00E32322" w:rsidP="00F92AB0">
      <w:pPr>
        <w:spacing w:before="0" w:after="0"/>
        <w:rPr>
          <w:sz w:val="26"/>
          <w:szCs w:val="26"/>
          <w:lang w:val="es-MX" w:eastAsia="es-MX"/>
        </w:rPr>
      </w:pPr>
    </w:p>
    <w:p w:rsidR="00473FAD" w:rsidRDefault="00473FAD" w:rsidP="00F92AB0">
      <w:pPr>
        <w:spacing w:before="0" w:after="0"/>
        <w:rPr>
          <w:sz w:val="26"/>
          <w:szCs w:val="26"/>
          <w:lang w:val="es-MX" w:eastAsia="es-MX"/>
        </w:rPr>
      </w:pPr>
      <w:r w:rsidRPr="00473FAD">
        <w:rPr>
          <w:b/>
          <w:sz w:val="26"/>
          <w:szCs w:val="26"/>
          <w:lang w:val="es-MX" w:eastAsia="es-MX"/>
        </w:rPr>
        <w:t>b) Nota periodística.</w:t>
      </w:r>
      <w:r>
        <w:rPr>
          <w:b/>
          <w:sz w:val="26"/>
          <w:szCs w:val="26"/>
          <w:lang w:val="es-MX" w:eastAsia="es-MX"/>
        </w:rPr>
        <w:t xml:space="preserve"> </w:t>
      </w:r>
      <w:r w:rsidR="00695628" w:rsidRPr="00F92AB0">
        <w:rPr>
          <w:sz w:val="26"/>
          <w:szCs w:val="26"/>
          <w:lang w:val="es-MX" w:eastAsia="es-MX"/>
        </w:rPr>
        <w:t xml:space="preserve">El treinta de mayo </w:t>
      </w:r>
      <w:r w:rsidR="00F92AB0" w:rsidRPr="00F92AB0">
        <w:rPr>
          <w:sz w:val="26"/>
          <w:szCs w:val="26"/>
          <w:lang w:val="es-MX" w:eastAsia="es-MX"/>
        </w:rPr>
        <w:t xml:space="preserve">pasado, según la nota periodística del diario “contraparte.mx”, el denunciado manifestó: </w:t>
      </w:r>
      <w:r w:rsidR="00F92AB0" w:rsidRPr="00F92AB0">
        <w:rPr>
          <w:i/>
          <w:sz w:val="26"/>
          <w:szCs w:val="26"/>
          <w:lang w:val="es-MX" w:eastAsia="es-MX"/>
        </w:rPr>
        <w:t xml:space="preserve">“Todos están aliados, son </w:t>
      </w:r>
      <w:r w:rsidR="00F92AB0" w:rsidRPr="00473FAD">
        <w:rPr>
          <w:i/>
          <w:sz w:val="26"/>
          <w:szCs w:val="26"/>
          <w:lang w:val="es-MX" w:eastAsia="es-MX"/>
        </w:rPr>
        <w:t>pa</w:t>
      </w:r>
      <w:r w:rsidR="004A20D5" w:rsidRPr="00473FAD">
        <w:rPr>
          <w:i/>
          <w:sz w:val="26"/>
          <w:szCs w:val="26"/>
          <w:lang w:val="es-MX" w:eastAsia="es-MX"/>
        </w:rPr>
        <w:t>r</w:t>
      </w:r>
      <w:r w:rsidR="00F92AB0" w:rsidRPr="00473FAD">
        <w:rPr>
          <w:i/>
          <w:sz w:val="26"/>
          <w:szCs w:val="26"/>
          <w:lang w:val="es-MX" w:eastAsia="es-MX"/>
        </w:rPr>
        <w:t>te</w:t>
      </w:r>
      <w:r w:rsidR="00F92AB0" w:rsidRPr="00F92AB0">
        <w:rPr>
          <w:i/>
          <w:sz w:val="26"/>
          <w:szCs w:val="26"/>
          <w:lang w:val="es-MX" w:eastAsia="es-MX"/>
        </w:rPr>
        <w:t xml:space="preserve"> del mismo contubernio el PRI y el PAN (…) </w:t>
      </w:r>
      <w:r w:rsidR="00F92AB0" w:rsidRPr="0086776C">
        <w:rPr>
          <w:b/>
          <w:i/>
          <w:sz w:val="26"/>
          <w:szCs w:val="26"/>
          <w:lang w:val="es-MX" w:eastAsia="es-MX"/>
        </w:rPr>
        <w:t>Pobre Roxana, ya la cepillaron</w:t>
      </w:r>
      <w:r w:rsidR="00F92AB0" w:rsidRPr="00F92AB0">
        <w:rPr>
          <w:i/>
          <w:sz w:val="26"/>
          <w:szCs w:val="26"/>
          <w:lang w:val="es-MX" w:eastAsia="es-MX"/>
        </w:rPr>
        <w:t>…”</w:t>
      </w:r>
      <w:r>
        <w:rPr>
          <w:sz w:val="26"/>
          <w:szCs w:val="26"/>
          <w:lang w:val="es-MX" w:eastAsia="es-MX"/>
        </w:rPr>
        <w:t>.</w:t>
      </w:r>
    </w:p>
    <w:p w:rsidR="00473FAD" w:rsidRDefault="00473FAD" w:rsidP="00F92AB0">
      <w:pPr>
        <w:spacing w:before="0" w:after="0"/>
        <w:rPr>
          <w:sz w:val="26"/>
          <w:szCs w:val="26"/>
          <w:lang w:val="es-MX" w:eastAsia="es-MX"/>
        </w:rPr>
      </w:pPr>
    </w:p>
    <w:p w:rsidR="00695628" w:rsidRDefault="00473FAD" w:rsidP="00F92AB0">
      <w:pPr>
        <w:spacing w:before="0" w:after="0"/>
        <w:rPr>
          <w:sz w:val="26"/>
          <w:szCs w:val="26"/>
          <w:lang w:val="es-MX" w:eastAsia="es-MX"/>
        </w:rPr>
      </w:pPr>
      <w:r w:rsidRPr="00473FAD">
        <w:rPr>
          <w:b/>
          <w:sz w:val="26"/>
          <w:szCs w:val="26"/>
          <w:lang w:val="es-MX" w:eastAsia="es-MX"/>
        </w:rPr>
        <w:lastRenderedPageBreak/>
        <w:t xml:space="preserve">c) Video en </w:t>
      </w:r>
      <w:r w:rsidR="00932ABD" w:rsidRPr="00473FAD">
        <w:rPr>
          <w:b/>
          <w:sz w:val="26"/>
          <w:szCs w:val="26"/>
          <w:lang w:val="es-MX" w:eastAsia="es-MX"/>
        </w:rPr>
        <w:t>Twitter</w:t>
      </w:r>
      <w:r>
        <w:rPr>
          <w:sz w:val="26"/>
          <w:szCs w:val="26"/>
          <w:lang w:val="es-MX" w:eastAsia="es-MX"/>
        </w:rPr>
        <w:t>. E</w:t>
      </w:r>
      <w:r w:rsidR="00F92AB0" w:rsidRPr="00F92AB0">
        <w:rPr>
          <w:sz w:val="26"/>
          <w:szCs w:val="26"/>
          <w:lang w:val="es-MX" w:eastAsia="es-MX"/>
        </w:rPr>
        <w:t>n la fecha</w:t>
      </w:r>
      <w:r>
        <w:rPr>
          <w:sz w:val="26"/>
          <w:szCs w:val="26"/>
          <w:lang w:val="es-MX" w:eastAsia="es-MX"/>
        </w:rPr>
        <w:t xml:space="preserve"> antes citada</w:t>
      </w:r>
      <w:r w:rsidR="00F92AB0" w:rsidRPr="00F92AB0">
        <w:rPr>
          <w:sz w:val="26"/>
          <w:szCs w:val="26"/>
          <w:lang w:val="es-MX" w:eastAsia="es-MX"/>
        </w:rPr>
        <w:t xml:space="preserve">, el denunciado, a través de un video difundido en la cuenta de la red social Twitter “Bon Miller”, en una entrevista manifestó: </w:t>
      </w:r>
      <w:r w:rsidR="00F92AB0" w:rsidRPr="00F92AB0">
        <w:rPr>
          <w:i/>
          <w:sz w:val="26"/>
          <w:szCs w:val="26"/>
          <w:lang w:val="es-MX" w:eastAsia="es-MX"/>
        </w:rPr>
        <w:t xml:space="preserve">“Ósea ya lo puedo ver Moreno Valle los sienta en la mesa y los empieza a regañar y les dice eres un tal por cual tú, tú estás abajo, ha ganado no sé qué, violencia política de género es la línea salen todos bien obedientes eso es lo que he visto, la Martha Erika, </w:t>
      </w:r>
      <w:r w:rsidR="00F92AB0" w:rsidRPr="0086776C">
        <w:rPr>
          <w:b/>
          <w:i/>
          <w:sz w:val="26"/>
          <w:szCs w:val="26"/>
          <w:lang w:val="es-MX" w:eastAsia="es-MX"/>
        </w:rPr>
        <w:t>la Roxana</w:t>
      </w:r>
      <w:r w:rsidR="00F92AB0" w:rsidRPr="00F92AB0">
        <w:rPr>
          <w:i/>
          <w:sz w:val="26"/>
          <w:szCs w:val="26"/>
          <w:lang w:val="es-MX" w:eastAsia="es-MX"/>
        </w:rPr>
        <w:t xml:space="preserve"> (segundo 0:16) porque por cierto ya, ya digamos están todos aliados pues es parte del mismo contubernio, PRI y el PAN no como esa que salió, cual es el tema te vaya decir es una vergüenza”</w:t>
      </w:r>
      <w:r w:rsidR="00F92AB0" w:rsidRPr="00F92AB0">
        <w:rPr>
          <w:sz w:val="26"/>
          <w:szCs w:val="26"/>
          <w:lang w:val="es-MX" w:eastAsia="es-MX"/>
        </w:rPr>
        <w:t>.</w:t>
      </w:r>
    </w:p>
    <w:p w:rsidR="00F92AB0" w:rsidRDefault="00F92AB0" w:rsidP="00F92AB0">
      <w:pPr>
        <w:spacing w:before="0" w:after="0"/>
        <w:rPr>
          <w:sz w:val="26"/>
          <w:szCs w:val="26"/>
          <w:lang w:val="es-MX" w:eastAsia="es-MX"/>
        </w:rPr>
      </w:pPr>
    </w:p>
    <w:p w:rsidR="00A46620" w:rsidRDefault="00E8336C" w:rsidP="00F92AB0">
      <w:pPr>
        <w:spacing w:before="0" w:after="0"/>
        <w:rPr>
          <w:sz w:val="26"/>
          <w:szCs w:val="26"/>
          <w:lang w:val="es-MX" w:eastAsia="es-MX"/>
        </w:rPr>
      </w:pPr>
      <w:r>
        <w:rPr>
          <w:b/>
          <w:sz w:val="26"/>
          <w:szCs w:val="26"/>
          <w:lang w:val="es-MX" w:eastAsia="es-MX"/>
        </w:rPr>
        <w:t>4</w:t>
      </w:r>
      <w:r w:rsidR="00A122B9" w:rsidRPr="00F92AB0">
        <w:rPr>
          <w:b/>
          <w:sz w:val="26"/>
          <w:szCs w:val="26"/>
          <w:lang w:val="es-MX" w:eastAsia="es-MX"/>
        </w:rPr>
        <w:t xml:space="preserve">.2. </w:t>
      </w:r>
      <w:r w:rsidR="0036036E" w:rsidRPr="00F92AB0">
        <w:rPr>
          <w:b/>
          <w:sz w:val="26"/>
          <w:szCs w:val="26"/>
          <w:lang w:val="es-MX" w:eastAsia="es-MX"/>
        </w:rPr>
        <w:t xml:space="preserve">Acuerdo </w:t>
      </w:r>
      <w:r w:rsidR="00A122B9" w:rsidRPr="00F92AB0">
        <w:rPr>
          <w:b/>
          <w:sz w:val="26"/>
          <w:szCs w:val="26"/>
          <w:lang w:val="es-MX" w:eastAsia="es-MX"/>
        </w:rPr>
        <w:t>impugnado</w:t>
      </w:r>
      <w:r w:rsidR="0036036E" w:rsidRPr="00F92AB0">
        <w:rPr>
          <w:b/>
          <w:sz w:val="26"/>
          <w:szCs w:val="26"/>
          <w:lang w:val="es-MX" w:eastAsia="es-MX"/>
        </w:rPr>
        <w:t xml:space="preserve">. </w:t>
      </w:r>
      <w:r w:rsidR="005D40DA" w:rsidRPr="00F92AB0">
        <w:rPr>
          <w:sz w:val="26"/>
          <w:szCs w:val="26"/>
          <w:lang w:val="es-MX" w:eastAsia="es-MX"/>
        </w:rPr>
        <w:t>El</w:t>
      </w:r>
      <w:r w:rsidR="005D40DA" w:rsidRPr="00F92AB0">
        <w:rPr>
          <w:b/>
          <w:sz w:val="26"/>
          <w:szCs w:val="26"/>
          <w:lang w:val="es-MX" w:eastAsia="es-MX"/>
        </w:rPr>
        <w:t xml:space="preserve"> </w:t>
      </w:r>
      <w:r w:rsidR="004C5C1E" w:rsidRPr="00F92AB0">
        <w:rPr>
          <w:sz w:val="26"/>
          <w:szCs w:val="26"/>
          <w:lang w:val="es-MX" w:eastAsia="es-MX"/>
        </w:rPr>
        <w:t>cinco de junio d</w:t>
      </w:r>
      <w:r w:rsidR="001C171A" w:rsidRPr="00F92AB0">
        <w:rPr>
          <w:sz w:val="26"/>
          <w:szCs w:val="26"/>
          <w:lang w:val="es-MX" w:eastAsia="es-MX"/>
        </w:rPr>
        <w:t>e dos mil dieciocho</w:t>
      </w:r>
      <w:r w:rsidR="0036036E" w:rsidRPr="00F92AB0">
        <w:rPr>
          <w:sz w:val="26"/>
          <w:szCs w:val="26"/>
          <w:lang w:val="es-MX" w:eastAsia="es-MX"/>
        </w:rPr>
        <w:t xml:space="preserve">, </w:t>
      </w:r>
      <w:r w:rsidR="004C5C1E" w:rsidRPr="00F92AB0">
        <w:rPr>
          <w:sz w:val="26"/>
          <w:szCs w:val="26"/>
          <w:lang w:val="es-MX" w:eastAsia="es-MX"/>
        </w:rPr>
        <w:t xml:space="preserve">el Consejo Distrital </w:t>
      </w:r>
      <w:r w:rsidR="00A122B9" w:rsidRPr="00F92AB0">
        <w:rPr>
          <w:sz w:val="26"/>
          <w:szCs w:val="26"/>
          <w:lang w:val="es-MX" w:eastAsia="es-MX"/>
        </w:rPr>
        <w:t xml:space="preserve">dictó el acuerdo por el que determinó </w:t>
      </w:r>
      <w:r w:rsidR="001C171A" w:rsidRPr="00F92AB0">
        <w:rPr>
          <w:b/>
          <w:sz w:val="26"/>
          <w:szCs w:val="26"/>
          <w:lang w:val="es-MX" w:eastAsia="es-MX"/>
        </w:rPr>
        <w:t>desechar de plano</w:t>
      </w:r>
      <w:r w:rsidR="001C171A" w:rsidRPr="00F92AB0">
        <w:rPr>
          <w:sz w:val="26"/>
          <w:szCs w:val="26"/>
          <w:lang w:val="es-MX" w:eastAsia="es-MX"/>
        </w:rPr>
        <w:t xml:space="preserve"> la </w:t>
      </w:r>
      <w:r w:rsidR="00A122B9" w:rsidRPr="00F92AB0">
        <w:rPr>
          <w:sz w:val="26"/>
          <w:szCs w:val="26"/>
          <w:lang w:val="es-MX" w:eastAsia="es-MX"/>
        </w:rPr>
        <w:t>denuncia</w:t>
      </w:r>
      <w:r w:rsidR="0036036E" w:rsidRPr="00F92AB0">
        <w:rPr>
          <w:sz w:val="26"/>
          <w:szCs w:val="26"/>
          <w:lang w:val="es-MX" w:eastAsia="es-MX"/>
        </w:rPr>
        <w:t>.</w:t>
      </w:r>
    </w:p>
    <w:p w:rsidR="001F4756" w:rsidRPr="00F92AB0" w:rsidRDefault="001F4756" w:rsidP="00F92AB0">
      <w:pPr>
        <w:spacing w:before="0" w:after="0"/>
        <w:rPr>
          <w:sz w:val="26"/>
          <w:szCs w:val="26"/>
          <w:lang w:val="es-MX" w:eastAsia="es-MX"/>
        </w:rPr>
      </w:pPr>
    </w:p>
    <w:p w:rsidR="004C317E" w:rsidRDefault="00E8336C" w:rsidP="001F4756">
      <w:pPr>
        <w:spacing w:before="0" w:after="0"/>
        <w:rPr>
          <w:rFonts w:eastAsiaTheme="majorEastAsia"/>
          <w:sz w:val="26"/>
          <w:szCs w:val="26"/>
          <w:lang w:val="es-MX" w:eastAsia="es-MX"/>
        </w:rPr>
      </w:pPr>
      <w:r>
        <w:rPr>
          <w:rFonts w:eastAsiaTheme="majorEastAsia"/>
          <w:b/>
          <w:sz w:val="26"/>
          <w:szCs w:val="26"/>
          <w:lang w:val="es-MX" w:eastAsia="es-MX"/>
        </w:rPr>
        <w:t>5</w:t>
      </w:r>
      <w:r w:rsidR="0036036E" w:rsidRPr="001F4756">
        <w:rPr>
          <w:rFonts w:eastAsiaTheme="majorEastAsia"/>
          <w:b/>
          <w:sz w:val="26"/>
          <w:szCs w:val="26"/>
          <w:lang w:val="es-MX" w:eastAsia="es-MX"/>
        </w:rPr>
        <w:t>. C</w:t>
      </w:r>
      <w:r w:rsidR="00BE4BA2" w:rsidRPr="001F4756">
        <w:rPr>
          <w:rFonts w:eastAsiaTheme="majorEastAsia"/>
          <w:b/>
          <w:sz w:val="26"/>
          <w:szCs w:val="26"/>
          <w:lang w:val="es-MX" w:eastAsia="es-MX"/>
        </w:rPr>
        <w:t>o</w:t>
      </w:r>
      <w:r w:rsidR="0036036E" w:rsidRPr="001F4756">
        <w:rPr>
          <w:rFonts w:eastAsiaTheme="majorEastAsia"/>
          <w:b/>
          <w:sz w:val="26"/>
          <w:szCs w:val="26"/>
          <w:lang w:val="es-MX" w:eastAsia="es-MX"/>
        </w:rPr>
        <w:t xml:space="preserve">nsideraciones </w:t>
      </w:r>
      <w:r w:rsidR="008D7578" w:rsidRPr="001F4756">
        <w:rPr>
          <w:rFonts w:eastAsiaTheme="majorEastAsia"/>
          <w:b/>
          <w:sz w:val="26"/>
          <w:szCs w:val="26"/>
          <w:lang w:val="es-MX" w:eastAsia="es-MX"/>
        </w:rPr>
        <w:t xml:space="preserve">del </w:t>
      </w:r>
      <w:r w:rsidR="004C317E" w:rsidRPr="001F4756">
        <w:rPr>
          <w:rFonts w:eastAsiaTheme="majorEastAsia"/>
          <w:b/>
          <w:sz w:val="26"/>
          <w:szCs w:val="26"/>
          <w:lang w:val="es-MX" w:eastAsia="es-MX"/>
        </w:rPr>
        <w:t>acuerdo impugnado</w:t>
      </w:r>
      <w:r w:rsidR="007117ED">
        <w:rPr>
          <w:rFonts w:eastAsiaTheme="majorEastAsia"/>
          <w:b/>
          <w:sz w:val="26"/>
          <w:szCs w:val="26"/>
          <w:lang w:val="es-MX" w:eastAsia="es-MX"/>
        </w:rPr>
        <w:t xml:space="preserve"> y agravios del recurrente</w:t>
      </w:r>
      <w:r w:rsidR="00135513" w:rsidRPr="001F4756">
        <w:rPr>
          <w:rFonts w:eastAsiaTheme="majorEastAsia"/>
          <w:b/>
          <w:sz w:val="26"/>
          <w:szCs w:val="26"/>
          <w:lang w:val="es-MX" w:eastAsia="es-MX"/>
        </w:rPr>
        <w:t>.</w:t>
      </w:r>
      <w:r w:rsidR="002C47AD">
        <w:rPr>
          <w:rFonts w:eastAsiaTheme="majorEastAsia"/>
          <w:b/>
          <w:sz w:val="26"/>
          <w:szCs w:val="26"/>
          <w:lang w:val="es-MX" w:eastAsia="es-MX"/>
        </w:rPr>
        <w:t xml:space="preserve"> </w:t>
      </w:r>
      <w:r w:rsidR="004C317E" w:rsidRPr="001F4756">
        <w:rPr>
          <w:rFonts w:eastAsiaTheme="majorEastAsia"/>
          <w:sz w:val="26"/>
          <w:szCs w:val="26"/>
          <w:lang w:val="es-MX" w:eastAsia="es-MX"/>
        </w:rPr>
        <w:t xml:space="preserve">Las consideraciones en las que </w:t>
      </w:r>
      <w:r w:rsidR="004D4453" w:rsidRPr="001F4756">
        <w:rPr>
          <w:rFonts w:eastAsiaTheme="majorEastAsia"/>
          <w:sz w:val="26"/>
          <w:szCs w:val="26"/>
          <w:lang w:val="es-MX" w:eastAsia="es-MX"/>
        </w:rPr>
        <w:t xml:space="preserve">se </w:t>
      </w:r>
      <w:r w:rsidR="004C317E" w:rsidRPr="001F4756">
        <w:rPr>
          <w:rFonts w:eastAsiaTheme="majorEastAsia"/>
          <w:sz w:val="26"/>
          <w:szCs w:val="26"/>
          <w:lang w:val="es-MX" w:eastAsia="es-MX"/>
        </w:rPr>
        <w:t xml:space="preserve">sustentó el desechamiento de plano de la denuncia, fueron las siguientes: </w:t>
      </w:r>
    </w:p>
    <w:p w:rsidR="001F4756" w:rsidRPr="001F4756" w:rsidRDefault="001F4756" w:rsidP="001F4756">
      <w:pPr>
        <w:spacing w:before="0" w:after="0"/>
        <w:rPr>
          <w:rFonts w:eastAsiaTheme="majorEastAsia"/>
          <w:sz w:val="26"/>
          <w:szCs w:val="26"/>
          <w:lang w:val="es-MX" w:eastAsia="es-MX"/>
        </w:rPr>
      </w:pPr>
    </w:p>
    <w:p w:rsidR="00DC1686" w:rsidRDefault="00DC1686" w:rsidP="001F4756">
      <w:pPr>
        <w:pStyle w:val="Prrafodelista"/>
        <w:numPr>
          <w:ilvl w:val="0"/>
          <w:numId w:val="34"/>
        </w:numPr>
        <w:tabs>
          <w:tab w:val="clear" w:pos="1215"/>
        </w:tabs>
        <w:spacing w:before="0" w:after="0"/>
        <w:ind w:left="851" w:firstLine="0"/>
        <w:rPr>
          <w:rFonts w:eastAsiaTheme="majorEastAsia"/>
          <w:sz w:val="22"/>
          <w:szCs w:val="22"/>
          <w:lang w:val="es-MX" w:eastAsia="es-MX"/>
        </w:rPr>
      </w:pPr>
      <w:r w:rsidRPr="00473FAD">
        <w:rPr>
          <w:rFonts w:eastAsiaTheme="majorEastAsia"/>
          <w:sz w:val="22"/>
          <w:szCs w:val="22"/>
          <w:lang w:val="es-MX" w:eastAsia="es-MX"/>
        </w:rPr>
        <w:t xml:space="preserve">El </w:t>
      </w:r>
      <w:r w:rsidR="0085486B" w:rsidRPr="00473FAD">
        <w:rPr>
          <w:rFonts w:eastAsiaTheme="majorEastAsia"/>
          <w:sz w:val="22"/>
          <w:szCs w:val="22"/>
          <w:lang w:val="es-MX" w:eastAsia="es-MX"/>
        </w:rPr>
        <w:t xml:space="preserve">Vocal Ejecutivo y Consejera Presidente del Consejo Distrital, </w:t>
      </w:r>
      <w:r w:rsidRPr="00473FAD">
        <w:rPr>
          <w:rFonts w:eastAsiaTheme="majorEastAsia"/>
          <w:sz w:val="22"/>
          <w:szCs w:val="22"/>
          <w:lang w:val="es-MX" w:eastAsia="es-MX"/>
        </w:rPr>
        <w:t xml:space="preserve">tiene facultades para desechar de plano una denuncia, </w:t>
      </w:r>
      <w:r w:rsidR="00D3649B" w:rsidRPr="00473FAD">
        <w:rPr>
          <w:rFonts w:eastAsiaTheme="majorEastAsia"/>
          <w:sz w:val="22"/>
          <w:szCs w:val="22"/>
          <w:lang w:val="es-MX" w:eastAsia="es-MX"/>
        </w:rPr>
        <w:t xml:space="preserve">con un </w:t>
      </w:r>
      <w:r w:rsidRPr="00473FAD">
        <w:rPr>
          <w:rFonts w:eastAsiaTheme="majorEastAsia"/>
          <w:b/>
          <w:sz w:val="22"/>
          <w:szCs w:val="22"/>
          <w:lang w:val="es-MX" w:eastAsia="es-MX"/>
        </w:rPr>
        <w:t>análisis preliminar</w:t>
      </w:r>
      <w:r w:rsidRPr="00473FAD">
        <w:rPr>
          <w:rFonts w:eastAsiaTheme="majorEastAsia"/>
          <w:sz w:val="22"/>
          <w:szCs w:val="22"/>
          <w:lang w:val="es-MX" w:eastAsia="es-MX"/>
        </w:rPr>
        <w:t xml:space="preserve"> de los hechos denunciados</w:t>
      </w:r>
      <w:r w:rsidR="00D3649B" w:rsidRPr="00473FAD">
        <w:rPr>
          <w:rFonts w:eastAsiaTheme="majorEastAsia"/>
          <w:sz w:val="22"/>
          <w:szCs w:val="22"/>
          <w:lang w:val="es-MX" w:eastAsia="es-MX"/>
        </w:rPr>
        <w:t xml:space="preserve">, </w:t>
      </w:r>
      <w:r w:rsidR="00A374F2" w:rsidRPr="00473FAD">
        <w:rPr>
          <w:rFonts w:eastAsiaTheme="majorEastAsia"/>
          <w:sz w:val="22"/>
          <w:szCs w:val="22"/>
          <w:lang w:val="es-MX" w:eastAsia="es-MX"/>
        </w:rPr>
        <w:t xml:space="preserve">donde </w:t>
      </w:r>
      <w:r w:rsidR="00D3649B" w:rsidRPr="00473FAD">
        <w:rPr>
          <w:rFonts w:eastAsiaTheme="majorEastAsia"/>
          <w:sz w:val="22"/>
          <w:szCs w:val="22"/>
          <w:lang w:val="es-MX" w:eastAsia="es-MX"/>
        </w:rPr>
        <w:t xml:space="preserve">advierta </w:t>
      </w:r>
      <w:r w:rsidRPr="00473FAD">
        <w:rPr>
          <w:rFonts w:eastAsiaTheme="majorEastAsia"/>
          <w:sz w:val="22"/>
          <w:szCs w:val="22"/>
          <w:lang w:val="es-MX" w:eastAsia="es-MX"/>
        </w:rPr>
        <w:t>que no constituyen violaciones en materia de propaganda político-electoral;</w:t>
      </w:r>
    </w:p>
    <w:p w:rsidR="00473FAD" w:rsidRPr="00473FAD" w:rsidRDefault="00473FAD" w:rsidP="00473FAD">
      <w:pPr>
        <w:pStyle w:val="Prrafodelista"/>
        <w:tabs>
          <w:tab w:val="clear" w:pos="1215"/>
        </w:tabs>
        <w:spacing w:before="0" w:after="0"/>
        <w:ind w:left="851"/>
        <w:rPr>
          <w:rFonts w:eastAsiaTheme="majorEastAsia"/>
          <w:sz w:val="22"/>
          <w:szCs w:val="22"/>
          <w:lang w:val="es-MX" w:eastAsia="es-MX"/>
        </w:rPr>
      </w:pPr>
    </w:p>
    <w:p w:rsidR="00990A4E" w:rsidRDefault="009129EE" w:rsidP="001F4756">
      <w:pPr>
        <w:pStyle w:val="Prrafodelista"/>
        <w:numPr>
          <w:ilvl w:val="0"/>
          <w:numId w:val="34"/>
        </w:numPr>
        <w:tabs>
          <w:tab w:val="clear" w:pos="1215"/>
        </w:tabs>
        <w:spacing w:before="0" w:after="0"/>
        <w:ind w:left="851" w:firstLine="0"/>
        <w:rPr>
          <w:rFonts w:eastAsiaTheme="majorEastAsia"/>
          <w:sz w:val="22"/>
          <w:szCs w:val="22"/>
          <w:lang w:val="es-MX" w:eastAsia="es-MX"/>
        </w:rPr>
      </w:pPr>
      <w:r w:rsidRPr="00473FAD">
        <w:rPr>
          <w:rFonts w:eastAsiaTheme="majorEastAsia"/>
          <w:sz w:val="22"/>
          <w:szCs w:val="22"/>
          <w:lang w:val="es-MX" w:eastAsia="es-MX"/>
        </w:rPr>
        <w:t xml:space="preserve">Se </w:t>
      </w:r>
      <w:r w:rsidR="008C21A7" w:rsidRPr="00473FAD">
        <w:rPr>
          <w:rFonts w:eastAsiaTheme="majorEastAsia"/>
          <w:sz w:val="22"/>
          <w:szCs w:val="22"/>
          <w:lang w:val="es-MX" w:eastAsia="es-MX"/>
        </w:rPr>
        <w:t>actualizó la causa de desechamiento prevista en los artículos 471, párrafo 5, inciso b), de la LGIPE, y 60, párrafo 1, fracción II, del Reglamento de Quejas y Denuncias</w:t>
      </w:r>
      <w:r w:rsidR="008D7578" w:rsidRPr="00473FAD">
        <w:rPr>
          <w:rFonts w:eastAsiaTheme="majorEastAsia"/>
          <w:sz w:val="22"/>
          <w:szCs w:val="22"/>
          <w:lang w:val="es-MX" w:eastAsia="es-MX"/>
        </w:rPr>
        <w:t xml:space="preserve">, toda vez que, los hechos denunciados no constituían una violación en materia de propaganda </w:t>
      </w:r>
      <w:r w:rsidR="00990A4E" w:rsidRPr="00473FAD">
        <w:rPr>
          <w:rFonts w:eastAsiaTheme="majorEastAsia"/>
          <w:sz w:val="22"/>
          <w:szCs w:val="22"/>
          <w:lang w:val="es-MX" w:eastAsia="es-MX"/>
        </w:rPr>
        <w:t>político-electoral.</w:t>
      </w:r>
    </w:p>
    <w:p w:rsidR="002C47AD" w:rsidRPr="002C47AD" w:rsidRDefault="002C47AD" w:rsidP="002C47AD">
      <w:pPr>
        <w:pStyle w:val="Prrafodelista"/>
        <w:rPr>
          <w:rFonts w:eastAsiaTheme="majorEastAsia"/>
          <w:sz w:val="22"/>
          <w:szCs w:val="22"/>
          <w:lang w:val="es-MX" w:eastAsia="es-MX"/>
        </w:rPr>
      </w:pPr>
    </w:p>
    <w:p w:rsidR="002C47AD" w:rsidRPr="00473FAD" w:rsidRDefault="002C47AD" w:rsidP="002C47AD">
      <w:pPr>
        <w:pStyle w:val="Prrafodelista"/>
        <w:tabs>
          <w:tab w:val="clear" w:pos="1215"/>
        </w:tabs>
        <w:spacing w:before="0" w:after="0"/>
        <w:ind w:left="851"/>
        <w:rPr>
          <w:rFonts w:eastAsiaTheme="majorEastAsia"/>
          <w:sz w:val="22"/>
          <w:szCs w:val="22"/>
          <w:lang w:val="es-MX" w:eastAsia="es-MX"/>
        </w:rPr>
      </w:pPr>
    </w:p>
    <w:p w:rsidR="008C21A7" w:rsidRDefault="0085486B" w:rsidP="001F4756">
      <w:pPr>
        <w:pStyle w:val="Prrafodelista"/>
        <w:numPr>
          <w:ilvl w:val="0"/>
          <w:numId w:val="34"/>
        </w:numPr>
        <w:tabs>
          <w:tab w:val="clear" w:pos="1215"/>
        </w:tabs>
        <w:spacing w:before="0" w:after="0"/>
        <w:ind w:left="851" w:firstLine="0"/>
        <w:rPr>
          <w:rFonts w:eastAsiaTheme="majorEastAsia"/>
          <w:sz w:val="22"/>
          <w:szCs w:val="22"/>
          <w:lang w:val="es-MX" w:eastAsia="es-MX"/>
        </w:rPr>
      </w:pPr>
      <w:r w:rsidRPr="00473FAD">
        <w:rPr>
          <w:rFonts w:eastAsiaTheme="majorEastAsia"/>
          <w:sz w:val="22"/>
          <w:szCs w:val="22"/>
          <w:lang w:val="es-MX" w:eastAsia="es-MX"/>
        </w:rPr>
        <w:lastRenderedPageBreak/>
        <w:t xml:space="preserve">Las manifestaciones realizadas por el denunciado no se encuentran basadas en algún estereotipo por razón de </w:t>
      </w:r>
      <w:r w:rsidR="001F4756" w:rsidRPr="00473FAD">
        <w:rPr>
          <w:rFonts w:eastAsiaTheme="majorEastAsia"/>
          <w:sz w:val="22"/>
          <w:szCs w:val="22"/>
          <w:lang w:val="es-MX" w:eastAsia="es-MX"/>
        </w:rPr>
        <w:t>género o condición de mujer, por lo que no criminaliza, humilla o denigra por tener esa calidad.</w:t>
      </w:r>
      <w:r w:rsidR="00990A4E" w:rsidRPr="00473FAD">
        <w:rPr>
          <w:rFonts w:eastAsiaTheme="majorEastAsia"/>
          <w:sz w:val="22"/>
          <w:szCs w:val="22"/>
          <w:lang w:val="es-MX" w:eastAsia="es-MX"/>
        </w:rPr>
        <w:t xml:space="preserve">      </w:t>
      </w:r>
    </w:p>
    <w:p w:rsidR="00473FAD" w:rsidRPr="00473FAD" w:rsidRDefault="00473FAD" w:rsidP="00473FAD">
      <w:pPr>
        <w:pStyle w:val="Prrafodelista"/>
        <w:tabs>
          <w:tab w:val="clear" w:pos="1215"/>
        </w:tabs>
        <w:spacing w:before="0" w:after="0"/>
        <w:ind w:left="851"/>
        <w:rPr>
          <w:rFonts w:eastAsiaTheme="majorEastAsia"/>
          <w:sz w:val="22"/>
          <w:szCs w:val="22"/>
          <w:lang w:val="es-MX" w:eastAsia="es-MX"/>
        </w:rPr>
      </w:pPr>
    </w:p>
    <w:p w:rsidR="00DC1686" w:rsidRDefault="001F4756" w:rsidP="001F4756">
      <w:pPr>
        <w:pStyle w:val="Prrafodelista"/>
        <w:numPr>
          <w:ilvl w:val="0"/>
          <w:numId w:val="34"/>
        </w:numPr>
        <w:tabs>
          <w:tab w:val="clear" w:pos="1215"/>
        </w:tabs>
        <w:spacing w:before="0" w:after="0"/>
        <w:ind w:left="851" w:firstLine="0"/>
        <w:rPr>
          <w:rFonts w:eastAsiaTheme="majorEastAsia"/>
          <w:sz w:val="22"/>
          <w:szCs w:val="22"/>
          <w:lang w:val="es-MX" w:eastAsia="es-MX"/>
        </w:rPr>
      </w:pPr>
      <w:r w:rsidRPr="00473FAD">
        <w:rPr>
          <w:rFonts w:eastAsiaTheme="majorEastAsia"/>
          <w:sz w:val="22"/>
          <w:szCs w:val="22"/>
          <w:lang w:val="es-MX" w:eastAsia="es-MX"/>
        </w:rPr>
        <w:t>El elemento a verificar no se satisface, ya que, si bien existieron declaraciones en las que se aludió a la candidata, ninguna hace referencia a su género ni su condición de mujer, tienen connotaciones que se refieran a las condiciones sociales de lo que significa ser mujer, tampoco refuerzan o normalizan estereotipos de género.</w:t>
      </w:r>
    </w:p>
    <w:p w:rsidR="00473FAD" w:rsidRPr="00473FAD" w:rsidRDefault="00473FAD" w:rsidP="00473FAD">
      <w:pPr>
        <w:pStyle w:val="Prrafodelista"/>
        <w:rPr>
          <w:rFonts w:eastAsiaTheme="majorEastAsia"/>
          <w:sz w:val="22"/>
          <w:szCs w:val="22"/>
          <w:lang w:val="es-MX" w:eastAsia="es-MX"/>
        </w:rPr>
      </w:pPr>
    </w:p>
    <w:p w:rsidR="00DC1686" w:rsidRDefault="001F4756" w:rsidP="001F4756">
      <w:pPr>
        <w:pStyle w:val="Prrafodelista"/>
        <w:numPr>
          <w:ilvl w:val="0"/>
          <w:numId w:val="34"/>
        </w:numPr>
        <w:tabs>
          <w:tab w:val="clear" w:pos="1215"/>
        </w:tabs>
        <w:spacing w:before="0" w:after="0"/>
        <w:ind w:left="851" w:firstLine="0"/>
        <w:rPr>
          <w:rFonts w:eastAsiaTheme="majorEastAsia"/>
          <w:sz w:val="22"/>
          <w:szCs w:val="22"/>
          <w:lang w:val="es-MX" w:eastAsia="es-MX"/>
        </w:rPr>
      </w:pPr>
      <w:r w:rsidRPr="00473FAD">
        <w:rPr>
          <w:rFonts w:eastAsiaTheme="majorEastAsia"/>
          <w:sz w:val="22"/>
          <w:szCs w:val="22"/>
          <w:lang w:val="es-MX" w:eastAsia="es-MX"/>
        </w:rPr>
        <w:t>Son manifestaciones que no tuvieron como objeto o resultado menoscabar o anular el reconocimiento, goce y/o ejercicio de los derechos político-electorales de la accionante, por no encontrarse basadas en el género de la citada candidata.</w:t>
      </w:r>
      <w:r w:rsidR="00DC1686" w:rsidRPr="00473FAD">
        <w:rPr>
          <w:rFonts w:eastAsiaTheme="majorEastAsia"/>
          <w:sz w:val="22"/>
          <w:szCs w:val="22"/>
          <w:lang w:val="es-MX" w:eastAsia="es-MX"/>
        </w:rPr>
        <w:t xml:space="preserve"> </w:t>
      </w:r>
    </w:p>
    <w:p w:rsidR="00473FAD" w:rsidRPr="00473FAD" w:rsidRDefault="00473FAD" w:rsidP="00473FAD">
      <w:pPr>
        <w:pStyle w:val="Prrafodelista"/>
        <w:rPr>
          <w:rFonts w:eastAsiaTheme="majorEastAsia"/>
          <w:sz w:val="22"/>
          <w:szCs w:val="22"/>
          <w:lang w:val="es-MX" w:eastAsia="es-MX"/>
        </w:rPr>
      </w:pPr>
    </w:p>
    <w:p w:rsidR="00DC1686" w:rsidRPr="00473FAD" w:rsidRDefault="001F4756" w:rsidP="001F4756">
      <w:pPr>
        <w:pStyle w:val="Prrafodelista"/>
        <w:numPr>
          <w:ilvl w:val="0"/>
          <w:numId w:val="34"/>
        </w:numPr>
        <w:tabs>
          <w:tab w:val="clear" w:pos="1215"/>
        </w:tabs>
        <w:spacing w:before="0" w:after="0"/>
        <w:ind w:left="851" w:firstLine="0"/>
        <w:rPr>
          <w:rFonts w:eastAsiaTheme="majorEastAsia"/>
          <w:sz w:val="22"/>
          <w:szCs w:val="22"/>
          <w:lang w:val="es-MX" w:eastAsia="es-MX"/>
        </w:rPr>
      </w:pPr>
      <w:r w:rsidRPr="00473FAD">
        <w:rPr>
          <w:rFonts w:eastAsiaTheme="majorEastAsia"/>
          <w:sz w:val="22"/>
          <w:szCs w:val="22"/>
          <w:lang w:val="es-MX" w:eastAsia="es-MX"/>
        </w:rPr>
        <w:t>No generan violencia política a la candidata por el hecho de ser mujer y se realizaron dentro del contexto de un proceso electoral.</w:t>
      </w:r>
    </w:p>
    <w:p w:rsidR="001F4756" w:rsidRDefault="001F4756" w:rsidP="001F4756">
      <w:pPr>
        <w:keepNext/>
        <w:keepLines/>
        <w:spacing w:before="0" w:after="0"/>
        <w:ind w:firstLine="851"/>
        <w:outlineLvl w:val="1"/>
        <w:rPr>
          <w:rFonts w:eastAsiaTheme="majorEastAsia"/>
          <w:b/>
          <w:sz w:val="26"/>
          <w:szCs w:val="26"/>
          <w:lang w:val="es-MX" w:eastAsia="es-MX"/>
        </w:rPr>
      </w:pPr>
    </w:p>
    <w:p w:rsidR="007117ED" w:rsidRDefault="007117ED" w:rsidP="007117ED">
      <w:pPr>
        <w:keepNext/>
        <w:keepLines/>
        <w:spacing w:before="0" w:after="0"/>
        <w:outlineLvl w:val="1"/>
        <w:rPr>
          <w:rFonts w:eastAsiaTheme="majorEastAsia"/>
          <w:sz w:val="26"/>
          <w:szCs w:val="26"/>
          <w:lang w:val="es-MX" w:eastAsia="es-MX"/>
        </w:rPr>
      </w:pPr>
      <w:r w:rsidRPr="007117ED">
        <w:rPr>
          <w:rFonts w:eastAsiaTheme="majorEastAsia"/>
          <w:sz w:val="26"/>
          <w:szCs w:val="26"/>
          <w:lang w:val="es-MX" w:eastAsia="es-MX"/>
        </w:rPr>
        <w:t>Po</w:t>
      </w:r>
      <w:r>
        <w:rPr>
          <w:rFonts w:eastAsiaTheme="majorEastAsia"/>
          <w:sz w:val="26"/>
          <w:szCs w:val="26"/>
          <w:lang w:val="es-MX" w:eastAsia="es-MX"/>
        </w:rPr>
        <w:t>r</w:t>
      </w:r>
      <w:r w:rsidRPr="007117ED">
        <w:rPr>
          <w:rFonts w:eastAsiaTheme="majorEastAsia"/>
          <w:sz w:val="26"/>
          <w:szCs w:val="26"/>
          <w:lang w:val="es-MX" w:eastAsia="es-MX"/>
        </w:rPr>
        <w:t xml:space="preserve"> su parte,</w:t>
      </w:r>
      <w:r>
        <w:rPr>
          <w:rFonts w:eastAsiaTheme="majorEastAsia"/>
          <w:sz w:val="26"/>
          <w:szCs w:val="26"/>
          <w:lang w:val="es-MX" w:eastAsia="es-MX"/>
        </w:rPr>
        <w:t xml:space="preserve"> los agravios expresados por la parte recurrente son:</w:t>
      </w:r>
    </w:p>
    <w:p w:rsidR="007117ED" w:rsidRDefault="007117ED" w:rsidP="007117ED">
      <w:pPr>
        <w:keepNext/>
        <w:keepLines/>
        <w:spacing w:before="0" w:after="0"/>
        <w:outlineLvl w:val="1"/>
        <w:rPr>
          <w:rFonts w:eastAsiaTheme="majorEastAsia"/>
          <w:sz w:val="26"/>
          <w:szCs w:val="26"/>
          <w:lang w:val="es-MX" w:eastAsia="es-MX"/>
        </w:rPr>
      </w:pPr>
    </w:p>
    <w:p w:rsidR="001177BB" w:rsidRPr="001177BB" w:rsidRDefault="001177BB" w:rsidP="001177BB">
      <w:pPr>
        <w:pStyle w:val="Prrafodelista"/>
        <w:tabs>
          <w:tab w:val="clear" w:pos="1215"/>
        </w:tabs>
        <w:spacing w:before="0" w:after="0"/>
        <w:ind w:left="851"/>
        <w:rPr>
          <w:rFonts w:eastAsiaTheme="majorEastAsia"/>
          <w:b/>
          <w:sz w:val="22"/>
          <w:szCs w:val="22"/>
          <w:lang w:val="es-MX" w:eastAsia="es-MX"/>
        </w:rPr>
      </w:pPr>
      <w:r w:rsidRPr="001177BB">
        <w:rPr>
          <w:rFonts w:eastAsiaTheme="majorEastAsia"/>
          <w:b/>
          <w:sz w:val="22"/>
          <w:szCs w:val="22"/>
          <w:lang w:val="es-MX" w:eastAsia="es-MX"/>
        </w:rPr>
        <w:t>Primer Agravio</w:t>
      </w:r>
    </w:p>
    <w:p w:rsidR="001177BB" w:rsidRPr="001177BB" w:rsidRDefault="001177BB" w:rsidP="001177BB">
      <w:pPr>
        <w:pStyle w:val="Prrafodelista"/>
        <w:numPr>
          <w:ilvl w:val="0"/>
          <w:numId w:val="34"/>
        </w:numPr>
        <w:tabs>
          <w:tab w:val="clear" w:pos="1215"/>
        </w:tabs>
        <w:spacing w:before="0" w:after="0"/>
        <w:ind w:left="851" w:firstLine="0"/>
        <w:rPr>
          <w:rFonts w:eastAsiaTheme="majorEastAsia"/>
          <w:sz w:val="22"/>
          <w:szCs w:val="22"/>
          <w:lang w:val="es-MX" w:eastAsia="es-MX"/>
        </w:rPr>
      </w:pPr>
      <w:r>
        <w:rPr>
          <w:rFonts w:eastAsiaTheme="majorEastAsia"/>
          <w:sz w:val="22"/>
          <w:szCs w:val="22"/>
          <w:lang w:val="es-MX" w:eastAsia="es-MX"/>
        </w:rPr>
        <w:t xml:space="preserve">La </w:t>
      </w:r>
      <w:r w:rsidRPr="001177BB">
        <w:rPr>
          <w:rFonts w:eastAsiaTheme="majorEastAsia"/>
          <w:sz w:val="22"/>
          <w:szCs w:val="22"/>
          <w:lang w:val="es-MX" w:eastAsia="es-MX"/>
        </w:rPr>
        <w:t>decisión de la autoridad responsable de desechar de plano la queja, no encuadra en el supuesto establecido por el artículo 474, párrafo 1, de la Ley General de Instituciones y Procedimientos Electorales, porque los hechos no se vinculan con la propaganda electoral.</w:t>
      </w:r>
    </w:p>
    <w:p w:rsidR="001177BB" w:rsidRPr="001177BB" w:rsidRDefault="001177BB" w:rsidP="001177BB">
      <w:pPr>
        <w:pStyle w:val="Prrafodelista"/>
        <w:tabs>
          <w:tab w:val="clear" w:pos="1215"/>
        </w:tabs>
        <w:spacing w:before="0" w:after="0"/>
        <w:ind w:left="851"/>
        <w:rPr>
          <w:rFonts w:eastAsiaTheme="majorEastAsia"/>
          <w:sz w:val="22"/>
          <w:szCs w:val="22"/>
          <w:lang w:val="es-MX" w:eastAsia="es-MX"/>
        </w:rPr>
      </w:pPr>
    </w:p>
    <w:p w:rsidR="001177BB" w:rsidRPr="001177BB" w:rsidRDefault="001177BB" w:rsidP="001177BB">
      <w:pPr>
        <w:pStyle w:val="Prrafodelista"/>
        <w:numPr>
          <w:ilvl w:val="0"/>
          <w:numId w:val="34"/>
        </w:numPr>
        <w:tabs>
          <w:tab w:val="clear" w:pos="1215"/>
        </w:tabs>
        <w:spacing w:before="0" w:after="0"/>
        <w:ind w:left="851" w:firstLine="0"/>
        <w:rPr>
          <w:rFonts w:eastAsiaTheme="majorEastAsia"/>
          <w:sz w:val="22"/>
          <w:szCs w:val="22"/>
          <w:lang w:val="es-MX" w:eastAsia="es-MX"/>
        </w:rPr>
      </w:pPr>
      <w:r w:rsidRPr="001177BB">
        <w:rPr>
          <w:rFonts w:eastAsiaTheme="majorEastAsia"/>
          <w:sz w:val="22"/>
          <w:szCs w:val="22"/>
          <w:lang w:val="es-MX" w:eastAsia="es-MX"/>
        </w:rPr>
        <w:t>Que no realiza un estudio del significado ni alcance del concepto de propaganda, ya que</w:t>
      </w:r>
      <w:r w:rsidR="00AB7514">
        <w:rPr>
          <w:rFonts w:eastAsiaTheme="majorEastAsia"/>
          <w:sz w:val="22"/>
          <w:szCs w:val="22"/>
          <w:lang w:val="es-MX" w:eastAsia="es-MX"/>
        </w:rPr>
        <w:t xml:space="preserve"> en</w:t>
      </w:r>
      <w:r w:rsidRPr="001177BB">
        <w:rPr>
          <w:rFonts w:eastAsiaTheme="majorEastAsia"/>
          <w:sz w:val="22"/>
          <w:szCs w:val="22"/>
          <w:lang w:val="es-MX" w:eastAsia="es-MX"/>
        </w:rPr>
        <w:t xml:space="preserve"> el artículo 242, punto 3, de la Ley General de Instituciones y Procedimientos Electorales, se encuentra la descripción de expresiones que difundan los candidatos, entre otros.</w:t>
      </w:r>
    </w:p>
    <w:p w:rsidR="001177BB" w:rsidRPr="001177BB" w:rsidRDefault="001177BB" w:rsidP="00AB7514">
      <w:pPr>
        <w:pStyle w:val="Prrafodelista"/>
        <w:tabs>
          <w:tab w:val="clear" w:pos="1215"/>
        </w:tabs>
        <w:spacing w:before="0" w:after="0"/>
        <w:ind w:left="851"/>
        <w:rPr>
          <w:rFonts w:eastAsiaTheme="majorEastAsia"/>
          <w:sz w:val="22"/>
          <w:szCs w:val="22"/>
          <w:lang w:val="es-MX" w:eastAsia="es-MX"/>
        </w:rPr>
      </w:pPr>
    </w:p>
    <w:p w:rsidR="001177BB" w:rsidRPr="001177BB" w:rsidRDefault="001177BB" w:rsidP="001177BB">
      <w:pPr>
        <w:pStyle w:val="Prrafodelista"/>
        <w:numPr>
          <w:ilvl w:val="0"/>
          <w:numId w:val="34"/>
        </w:numPr>
        <w:tabs>
          <w:tab w:val="clear" w:pos="1215"/>
        </w:tabs>
        <w:spacing w:before="0" w:after="0"/>
        <w:ind w:left="851" w:firstLine="0"/>
        <w:rPr>
          <w:rFonts w:eastAsiaTheme="majorEastAsia"/>
          <w:sz w:val="22"/>
          <w:szCs w:val="22"/>
          <w:lang w:val="es-MX" w:eastAsia="es-MX"/>
        </w:rPr>
      </w:pPr>
      <w:r w:rsidRPr="001177BB">
        <w:rPr>
          <w:rFonts w:eastAsiaTheme="majorEastAsia"/>
          <w:sz w:val="22"/>
          <w:szCs w:val="22"/>
          <w:lang w:val="es-MX" w:eastAsia="es-MX"/>
        </w:rPr>
        <w:t xml:space="preserve">La controversia de los hechos denunciados se constriñe </w:t>
      </w:r>
      <w:r w:rsidR="00AB7514">
        <w:rPr>
          <w:rFonts w:eastAsiaTheme="majorEastAsia"/>
          <w:sz w:val="22"/>
          <w:szCs w:val="22"/>
          <w:lang w:val="es-MX" w:eastAsia="es-MX"/>
        </w:rPr>
        <w:t>a</w:t>
      </w:r>
      <w:r w:rsidRPr="001177BB">
        <w:rPr>
          <w:rFonts w:eastAsiaTheme="majorEastAsia"/>
          <w:sz w:val="22"/>
          <w:szCs w:val="22"/>
          <w:lang w:val="es-MX" w:eastAsia="es-MX"/>
        </w:rPr>
        <w:t xml:space="preserve"> las expresiones hechas por el candidato Fernando Manzanilla Prieto, por lo que, la litis consiste en las expresiones realizadas en diversos momentos por dicho candidato.</w:t>
      </w:r>
    </w:p>
    <w:p w:rsidR="001177BB" w:rsidRPr="001177BB" w:rsidRDefault="001177BB" w:rsidP="00AB7514">
      <w:pPr>
        <w:pStyle w:val="Prrafodelista"/>
        <w:tabs>
          <w:tab w:val="clear" w:pos="1215"/>
        </w:tabs>
        <w:spacing w:before="0" w:after="0"/>
        <w:ind w:left="851"/>
        <w:rPr>
          <w:rFonts w:eastAsiaTheme="majorEastAsia"/>
          <w:sz w:val="22"/>
          <w:szCs w:val="22"/>
          <w:lang w:val="es-MX" w:eastAsia="es-MX"/>
        </w:rPr>
      </w:pPr>
    </w:p>
    <w:p w:rsidR="001177BB" w:rsidRPr="001177BB" w:rsidRDefault="00AB7514" w:rsidP="001177BB">
      <w:pPr>
        <w:pStyle w:val="Prrafodelista"/>
        <w:numPr>
          <w:ilvl w:val="0"/>
          <w:numId w:val="34"/>
        </w:numPr>
        <w:tabs>
          <w:tab w:val="clear" w:pos="1215"/>
        </w:tabs>
        <w:spacing w:before="0" w:after="0"/>
        <w:ind w:left="851" w:firstLine="0"/>
        <w:rPr>
          <w:rFonts w:eastAsiaTheme="majorEastAsia"/>
          <w:sz w:val="22"/>
          <w:szCs w:val="22"/>
          <w:lang w:val="es-MX" w:eastAsia="es-MX"/>
        </w:rPr>
      </w:pPr>
      <w:r>
        <w:rPr>
          <w:rFonts w:eastAsiaTheme="majorEastAsia"/>
          <w:sz w:val="22"/>
          <w:szCs w:val="22"/>
          <w:lang w:val="es-MX" w:eastAsia="es-MX"/>
        </w:rPr>
        <w:lastRenderedPageBreak/>
        <w:t>La responsable r</w:t>
      </w:r>
      <w:r w:rsidR="001177BB" w:rsidRPr="001177BB">
        <w:rPr>
          <w:rFonts w:eastAsiaTheme="majorEastAsia"/>
          <w:sz w:val="22"/>
          <w:szCs w:val="22"/>
          <w:lang w:val="es-MX" w:eastAsia="es-MX"/>
        </w:rPr>
        <w:t xml:space="preserve">ealizó una incorrecta valoración del material probatorio ofrecido por el recurrente, del que se desprende que las expresiones </w:t>
      </w:r>
      <w:r>
        <w:rPr>
          <w:rFonts w:eastAsiaTheme="majorEastAsia"/>
          <w:sz w:val="22"/>
          <w:szCs w:val="22"/>
          <w:lang w:val="es-MX" w:eastAsia="es-MX"/>
        </w:rPr>
        <w:t>denunciadas</w:t>
      </w:r>
      <w:r w:rsidR="001177BB" w:rsidRPr="001177BB">
        <w:rPr>
          <w:rFonts w:eastAsiaTheme="majorEastAsia"/>
          <w:sz w:val="22"/>
          <w:szCs w:val="22"/>
          <w:lang w:val="es-MX" w:eastAsia="es-MX"/>
        </w:rPr>
        <w:t xml:space="preserve"> fueron actos de campaña que vulneran </w:t>
      </w:r>
      <w:r>
        <w:rPr>
          <w:rFonts w:eastAsiaTheme="majorEastAsia"/>
          <w:sz w:val="22"/>
          <w:szCs w:val="22"/>
          <w:lang w:val="es-MX" w:eastAsia="es-MX"/>
        </w:rPr>
        <w:t xml:space="preserve">sus </w:t>
      </w:r>
      <w:r w:rsidR="001177BB" w:rsidRPr="001177BB">
        <w:rPr>
          <w:rFonts w:eastAsiaTheme="majorEastAsia"/>
          <w:sz w:val="22"/>
          <w:szCs w:val="22"/>
          <w:lang w:val="es-MX" w:eastAsia="es-MX"/>
        </w:rPr>
        <w:t xml:space="preserve">derechos, al discriminar </w:t>
      </w:r>
      <w:r>
        <w:rPr>
          <w:rFonts w:eastAsiaTheme="majorEastAsia"/>
          <w:sz w:val="22"/>
          <w:szCs w:val="22"/>
          <w:lang w:val="es-MX" w:eastAsia="es-MX"/>
        </w:rPr>
        <w:t xml:space="preserve">su </w:t>
      </w:r>
      <w:r w:rsidR="001177BB" w:rsidRPr="001177BB">
        <w:rPr>
          <w:rFonts w:eastAsiaTheme="majorEastAsia"/>
          <w:sz w:val="22"/>
          <w:szCs w:val="22"/>
          <w:lang w:val="es-MX" w:eastAsia="es-MX"/>
        </w:rPr>
        <w:t>participación en el presente proceso electoral.</w:t>
      </w:r>
    </w:p>
    <w:p w:rsidR="001177BB" w:rsidRPr="001177BB" w:rsidRDefault="001177BB" w:rsidP="00AB7514">
      <w:pPr>
        <w:pStyle w:val="Prrafodelista"/>
        <w:tabs>
          <w:tab w:val="clear" w:pos="1215"/>
        </w:tabs>
        <w:spacing w:before="0" w:after="0"/>
        <w:ind w:left="851"/>
        <w:rPr>
          <w:rFonts w:eastAsiaTheme="majorEastAsia"/>
          <w:sz w:val="22"/>
          <w:szCs w:val="22"/>
          <w:lang w:val="es-MX" w:eastAsia="es-MX"/>
        </w:rPr>
      </w:pPr>
    </w:p>
    <w:p w:rsidR="001177BB" w:rsidRPr="00AB7514" w:rsidRDefault="001177BB" w:rsidP="00AB7514">
      <w:pPr>
        <w:pStyle w:val="Prrafodelista"/>
        <w:tabs>
          <w:tab w:val="clear" w:pos="1215"/>
        </w:tabs>
        <w:spacing w:before="0" w:after="0"/>
        <w:ind w:left="851"/>
        <w:rPr>
          <w:rFonts w:eastAsiaTheme="majorEastAsia"/>
          <w:b/>
          <w:sz w:val="22"/>
          <w:szCs w:val="22"/>
          <w:lang w:val="es-MX" w:eastAsia="es-MX"/>
        </w:rPr>
      </w:pPr>
      <w:r w:rsidRPr="00AB7514">
        <w:rPr>
          <w:rFonts w:eastAsiaTheme="majorEastAsia"/>
          <w:b/>
          <w:sz w:val="22"/>
          <w:szCs w:val="22"/>
          <w:lang w:val="es-MX" w:eastAsia="es-MX"/>
        </w:rPr>
        <w:t>Segundo Agravio</w:t>
      </w:r>
    </w:p>
    <w:p w:rsidR="001177BB" w:rsidRPr="00AB7514" w:rsidRDefault="001177BB" w:rsidP="00863BFE">
      <w:pPr>
        <w:pStyle w:val="Prrafodelista"/>
        <w:numPr>
          <w:ilvl w:val="0"/>
          <w:numId w:val="34"/>
        </w:numPr>
        <w:tabs>
          <w:tab w:val="clear" w:pos="1215"/>
        </w:tabs>
        <w:spacing w:before="0" w:after="0"/>
        <w:ind w:left="851" w:firstLine="0"/>
        <w:rPr>
          <w:rFonts w:eastAsiaTheme="majorEastAsia"/>
          <w:sz w:val="22"/>
          <w:szCs w:val="22"/>
          <w:lang w:val="es-MX" w:eastAsia="es-MX"/>
        </w:rPr>
      </w:pPr>
      <w:r w:rsidRPr="00AB7514">
        <w:rPr>
          <w:rFonts w:eastAsiaTheme="majorEastAsia"/>
          <w:sz w:val="22"/>
          <w:szCs w:val="22"/>
          <w:lang w:val="es-MX" w:eastAsia="es-MX"/>
        </w:rPr>
        <w:t xml:space="preserve">La responsable vulneró los principios de legalidad y exhaustividad, porque determinó el desechamiento de la queja, </w:t>
      </w:r>
      <w:r w:rsidR="00AB7514">
        <w:rPr>
          <w:rFonts w:eastAsiaTheme="majorEastAsia"/>
          <w:sz w:val="22"/>
          <w:szCs w:val="22"/>
          <w:lang w:val="es-MX" w:eastAsia="es-MX"/>
        </w:rPr>
        <w:t>s</w:t>
      </w:r>
      <w:r w:rsidRPr="00AB7514">
        <w:rPr>
          <w:rFonts w:eastAsiaTheme="majorEastAsia"/>
          <w:sz w:val="22"/>
          <w:szCs w:val="22"/>
          <w:lang w:val="es-MX" w:eastAsia="es-MX"/>
        </w:rPr>
        <w:t>in valorar las pruebas ofrecidas y las expresiones manifestadas en actos de campaña por parte del candidato Fernando Manzanilla Prieto, las cuales, si bien, aisladamente parecen neutrales, lo cierto es que tienen la clara intención de minimizar la dignidad de la recurrente, al ser hostiles y discriminatorias, y la ubican en un plano de inferioridad en su participación, tratando de anularla u obstaculizarla.</w:t>
      </w:r>
    </w:p>
    <w:p w:rsidR="001177BB" w:rsidRPr="001177BB" w:rsidRDefault="001177BB" w:rsidP="00AB7514">
      <w:pPr>
        <w:pStyle w:val="Prrafodelista"/>
        <w:tabs>
          <w:tab w:val="clear" w:pos="1215"/>
        </w:tabs>
        <w:spacing w:before="0" w:after="0"/>
        <w:ind w:left="851"/>
        <w:rPr>
          <w:rFonts w:eastAsiaTheme="majorEastAsia"/>
          <w:sz w:val="22"/>
          <w:szCs w:val="22"/>
          <w:lang w:val="es-MX" w:eastAsia="es-MX"/>
        </w:rPr>
      </w:pPr>
    </w:p>
    <w:p w:rsidR="001177BB" w:rsidRPr="001177BB" w:rsidRDefault="00AB7514" w:rsidP="001177BB">
      <w:pPr>
        <w:pStyle w:val="Prrafodelista"/>
        <w:numPr>
          <w:ilvl w:val="0"/>
          <w:numId w:val="34"/>
        </w:numPr>
        <w:tabs>
          <w:tab w:val="clear" w:pos="1215"/>
        </w:tabs>
        <w:spacing w:before="0" w:after="0"/>
        <w:ind w:left="851" w:firstLine="0"/>
        <w:rPr>
          <w:rFonts w:eastAsiaTheme="majorEastAsia"/>
          <w:sz w:val="22"/>
          <w:szCs w:val="22"/>
          <w:lang w:val="es-MX" w:eastAsia="es-MX"/>
        </w:rPr>
      </w:pPr>
      <w:r>
        <w:rPr>
          <w:rFonts w:eastAsiaTheme="majorEastAsia"/>
          <w:sz w:val="22"/>
          <w:szCs w:val="22"/>
          <w:lang w:val="es-MX" w:eastAsia="es-MX"/>
        </w:rPr>
        <w:t>U</w:t>
      </w:r>
      <w:r w:rsidR="001177BB" w:rsidRPr="001177BB">
        <w:rPr>
          <w:rFonts w:eastAsiaTheme="majorEastAsia"/>
          <w:sz w:val="22"/>
          <w:szCs w:val="22"/>
          <w:lang w:val="es-MX" w:eastAsia="es-MX"/>
        </w:rPr>
        <w:t xml:space="preserve">só adjetivos que refieren a la falta de capacidad para cumplir cabalmente una responsabilidad en el ejercicio de la función pública. </w:t>
      </w:r>
    </w:p>
    <w:p w:rsidR="001177BB" w:rsidRPr="001177BB" w:rsidRDefault="001177BB" w:rsidP="00AB7514">
      <w:pPr>
        <w:pStyle w:val="Prrafodelista"/>
        <w:tabs>
          <w:tab w:val="clear" w:pos="1215"/>
        </w:tabs>
        <w:spacing w:before="0" w:after="0"/>
        <w:ind w:left="851"/>
        <w:rPr>
          <w:rFonts w:eastAsiaTheme="majorEastAsia"/>
          <w:sz w:val="22"/>
          <w:szCs w:val="22"/>
          <w:lang w:val="es-MX" w:eastAsia="es-MX"/>
        </w:rPr>
      </w:pPr>
    </w:p>
    <w:p w:rsidR="001177BB" w:rsidRPr="00AB7514" w:rsidRDefault="00AB7514" w:rsidP="00D95AA3">
      <w:pPr>
        <w:pStyle w:val="Prrafodelista"/>
        <w:keepNext/>
        <w:keepLines/>
        <w:numPr>
          <w:ilvl w:val="0"/>
          <w:numId w:val="34"/>
        </w:numPr>
        <w:tabs>
          <w:tab w:val="clear" w:pos="1215"/>
        </w:tabs>
        <w:spacing w:before="0" w:after="0"/>
        <w:ind w:left="851" w:firstLine="0"/>
        <w:outlineLvl w:val="1"/>
        <w:rPr>
          <w:rFonts w:eastAsiaTheme="majorEastAsia"/>
          <w:sz w:val="26"/>
          <w:szCs w:val="26"/>
          <w:lang w:val="es-MX" w:eastAsia="es-MX"/>
        </w:rPr>
      </w:pPr>
      <w:r w:rsidRPr="00AB7514">
        <w:rPr>
          <w:rFonts w:eastAsiaTheme="majorEastAsia"/>
          <w:sz w:val="22"/>
          <w:szCs w:val="22"/>
          <w:lang w:val="es-MX" w:eastAsia="es-MX"/>
        </w:rPr>
        <w:t xml:space="preserve">La </w:t>
      </w:r>
      <w:r w:rsidR="001177BB" w:rsidRPr="00AB7514">
        <w:rPr>
          <w:rFonts w:eastAsiaTheme="majorEastAsia"/>
          <w:sz w:val="22"/>
          <w:szCs w:val="22"/>
          <w:lang w:val="es-MX" w:eastAsia="es-MX"/>
        </w:rPr>
        <w:t>responsable debió analizar los hechos descritos en la queja y vincularlos con las pruebas aportadas, y estudiar la posible actualización de la infracción.</w:t>
      </w:r>
    </w:p>
    <w:p w:rsidR="007117ED" w:rsidRPr="007117ED" w:rsidRDefault="007117ED" w:rsidP="007117ED">
      <w:pPr>
        <w:keepNext/>
        <w:keepLines/>
        <w:spacing w:before="0" w:after="0"/>
        <w:outlineLvl w:val="1"/>
        <w:rPr>
          <w:rFonts w:eastAsiaTheme="majorEastAsia"/>
          <w:b/>
          <w:sz w:val="26"/>
          <w:szCs w:val="26"/>
          <w:lang w:val="es-MX" w:eastAsia="es-MX"/>
        </w:rPr>
      </w:pPr>
    </w:p>
    <w:p w:rsidR="006A0BC6" w:rsidRPr="00AA6C0D" w:rsidRDefault="00E8336C" w:rsidP="00473FAD">
      <w:pPr>
        <w:keepNext/>
        <w:keepLines/>
        <w:spacing w:before="0" w:after="0"/>
        <w:outlineLvl w:val="1"/>
        <w:rPr>
          <w:sz w:val="26"/>
          <w:szCs w:val="26"/>
          <w:lang w:val="es-MX" w:eastAsia="es-MX"/>
        </w:rPr>
      </w:pPr>
      <w:r>
        <w:rPr>
          <w:rFonts w:eastAsiaTheme="majorEastAsia"/>
          <w:b/>
          <w:sz w:val="26"/>
          <w:szCs w:val="26"/>
          <w:lang w:val="es-MX" w:eastAsia="es-MX"/>
        </w:rPr>
        <w:t>6</w:t>
      </w:r>
      <w:r w:rsidR="002B75CF" w:rsidRPr="001F4756">
        <w:rPr>
          <w:b/>
          <w:sz w:val="26"/>
          <w:szCs w:val="26"/>
          <w:lang w:val="es-MX" w:eastAsia="es-MX"/>
        </w:rPr>
        <w:t>. Estudio</w:t>
      </w:r>
      <w:r w:rsidR="00473FAD">
        <w:rPr>
          <w:b/>
          <w:sz w:val="26"/>
          <w:szCs w:val="26"/>
          <w:lang w:val="es-MX" w:eastAsia="es-MX"/>
        </w:rPr>
        <w:t xml:space="preserve">. </w:t>
      </w:r>
      <w:r w:rsidR="005206D2">
        <w:rPr>
          <w:bCs w:val="0"/>
          <w:spacing w:val="10"/>
          <w:sz w:val="26"/>
          <w:szCs w:val="26"/>
        </w:rPr>
        <w:t>L</w:t>
      </w:r>
      <w:r w:rsidR="006A0BC6" w:rsidRPr="00AA6C0D">
        <w:rPr>
          <w:sz w:val="26"/>
          <w:szCs w:val="26"/>
          <w:lang w:val="es-MX" w:eastAsia="es-MX"/>
        </w:rPr>
        <w:t xml:space="preserve">a </w:t>
      </w:r>
      <w:r w:rsidR="006A0BC6" w:rsidRPr="00AA6C0D">
        <w:rPr>
          <w:b/>
          <w:sz w:val="26"/>
          <w:szCs w:val="26"/>
          <w:lang w:val="es-MX" w:eastAsia="es-MX"/>
        </w:rPr>
        <w:t>pretensión</w:t>
      </w:r>
      <w:r w:rsidR="006A0BC6" w:rsidRPr="00AA6C0D">
        <w:rPr>
          <w:sz w:val="26"/>
          <w:szCs w:val="26"/>
          <w:lang w:val="es-MX" w:eastAsia="es-MX"/>
        </w:rPr>
        <w:t xml:space="preserve"> de la parte recurrente es que se revoque el acuerdo de cinco de junio de dos mil dieciocho, dictado por la Vocal Ejecutivo y Consejera del 12 Consejo Distrital del INE en Puebla, por el que </w:t>
      </w:r>
      <w:r w:rsidR="006A0BC6" w:rsidRPr="00AA6C0D">
        <w:rPr>
          <w:b/>
          <w:sz w:val="26"/>
          <w:szCs w:val="26"/>
          <w:lang w:val="es-MX" w:eastAsia="es-MX"/>
        </w:rPr>
        <w:t>desechó de plano la queja</w:t>
      </w:r>
      <w:r w:rsidR="006A0BC6" w:rsidRPr="00AA6C0D">
        <w:rPr>
          <w:sz w:val="26"/>
          <w:szCs w:val="26"/>
          <w:lang w:val="es-MX" w:eastAsia="es-MX"/>
        </w:rPr>
        <w:t xml:space="preserve"> presentada por Roxana Luna Porquillo, Candidata a Diputada Federal por el principio de mayoría relativa por el Distrito Electoral Uninominal 12, de la Coalición “Por México al Frente”, en el Estado de Puebla y por Gerardo Fabián Soriano Soriano, representante propietario del PRD.</w:t>
      </w:r>
    </w:p>
    <w:p w:rsidR="005206D2" w:rsidRDefault="005206D2" w:rsidP="005206D2">
      <w:pPr>
        <w:spacing w:before="0" w:after="0"/>
        <w:rPr>
          <w:sz w:val="26"/>
          <w:szCs w:val="26"/>
          <w:lang w:val="es-MX" w:eastAsia="es-MX"/>
        </w:rPr>
      </w:pPr>
    </w:p>
    <w:p w:rsidR="006A0BC6" w:rsidRDefault="00E8336C" w:rsidP="005206D2">
      <w:pPr>
        <w:spacing w:before="0" w:after="0"/>
        <w:rPr>
          <w:sz w:val="26"/>
          <w:szCs w:val="26"/>
          <w:bdr w:val="none" w:sz="0" w:space="0" w:color="auto" w:frame="1"/>
        </w:rPr>
      </w:pPr>
      <w:r>
        <w:rPr>
          <w:b/>
          <w:sz w:val="26"/>
          <w:szCs w:val="26"/>
          <w:lang w:val="es-MX" w:eastAsia="es-MX"/>
        </w:rPr>
        <w:lastRenderedPageBreak/>
        <w:t>6</w:t>
      </w:r>
      <w:r w:rsidR="006A0BC6" w:rsidRPr="00995027">
        <w:rPr>
          <w:b/>
          <w:sz w:val="26"/>
          <w:szCs w:val="26"/>
          <w:lang w:val="es-MX" w:eastAsia="es-MX"/>
        </w:rPr>
        <w:t>.1. Marco normativo para juzgar con perspectiva de género.</w:t>
      </w:r>
      <w:r w:rsidR="005206D2">
        <w:rPr>
          <w:b/>
          <w:sz w:val="26"/>
          <w:szCs w:val="26"/>
          <w:lang w:val="es-MX" w:eastAsia="es-MX"/>
        </w:rPr>
        <w:t xml:space="preserve"> </w:t>
      </w:r>
      <w:r w:rsidR="006A0BC6" w:rsidRPr="00AA6C0D">
        <w:rPr>
          <w:sz w:val="26"/>
          <w:szCs w:val="26"/>
        </w:rPr>
        <w:t>Es criterio de esta Sala Superior</w:t>
      </w:r>
      <w:r w:rsidR="006A0BC6" w:rsidRPr="00AA6C0D">
        <w:rPr>
          <w:rStyle w:val="Refdenotaalpie"/>
          <w:sz w:val="26"/>
          <w:szCs w:val="26"/>
        </w:rPr>
        <w:footnoteReference w:id="3"/>
      </w:r>
      <w:r w:rsidR="006A0BC6" w:rsidRPr="00AA6C0D">
        <w:rPr>
          <w:sz w:val="26"/>
          <w:szCs w:val="26"/>
        </w:rPr>
        <w:t xml:space="preserve"> y la Suprema Corte de Justicia de la Nación</w:t>
      </w:r>
      <w:r w:rsidR="006A0BC6" w:rsidRPr="00AA6C0D">
        <w:rPr>
          <w:rStyle w:val="Refdenotaalpie"/>
          <w:sz w:val="26"/>
          <w:szCs w:val="26"/>
        </w:rPr>
        <w:footnoteReference w:id="4"/>
      </w:r>
      <w:r w:rsidR="006A0BC6" w:rsidRPr="00AA6C0D">
        <w:rPr>
          <w:sz w:val="26"/>
          <w:szCs w:val="26"/>
        </w:rPr>
        <w:t xml:space="preserve">, que la </w:t>
      </w:r>
      <w:r w:rsidR="006A0BC6" w:rsidRPr="00AA6C0D">
        <w:rPr>
          <w:sz w:val="26"/>
          <w:szCs w:val="26"/>
          <w:bdr w:val="none" w:sz="0" w:space="0" w:color="auto" w:frame="1"/>
        </w:rPr>
        <w:t xml:space="preserve">impartición de justicia con perspectiva de género consiste en una aproximación de análisis de los casos, que permita detectar las asimetrías de poder que comprometen el acceso a la justicia, considerando las situaciones de desventaja, de violencia, o de discriminación o vulnerabilidad por razones de género, ya que, debe velarse porque toda controversia jurisdiccional garantice el acceso a la justicia de forma efectiva e igualitaria, </w:t>
      </w:r>
      <w:r w:rsidR="006A0BC6" w:rsidRPr="00AA6C0D">
        <w:rPr>
          <w:b/>
          <w:sz w:val="26"/>
          <w:szCs w:val="26"/>
          <w:bdr w:val="none" w:sz="0" w:space="0" w:color="auto" w:frame="1"/>
        </w:rPr>
        <w:t>cuestionando los posibles estereotipos de género</w:t>
      </w:r>
      <w:r w:rsidR="006A0BC6" w:rsidRPr="00AA6C0D">
        <w:rPr>
          <w:sz w:val="26"/>
          <w:szCs w:val="26"/>
          <w:bdr w:val="none" w:sz="0" w:space="0" w:color="auto" w:frame="1"/>
        </w:rPr>
        <w:t xml:space="preserve"> y evitando invisibilizar las violaciones alegadas</w:t>
      </w:r>
      <w:r w:rsidR="006A0BC6" w:rsidRPr="00AA6C0D">
        <w:rPr>
          <w:rStyle w:val="Refdenotaalpie"/>
          <w:rFonts w:eastAsiaTheme="majorEastAsia"/>
          <w:sz w:val="26"/>
          <w:szCs w:val="26"/>
          <w:bdr w:val="none" w:sz="0" w:space="0" w:color="auto" w:frame="1"/>
        </w:rPr>
        <w:footnoteReference w:id="5"/>
      </w:r>
      <w:r w:rsidR="006A0BC6" w:rsidRPr="00AA6C0D">
        <w:rPr>
          <w:sz w:val="26"/>
          <w:szCs w:val="26"/>
          <w:bdr w:val="none" w:sz="0" w:space="0" w:color="auto" w:frame="1"/>
        </w:rPr>
        <w:t>.</w:t>
      </w:r>
    </w:p>
    <w:p w:rsidR="005206D2" w:rsidRPr="00AA6C0D" w:rsidRDefault="005206D2" w:rsidP="005206D2">
      <w:pPr>
        <w:spacing w:before="0" w:after="0"/>
        <w:rPr>
          <w:bCs w:val="0"/>
          <w:sz w:val="26"/>
          <w:szCs w:val="26"/>
          <w:bdr w:val="none" w:sz="0" w:space="0" w:color="auto" w:frame="1"/>
        </w:rPr>
      </w:pPr>
    </w:p>
    <w:p w:rsidR="006A0BC6" w:rsidRDefault="006A0BC6" w:rsidP="005206D2">
      <w:pPr>
        <w:spacing w:before="0" w:after="0"/>
        <w:rPr>
          <w:sz w:val="26"/>
          <w:szCs w:val="26"/>
        </w:rPr>
      </w:pPr>
      <w:r w:rsidRPr="00AA6C0D">
        <w:rPr>
          <w:sz w:val="26"/>
          <w:szCs w:val="26"/>
        </w:rPr>
        <w:t>Así, el cumplimiento de los principios de igualdad y no discriminación, y en específico, la atención de la violencia contra las mujeres debe procurarse tanto por las autoridades electorales como por los partidos políticos, en tanto entidades de interés público.</w:t>
      </w:r>
    </w:p>
    <w:p w:rsidR="005206D2" w:rsidRPr="00AA6C0D" w:rsidRDefault="005206D2" w:rsidP="005206D2">
      <w:pPr>
        <w:spacing w:before="0" w:after="0"/>
        <w:rPr>
          <w:sz w:val="26"/>
          <w:szCs w:val="26"/>
        </w:rPr>
      </w:pPr>
    </w:p>
    <w:p w:rsidR="005206D2" w:rsidRDefault="006A0BC6" w:rsidP="005206D2">
      <w:pPr>
        <w:spacing w:before="0" w:after="0"/>
        <w:rPr>
          <w:sz w:val="26"/>
          <w:szCs w:val="26"/>
        </w:rPr>
      </w:pPr>
      <w:r w:rsidRPr="00AA6C0D">
        <w:rPr>
          <w:sz w:val="26"/>
          <w:szCs w:val="26"/>
        </w:rPr>
        <w:t>Lo cual exige un actuar responsable y efectivo de los poderes públicos, pero también de los partidos políticos, quienes tienen el deber de contribuir a revertir y transformar las relaciones tradicionales de dominación entre hombres y mujeres y la perpetuación de estereotipos que fomenten la discriminación.</w:t>
      </w:r>
    </w:p>
    <w:p w:rsidR="005206D2" w:rsidRDefault="005206D2" w:rsidP="005206D2">
      <w:pPr>
        <w:spacing w:before="0" w:after="0"/>
        <w:rPr>
          <w:sz w:val="26"/>
          <w:szCs w:val="26"/>
        </w:rPr>
      </w:pPr>
    </w:p>
    <w:p w:rsidR="006A0BC6" w:rsidRDefault="006A0BC6" w:rsidP="005206D2">
      <w:pPr>
        <w:spacing w:before="0" w:after="0"/>
        <w:rPr>
          <w:sz w:val="26"/>
          <w:szCs w:val="26"/>
        </w:rPr>
      </w:pPr>
      <w:r w:rsidRPr="00AA6C0D">
        <w:rPr>
          <w:sz w:val="26"/>
          <w:szCs w:val="26"/>
        </w:rPr>
        <w:t>Ese mandato se reconoce en los artículos 1º, párrafo 1 y 4° de la Constitución Federal, así como en el artículo 5 y 10</w:t>
      </w:r>
      <w:r w:rsidR="00DE6E80">
        <w:rPr>
          <w:sz w:val="26"/>
          <w:szCs w:val="26"/>
        </w:rPr>
        <w:t xml:space="preserve"> </w:t>
      </w:r>
      <w:r w:rsidRPr="00AA6C0D">
        <w:rPr>
          <w:sz w:val="26"/>
          <w:szCs w:val="26"/>
        </w:rPr>
        <w:t xml:space="preserve">c de la Convención </w:t>
      </w:r>
      <w:r w:rsidRPr="00AA6C0D">
        <w:rPr>
          <w:sz w:val="26"/>
          <w:szCs w:val="26"/>
        </w:rPr>
        <w:lastRenderedPageBreak/>
        <w:t>sobre la Eliminación de todas las formas de Discriminación contra la Mujer</w:t>
      </w:r>
      <w:r w:rsidRPr="00AA6C0D">
        <w:rPr>
          <w:rStyle w:val="Refdenotaalpie"/>
          <w:rFonts w:eastAsiaTheme="majorEastAsia"/>
          <w:sz w:val="26"/>
          <w:szCs w:val="26"/>
        </w:rPr>
        <w:footnoteReference w:id="6"/>
      </w:r>
      <w:r w:rsidRPr="00AA6C0D">
        <w:rPr>
          <w:sz w:val="26"/>
          <w:szCs w:val="26"/>
        </w:rPr>
        <w:t>, así como los artículos 6.b y 8.b de la Convención interamericana para prevenir, sancionar y erradicar la violencia contra la mujer, que obligan al Estado mexicano a tomar medidas para modificar los patrones socioculturales de género, a fin de eliminar los prejuicios y prácticas basadas en el estereotipo de hombres y mujeres.</w:t>
      </w:r>
    </w:p>
    <w:p w:rsidR="004A20D5" w:rsidRPr="00AA6C0D" w:rsidRDefault="004A20D5" w:rsidP="005206D2">
      <w:pPr>
        <w:spacing w:before="0" w:after="0"/>
        <w:rPr>
          <w:sz w:val="26"/>
          <w:szCs w:val="26"/>
        </w:rPr>
      </w:pPr>
    </w:p>
    <w:p w:rsidR="006A0BC6" w:rsidRPr="00AA6C0D" w:rsidRDefault="006A0BC6" w:rsidP="005206D2">
      <w:pPr>
        <w:spacing w:before="0" w:after="0"/>
        <w:rPr>
          <w:sz w:val="26"/>
          <w:szCs w:val="26"/>
        </w:rPr>
      </w:pPr>
      <w:r w:rsidRPr="00AA6C0D">
        <w:rPr>
          <w:sz w:val="26"/>
          <w:szCs w:val="26"/>
        </w:rPr>
        <w:t>Por su parte el artículo 1° de la propia Convención interamericana para prevenir, sancionar y erradicar la violencia contra la mujer, considera violencia contra las mujeres cualquier acción o conducta, basada en su género, que cause la muerte, daño o sufrimiento físico, sexual o psicológico a las mujeres tanto en el ámbito público como el privado.</w:t>
      </w:r>
    </w:p>
    <w:p w:rsidR="004A20D5" w:rsidRDefault="004A20D5" w:rsidP="005206D2">
      <w:pPr>
        <w:spacing w:before="0" w:after="0"/>
        <w:rPr>
          <w:sz w:val="26"/>
          <w:szCs w:val="26"/>
        </w:rPr>
      </w:pPr>
    </w:p>
    <w:p w:rsidR="006A0BC6" w:rsidRPr="00AA6C0D" w:rsidRDefault="006A0BC6" w:rsidP="005206D2">
      <w:pPr>
        <w:spacing w:before="0" w:after="0"/>
        <w:rPr>
          <w:sz w:val="26"/>
          <w:szCs w:val="26"/>
        </w:rPr>
      </w:pPr>
      <w:r w:rsidRPr="00AA6C0D">
        <w:rPr>
          <w:sz w:val="26"/>
          <w:szCs w:val="26"/>
        </w:rPr>
        <w:t>De igual forma, en la legislación nacional se define a la violencia contra las mujeres</w:t>
      </w:r>
      <w:bookmarkStart w:id="0" w:name="LPHit5"/>
      <w:bookmarkEnd w:id="0"/>
      <w:r w:rsidRPr="00AA6C0D">
        <w:rPr>
          <w:rStyle w:val="Refdenotaalpie"/>
          <w:sz w:val="26"/>
          <w:szCs w:val="26"/>
        </w:rPr>
        <w:footnoteReference w:id="7"/>
      </w:r>
      <w:r w:rsidRPr="00AA6C0D">
        <w:rPr>
          <w:sz w:val="26"/>
          <w:szCs w:val="26"/>
        </w:rPr>
        <w:t xml:space="preserve"> como cualquier acción u omisión, basada en su género, que les cause daño o sufrimiento psicológico, físico, patrimonial, económico, sexual o la muerte tanto en el ámbito privado como en el público; por lo que para que exista una promoción o incitación a la violencia contra las mujeres, es necesario el elemento sustancial enfocado en denostar o menoscabar la integridad de las mujeres.</w:t>
      </w:r>
    </w:p>
    <w:p w:rsidR="009D17E9" w:rsidRDefault="009D17E9" w:rsidP="005206D2">
      <w:pPr>
        <w:spacing w:before="0" w:after="0"/>
        <w:rPr>
          <w:sz w:val="26"/>
          <w:szCs w:val="26"/>
        </w:rPr>
      </w:pPr>
    </w:p>
    <w:p w:rsidR="006A0BC6" w:rsidRPr="00AA6C0D" w:rsidRDefault="005206D2" w:rsidP="005206D2">
      <w:pPr>
        <w:spacing w:before="0" w:after="0"/>
        <w:rPr>
          <w:sz w:val="26"/>
          <w:szCs w:val="26"/>
        </w:rPr>
      </w:pPr>
      <w:r>
        <w:rPr>
          <w:sz w:val="26"/>
          <w:szCs w:val="26"/>
        </w:rPr>
        <w:lastRenderedPageBreak/>
        <w:t>C</w:t>
      </w:r>
      <w:r w:rsidR="006A0BC6" w:rsidRPr="00AA6C0D">
        <w:rPr>
          <w:sz w:val="26"/>
          <w:szCs w:val="26"/>
        </w:rPr>
        <w:t>onforme a lo anterior, es obligación de los partidos políticos atender al citado deber en su propaganda electoral, que, precisamente, es una de las vías en que pueden materializar públicamente su contribución a la eliminación de la violencia en la comunicación de sus mensajes y/o propuestas electorales, así como en la reproducción de estereotipos discriminatorios contra la mujer.</w:t>
      </w:r>
    </w:p>
    <w:p w:rsidR="005206D2" w:rsidRDefault="005206D2" w:rsidP="005206D2">
      <w:pPr>
        <w:spacing w:before="0" w:after="0"/>
        <w:rPr>
          <w:sz w:val="26"/>
          <w:szCs w:val="26"/>
        </w:rPr>
      </w:pPr>
    </w:p>
    <w:p w:rsidR="006A0BC6" w:rsidRPr="00AA6C0D" w:rsidRDefault="006A0BC6" w:rsidP="005206D2">
      <w:pPr>
        <w:spacing w:before="0" w:after="0"/>
        <w:rPr>
          <w:sz w:val="26"/>
          <w:szCs w:val="26"/>
        </w:rPr>
      </w:pPr>
      <w:r w:rsidRPr="00AA6C0D">
        <w:rPr>
          <w:sz w:val="26"/>
          <w:szCs w:val="26"/>
        </w:rPr>
        <w:t>En el mismo sentido, esta Sala Superior tiene la obligación de que, en el análisis de los casos que se plantean, atendiendo a las particularidades y contextos, debe juzgar con perspectiva de género, a efecto de detectar la existencia de posibles estereotipos discriminadores.</w:t>
      </w:r>
    </w:p>
    <w:p w:rsidR="005206D2" w:rsidRDefault="005206D2" w:rsidP="005206D2">
      <w:pPr>
        <w:spacing w:before="0" w:after="0"/>
        <w:rPr>
          <w:sz w:val="26"/>
          <w:szCs w:val="26"/>
        </w:rPr>
      </w:pPr>
    </w:p>
    <w:p w:rsidR="0086776C" w:rsidRDefault="006A0BC6" w:rsidP="005206D2">
      <w:pPr>
        <w:spacing w:before="0" w:after="0"/>
        <w:rPr>
          <w:sz w:val="26"/>
          <w:szCs w:val="26"/>
        </w:rPr>
      </w:pPr>
      <w:r w:rsidRPr="00AA6C0D">
        <w:rPr>
          <w:sz w:val="26"/>
          <w:szCs w:val="26"/>
        </w:rPr>
        <w:t>Por otra parte, la presentación de mujeres en una situación aparente de violencia en la propaganda electoral no implica, por ese sólo hecho, una utilización indebida de estereotipos, sino que, según el contexto en que esto se haga, puede entenderse como una denuncia precisamente de dicha situación y un modo de hacerla visible.</w:t>
      </w:r>
    </w:p>
    <w:p w:rsidR="0086776C" w:rsidRDefault="0086776C" w:rsidP="005206D2">
      <w:pPr>
        <w:spacing w:before="0" w:after="0"/>
        <w:rPr>
          <w:sz w:val="26"/>
          <w:szCs w:val="26"/>
        </w:rPr>
      </w:pPr>
    </w:p>
    <w:p w:rsidR="006A0BC6" w:rsidRPr="00CF3E56" w:rsidRDefault="006A0BC6" w:rsidP="005206D2">
      <w:pPr>
        <w:spacing w:before="0" w:after="0"/>
        <w:rPr>
          <w:spacing w:val="4"/>
          <w:sz w:val="26"/>
          <w:szCs w:val="26"/>
          <w:lang w:val="es-MX"/>
        </w:rPr>
      </w:pPr>
      <w:r>
        <w:rPr>
          <w:spacing w:val="4"/>
          <w:sz w:val="26"/>
          <w:szCs w:val="26"/>
          <w:lang w:val="es-MX"/>
        </w:rPr>
        <w:t xml:space="preserve">El </w:t>
      </w:r>
      <w:r w:rsidRPr="00CF3E56">
        <w:rPr>
          <w:spacing w:val="4"/>
          <w:sz w:val="26"/>
          <w:szCs w:val="26"/>
          <w:lang w:val="es-MX"/>
        </w:rPr>
        <w:t>Alto Tribunal</w:t>
      </w:r>
      <w:r>
        <w:rPr>
          <w:spacing w:val="4"/>
          <w:sz w:val="26"/>
          <w:szCs w:val="26"/>
          <w:lang w:val="es-MX"/>
        </w:rPr>
        <w:t xml:space="preserve"> del País </w:t>
      </w:r>
      <w:r w:rsidRPr="00CF3E56">
        <w:rPr>
          <w:spacing w:val="4"/>
          <w:sz w:val="26"/>
          <w:szCs w:val="26"/>
          <w:lang w:val="es-MX"/>
        </w:rPr>
        <w:t xml:space="preserve">ha estimado que la obligación de impartir justicia con perspectiva de género debe operar como regla general, y enfatizarse en aquellos casos donde se esté ante grupos de especial vulnerabilidad, como mujeres y niñas indígenas, por lo que el juzgador debe determinar la operabilidad de derecho conforme a los preceptos fundamentales de orden constitucional y convencional, procurando en todo momento que los paradigmas imperantes de discriminación por razón de género no tengan una injerencia negativa en la impartición de justicia; por el contrario, atendiendo precisamente a tales prejuicios o estereotipos, el juzgador debe considerar las situaciones de desventaja que tiene las mujeres, sobre todo cuando es factible que existan factores que </w:t>
      </w:r>
      <w:r w:rsidRPr="00CF3E56">
        <w:rPr>
          <w:spacing w:val="4"/>
          <w:sz w:val="26"/>
          <w:szCs w:val="26"/>
          <w:lang w:val="es-MX"/>
        </w:rPr>
        <w:lastRenderedPageBreak/>
        <w:t>potencialicen su discriminación, como pueden ser las consideraciones de pobreza y barreras culturales y lingüísticas.</w:t>
      </w:r>
      <w:r w:rsidRPr="00CF3E56">
        <w:rPr>
          <w:spacing w:val="4"/>
          <w:sz w:val="26"/>
          <w:szCs w:val="26"/>
          <w:vertAlign w:val="superscript"/>
          <w:lang w:val="es-MX"/>
        </w:rPr>
        <w:footnoteReference w:id="8"/>
      </w:r>
      <w:r w:rsidRPr="00CF3E56">
        <w:rPr>
          <w:spacing w:val="4"/>
          <w:sz w:val="26"/>
          <w:szCs w:val="26"/>
          <w:lang w:val="es-MX"/>
        </w:rPr>
        <w:t xml:space="preserve"> </w:t>
      </w:r>
    </w:p>
    <w:p w:rsidR="005206D2" w:rsidRDefault="005206D2" w:rsidP="005206D2">
      <w:pPr>
        <w:spacing w:before="0" w:after="0"/>
        <w:rPr>
          <w:spacing w:val="4"/>
          <w:sz w:val="26"/>
          <w:szCs w:val="26"/>
        </w:rPr>
      </w:pPr>
    </w:p>
    <w:p w:rsidR="006A0BC6" w:rsidRDefault="006A0BC6" w:rsidP="005206D2">
      <w:pPr>
        <w:spacing w:before="0" w:after="0"/>
        <w:rPr>
          <w:spacing w:val="4"/>
          <w:sz w:val="26"/>
          <w:szCs w:val="26"/>
        </w:rPr>
      </w:pPr>
      <w:r>
        <w:rPr>
          <w:spacing w:val="4"/>
          <w:sz w:val="26"/>
          <w:szCs w:val="26"/>
        </w:rPr>
        <w:t xml:space="preserve">La </w:t>
      </w:r>
      <w:r w:rsidRPr="00CF3E56">
        <w:rPr>
          <w:spacing w:val="4"/>
          <w:sz w:val="26"/>
          <w:szCs w:val="26"/>
        </w:rPr>
        <w:t xml:space="preserve">Corte ha trazado </w:t>
      </w:r>
      <w:r>
        <w:rPr>
          <w:spacing w:val="4"/>
          <w:sz w:val="26"/>
          <w:szCs w:val="26"/>
        </w:rPr>
        <w:t xml:space="preserve">recientemente </w:t>
      </w:r>
      <w:r w:rsidRPr="00CF3E56">
        <w:rPr>
          <w:spacing w:val="4"/>
          <w:sz w:val="26"/>
          <w:szCs w:val="26"/>
        </w:rPr>
        <w:t xml:space="preserve">la </w:t>
      </w:r>
      <w:r w:rsidRPr="00CF3E56">
        <w:rPr>
          <w:b/>
          <w:spacing w:val="4"/>
          <w:sz w:val="26"/>
          <w:szCs w:val="26"/>
        </w:rPr>
        <w:t>metodología</w:t>
      </w:r>
      <w:r w:rsidRPr="00CF3E56">
        <w:rPr>
          <w:spacing w:val="4"/>
          <w:sz w:val="26"/>
          <w:szCs w:val="26"/>
        </w:rPr>
        <w:t xml:space="preserve"> para juzgar con perspectiva de género,</w:t>
      </w:r>
      <w:r w:rsidRPr="00CF3E56">
        <w:rPr>
          <w:spacing w:val="4"/>
          <w:sz w:val="26"/>
          <w:szCs w:val="26"/>
          <w:vertAlign w:val="superscript"/>
        </w:rPr>
        <w:footnoteReference w:id="9"/>
      </w:r>
      <w:r w:rsidRPr="00CF3E56">
        <w:rPr>
          <w:spacing w:val="4"/>
          <w:sz w:val="26"/>
          <w:szCs w:val="26"/>
        </w:rPr>
        <w:t xml:space="preserve"> que consiste en lo siguiente:</w:t>
      </w:r>
    </w:p>
    <w:p w:rsidR="00BE212F" w:rsidRPr="00CF3E56" w:rsidRDefault="00BE212F" w:rsidP="005206D2">
      <w:pPr>
        <w:spacing w:before="0" w:after="0"/>
        <w:rPr>
          <w:bCs w:val="0"/>
          <w:spacing w:val="4"/>
          <w:sz w:val="26"/>
          <w:szCs w:val="26"/>
        </w:rPr>
      </w:pPr>
    </w:p>
    <w:p w:rsidR="006A0BC6" w:rsidRPr="00207C86" w:rsidRDefault="006A0BC6" w:rsidP="005206D2">
      <w:pPr>
        <w:pStyle w:val="Prrafodelista"/>
        <w:numPr>
          <w:ilvl w:val="0"/>
          <w:numId w:val="45"/>
        </w:numPr>
        <w:tabs>
          <w:tab w:val="clear" w:pos="1215"/>
        </w:tabs>
        <w:spacing w:before="0" w:after="0"/>
        <w:ind w:left="0" w:firstLine="851"/>
        <w:rPr>
          <w:bCs w:val="0"/>
          <w:spacing w:val="4"/>
          <w:sz w:val="26"/>
          <w:szCs w:val="26"/>
        </w:rPr>
      </w:pPr>
      <w:r w:rsidRPr="00CF3E56">
        <w:rPr>
          <w:spacing w:val="4"/>
          <w:sz w:val="26"/>
          <w:szCs w:val="26"/>
        </w:rPr>
        <w:t>Identificar primeramente si existen situaciones de poder que por cuestiones de género den cuenta de un desequilibrio entre las partes de la controversia;</w:t>
      </w:r>
    </w:p>
    <w:p w:rsidR="00207C86" w:rsidRPr="00CF3E56" w:rsidRDefault="00207C86" w:rsidP="00207C86">
      <w:pPr>
        <w:pStyle w:val="Prrafodelista"/>
        <w:tabs>
          <w:tab w:val="clear" w:pos="1215"/>
        </w:tabs>
        <w:spacing w:before="0" w:after="0"/>
        <w:ind w:left="851"/>
        <w:rPr>
          <w:bCs w:val="0"/>
          <w:spacing w:val="4"/>
          <w:sz w:val="26"/>
          <w:szCs w:val="26"/>
        </w:rPr>
      </w:pPr>
    </w:p>
    <w:p w:rsidR="006A0BC6" w:rsidRPr="00DF4001" w:rsidRDefault="006A0BC6" w:rsidP="005206D2">
      <w:pPr>
        <w:pStyle w:val="Prrafodelista"/>
        <w:numPr>
          <w:ilvl w:val="0"/>
          <w:numId w:val="45"/>
        </w:numPr>
        <w:tabs>
          <w:tab w:val="clear" w:pos="1215"/>
        </w:tabs>
        <w:spacing w:before="0" w:after="0"/>
        <w:ind w:left="0" w:firstLine="851"/>
        <w:rPr>
          <w:bCs w:val="0"/>
          <w:spacing w:val="4"/>
          <w:sz w:val="26"/>
          <w:szCs w:val="26"/>
        </w:rPr>
      </w:pPr>
      <w:r w:rsidRPr="00CF3E56">
        <w:rPr>
          <w:spacing w:val="4"/>
          <w:sz w:val="26"/>
          <w:szCs w:val="26"/>
        </w:rPr>
        <w:t xml:space="preserve">Cuestionar los hechos y valorar las pruebas desechando cualquier estereotipo o prejuicio de género, a fin de visualizar las situaciones de desventaja provocadas por condiciones de sexo o género; </w:t>
      </w:r>
    </w:p>
    <w:p w:rsidR="00DF4001" w:rsidRPr="00DF4001" w:rsidRDefault="00DF4001" w:rsidP="00DF4001">
      <w:pPr>
        <w:tabs>
          <w:tab w:val="clear" w:pos="1215"/>
        </w:tabs>
        <w:spacing w:before="0" w:after="0"/>
        <w:rPr>
          <w:bCs w:val="0"/>
          <w:spacing w:val="4"/>
          <w:sz w:val="26"/>
          <w:szCs w:val="26"/>
        </w:rPr>
      </w:pPr>
    </w:p>
    <w:p w:rsidR="006A0BC6" w:rsidRPr="00DF4001" w:rsidRDefault="006A0BC6" w:rsidP="005206D2">
      <w:pPr>
        <w:pStyle w:val="Prrafodelista"/>
        <w:numPr>
          <w:ilvl w:val="0"/>
          <w:numId w:val="45"/>
        </w:numPr>
        <w:tabs>
          <w:tab w:val="clear" w:pos="1215"/>
        </w:tabs>
        <w:spacing w:before="0" w:after="0"/>
        <w:ind w:left="0" w:firstLine="851"/>
        <w:rPr>
          <w:bCs w:val="0"/>
          <w:spacing w:val="4"/>
          <w:sz w:val="26"/>
          <w:szCs w:val="26"/>
        </w:rPr>
      </w:pPr>
      <w:r w:rsidRPr="00CF3E56">
        <w:rPr>
          <w:spacing w:val="4"/>
          <w:sz w:val="26"/>
          <w:szCs w:val="26"/>
        </w:rPr>
        <w:t>En su caso, ordenar las pruebas necesarias para visibilizar dichas situaciones;</w:t>
      </w:r>
    </w:p>
    <w:p w:rsidR="00DF4001" w:rsidRPr="00DF4001" w:rsidRDefault="00DF4001" w:rsidP="00DF4001">
      <w:pPr>
        <w:pStyle w:val="Prrafodelista"/>
        <w:rPr>
          <w:bCs w:val="0"/>
          <w:spacing w:val="4"/>
          <w:sz w:val="26"/>
          <w:szCs w:val="26"/>
        </w:rPr>
      </w:pPr>
    </w:p>
    <w:p w:rsidR="006A0BC6" w:rsidRPr="00DF4001" w:rsidRDefault="006A0BC6" w:rsidP="005206D2">
      <w:pPr>
        <w:pStyle w:val="Prrafodelista"/>
        <w:numPr>
          <w:ilvl w:val="0"/>
          <w:numId w:val="45"/>
        </w:numPr>
        <w:tabs>
          <w:tab w:val="clear" w:pos="1215"/>
        </w:tabs>
        <w:spacing w:before="0" w:after="0"/>
        <w:ind w:left="0" w:firstLine="851"/>
        <w:rPr>
          <w:bCs w:val="0"/>
          <w:spacing w:val="4"/>
          <w:sz w:val="26"/>
          <w:szCs w:val="26"/>
        </w:rPr>
      </w:pPr>
      <w:r w:rsidRPr="00CF3E56">
        <w:rPr>
          <w:spacing w:val="4"/>
          <w:sz w:val="26"/>
          <w:szCs w:val="26"/>
        </w:rPr>
        <w:t>Cuestionar la neutralidad del derecho aplicable, así como evaluar el impacto diferenciado de la solución propuesta para buscar una resolución justa e igualitaria de acuerdo con el contexto de desigualdad por condiciones de género;</w:t>
      </w:r>
    </w:p>
    <w:p w:rsidR="00DF4001" w:rsidRPr="00DF4001" w:rsidRDefault="00DF4001" w:rsidP="00DF4001">
      <w:pPr>
        <w:pStyle w:val="Prrafodelista"/>
        <w:rPr>
          <w:bCs w:val="0"/>
          <w:spacing w:val="4"/>
          <w:sz w:val="26"/>
          <w:szCs w:val="26"/>
        </w:rPr>
      </w:pPr>
    </w:p>
    <w:p w:rsidR="006A0BC6" w:rsidRPr="00DF4001" w:rsidRDefault="006A0BC6" w:rsidP="005206D2">
      <w:pPr>
        <w:pStyle w:val="Prrafodelista"/>
        <w:numPr>
          <w:ilvl w:val="0"/>
          <w:numId w:val="45"/>
        </w:numPr>
        <w:tabs>
          <w:tab w:val="clear" w:pos="1215"/>
        </w:tabs>
        <w:spacing w:before="0" w:after="0"/>
        <w:ind w:left="0" w:firstLine="851"/>
        <w:rPr>
          <w:bCs w:val="0"/>
          <w:spacing w:val="4"/>
          <w:sz w:val="26"/>
          <w:szCs w:val="26"/>
        </w:rPr>
      </w:pPr>
      <w:r w:rsidRPr="00CF3E56">
        <w:rPr>
          <w:spacing w:val="4"/>
          <w:sz w:val="26"/>
          <w:szCs w:val="26"/>
        </w:rPr>
        <w:t>Debe aplicar los estándares de derechos humanos de todas las personas involucradas, especialmente de los niños y niñas;</w:t>
      </w:r>
    </w:p>
    <w:p w:rsidR="00DF4001" w:rsidRPr="00DF4001" w:rsidRDefault="00DF4001" w:rsidP="00DF4001">
      <w:pPr>
        <w:pStyle w:val="Prrafodelista"/>
        <w:rPr>
          <w:bCs w:val="0"/>
          <w:spacing w:val="4"/>
          <w:sz w:val="26"/>
          <w:szCs w:val="26"/>
        </w:rPr>
      </w:pPr>
    </w:p>
    <w:p w:rsidR="006A0BC6" w:rsidRPr="00CF3E56" w:rsidRDefault="006A0BC6" w:rsidP="005206D2">
      <w:pPr>
        <w:pStyle w:val="Prrafodelista"/>
        <w:numPr>
          <w:ilvl w:val="0"/>
          <w:numId w:val="45"/>
        </w:numPr>
        <w:tabs>
          <w:tab w:val="clear" w:pos="1215"/>
        </w:tabs>
        <w:spacing w:before="0" w:after="0"/>
        <w:ind w:left="0" w:firstLine="851"/>
        <w:rPr>
          <w:bCs w:val="0"/>
          <w:spacing w:val="4"/>
          <w:sz w:val="26"/>
          <w:szCs w:val="26"/>
        </w:rPr>
      </w:pPr>
      <w:r w:rsidRPr="00CF3E56">
        <w:rPr>
          <w:spacing w:val="4"/>
          <w:sz w:val="26"/>
          <w:szCs w:val="26"/>
        </w:rPr>
        <w:lastRenderedPageBreak/>
        <w:t xml:space="preserve">Considerar que el método exige que, en todo momento, se evite el uso del lenguaje basado en estereotipos o prejuicios, por lo que debe procurarse un lenguaje incluyente con el objeto de asegurar un acceso a la justicia sin discriminación por motivos de género. </w:t>
      </w:r>
    </w:p>
    <w:p w:rsidR="005206D2" w:rsidRDefault="005206D2" w:rsidP="005206D2">
      <w:pPr>
        <w:spacing w:before="0" w:after="0"/>
        <w:rPr>
          <w:spacing w:val="4"/>
          <w:sz w:val="26"/>
          <w:szCs w:val="26"/>
        </w:rPr>
      </w:pPr>
    </w:p>
    <w:p w:rsidR="006A0BC6" w:rsidRPr="00CF3E56" w:rsidRDefault="006A0BC6" w:rsidP="005206D2">
      <w:pPr>
        <w:spacing w:before="0" w:after="0"/>
        <w:rPr>
          <w:bCs w:val="0"/>
          <w:spacing w:val="4"/>
          <w:sz w:val="26"/>
          <w:szCs w:val="26"/>
        </w:rPr>
      </w:pPr>
      <w:r w:rsidRPr="00207C86">
        <w:rPr>
          <w:spacing w:val="4"/>
          <w:sz w:val="26"/>
          <w:szCs w:val="26"/>
        </w:rPr>
        <w:t xml:space="preserve">El Alto Tribunal ha </w:t>
      </w:r>
      <w:r w:rsidRPr="00207C86">
        <w:rPr>
          <w:b/>
          <w:spacing w:val="4"/>
          <w:sz w:val="26"/>
          <w:szCs w:val="26"/>
        </w:rPr>
        <w:t>definido</w:t>
      </w:r>
      <w:r w:rsidR="00DF4001" w:rsidRPr="00207C86">
        <w:rPr>
          <w:b/>
          <w:spacing w:val="4"/>
          <w:sz w:val="26"/>
          <w:szCs w:val="26"/>
        </w:rPr>
        <w:t xml:space="preserve"> que</w:t>
      </w:r>
      <w:r w:rsidRPr="00207C86">
        <w:rPr>
          <w:spacing w:val="4"/>
          <w:sz w:val="26"/>
          <w:szCs w:val="26"/>
        </w:rPr>
        <w:t xml:space="preserve"> juzgar con perspectiva de género, </w:t>
      </w:r>
      <w:r w:rsidR="00DF4001" w:rsidRPr="00207C86">
        <w:rPr>
          <w:spacing w:val="4"/>
          <w:sz w:val="26"/>
          <w:szCs w:val="26"/>
        </w:rPr>
        <w:t>es</w:t>
      </w:r>
      <w:r w:rsidRPr="00207C86">
        <w:rPr>
          <w:spacing w:val="4"/>
          <w:sz w:val="26"/>
          <w:szCs w:val="26"/>
        </w:rPr>
        <w:t xml:space="preserve"> el deber de impartir justicia sobre la base del reconocimiento de la particular </w:t>
      </w:r>
      <w:r w:rsidRPr="00207C86">
        <w:rPr>
          <w:spacing w:val="4"/>
          <w:sz w:val="26"/>
          <w:szCs w:val="26"/>
          <w:u w:val="single"/>
        </w:rPr>
        <w:t>situación de desventaja</w:t>
      </w:r>
      <w:r w:rsidRPr="00207C86">
        <w:rPr>
          <w:spacing w:val="4"/>
          <w:sz w:val="26"/>
          <w:szCs w:val="26"/>
        </w:rPr>
        <w:t xml:space="preserve"> en la cual históricamente se han encontrado las mujeres -pero no necesariamente está presente en cada caso-, como consecuencia de la construcción que socioculturalmente se ha desarrollado en torno a la posición y al rol que debían asumir, como un corolario inevitable de su sexo.</w:t>
      </w:r>
      <w:r w:rsidRPr="00CF3E56">
        <w:rPr>
          <w:spacing w:val="4"/>
          <w:sz w:val="26"/>
          <w:szCs w:val="26"/>
        </w:rPr>
        <w:t xml:space="preserve"> </w:t>
      </w:r>
    </w:p>
    <w:p w:rsidR="005206D2" w:rsidRDefault="005206D2" w:rsidP="005206D2">
      <w:pPr>
        <w:spacing w:before="0" w:after="0"/>
        <w:rPr>
          <w:spacing w:val="4"/>
          <w:sz w:val="26"/>
          <w:szCs w:val="26"/>
        </w:rPr>
      </w:pPr>
    </w:p>
    <w:p w:rsidR="006A0BC6" w:rsidRPr="00CF3E56" w:rsidRDefault="006A0BC6" w:rsidP="005206D2">
      <w:pPr>
        <w:spacing w:before="0" w:after="0"/>
        <w:rPr>
          <w:bCs w:val="0"/>
          <w:spacing w:val="4"/>
          <w:sz w:val="26"/>
          <w:szCs w:val="26"/>
        </w:rPr>
      </w:pPr>
      <w:r w:rsidRPr="00CF3E56">
        <w:rPr>
          <w:spacing w:val="4"/>
          <w:sz w:val="26"/>
          <w:szCs w:val="26"/>
        </w:rPr>
        <w:t xml:space="preserve">Asimismo, para la Corte, la </w:t>
      </w:r>
      <w:r w:rsidRPr="00CF3E56">
        <w:rPr>
          <w:b/>
          <w:spacing w:val="4"/>
          <w:sz w:val="26"/>
          <w:szCs w:val="26"/>
        </w:rPr>
        <w:t>aplicabilidad</w:t>
      </w:r>
      <w:r w:rsidRPr="00CF3E56">
        <w:rPr>
          <w:spacing w:val="4"/>
          <w:sz w:val="26"/>
          <w:szCs w:val="26"/>
        </w:rPr>
        <w:t xml:space="preserve"> de juzgar con perspectiva de género es intrínseca a la labor jurisdiccional, de modo que </w:t>
      </w:r>
      <w:r w:rsidRPr="00CF3E56">
        <w:rPr>
          <w:b/>
          <w:spacing w:val="4"/>
          <w:sz w:val="26"/>
          <w:szCs w:val="26"/>
        </w:rPr>
        <w:t>no debe mediar petición de parte</w:t>
      </w:r>
      <w:r w:rsidRPr="00CF3E56">
        <w:rPr>
          <w:spacing w:val="4"/>
          <w:sz w:val="26"/>
          <w:szCs w:val="26"/>
        </w:rPr>
        <w:t>, la cual comprende obligaciones específicas en casos graves de violencia contra las mujeres, y se refuerza aún más en el marco de contextos de violencia contra éstas.</w:t>
      </w:r>
      <w:r w:rsidRPr="00CF3E56">
        <w:rPr>
          <w:spacing w:val="4"/>
          <w:sz w:val="26"/>
          <w:szCs w:val="26"/>
          <w:vertAlign w:val="superscript"/>
        </w:rPr>
        <w:footnoteReference w:id="10"/>
      </w:r>
      <w:r w:rsidRPr="00CF3E56">
        <w:rPr>
          <w:spacing w:val="4"/>
          <w:sz w:val="26"/>
          <w:szCs w:val="26"/>
        </w:rPr>
        <w:t xml:space="preserve"> </w:t>
      </w:r>
    </w:p>
    <w:p w:rsidR="0086776C" w:rsidRPr="00DA3C6B" w:rsidRDefault="0086776C" w:rsidP="005206D2">
      <w:pPr>
        <w:spacing w:before="0" w:after="0"/>
        <w:rPr>
          <w:b/>
          <w:sz w:val="26"/>
          <w:szCs w:val="26"/>
        </w:rPr>
      </w:pPr>
    </w:p>
    <w:p w:rsidR="007E12AF" w:rsidRPr="00DA3C6B" w:rsidRDefault="00E8336C" w:rsidP="005206D2">
      <w:pPr>
        <w:spacing w:before="0" w:after="0"/>
        <w:rPr>
          <w:sz w:val="26"/>
          <w:szCs w:val="26"/>
        </w:rPr>
      </w:pPr>
      <w:r w:rsidRPr="00DA3C6B">
        <w:rPr>
          <w:b/>
          <w:sz w:val="26"/>
          <w:szCs w:val="26"/>
        </w:rPr>
        <w:t>6</w:t>
      </w:r>
      <w:r w:rsidR="003A5674" w:rsidRPr="00DA3C6B">
        <w:rPr>
          <w:b/>
          <w:sz w:val="26"/>
          <w:szCs w:val="26"/>
        </w:rPr>
        <w:t xml:space="preserve">.1.1. </w:t>
      </w:r>
      <w:r w:rsidR="007117ED" w:rsidRPr="00DA3C6B">
        <w:rPr>
          <w:b/>
          <w:sz w:val="26"/>
          <w:szCs w:val="26"/>
        </w:rPr>
        <w:t>Línea jurisprudencial adoptada por esta Sala Superior</w:t>
      </w:r>
      <w:r w:rsidR="00490298" w:rsidRPr="00DA3C6B">
        <w:rPr>
          <w:b/>
          <w:sz w:val="26"/>
          <w:szCs w:val="26"/>
        </w:rPr>
        <w:t xml:space="preserve"> sobre los elementos que actualizan la violencia política de género</w:t>
      </w:r>
      <w:r w:rsidR="007117ED" w:rsidRPr="00DA3C6B">
        <w:rPr>
          <w:sz w:val="26"/>
          <w:szCs w:val="26"/>
        </w:rPr>
        <w:t xml:space="preserve">. En sesión pública celebrada </w:t>
      </w:r>
      <w:r w:rsidR="00490298" w:rsidRPr="00DA3C6B">
        <w:rPr>
          <w:sz w:val="26"/>
          <w:szCs w:val="26"/>
        </w:rPr>
        <w:t>el veintitrés de mayo de dos mil dieciocho</w:t>
      </w:r>
      <w:r w:rsidR="003A5674" w:rsidRPr="00DA3C6B">
        <w:rPr>
          <w:sz w:val="26"/>
          <w:szCs w:val="26"/>
        </w:rPr>
        <w:t xml:space="preserve">, esta Sala Superior aprobó la Tesis </w:t>
      </w:r>
      <w:r w:rsidR="001041F0" w:rsidRPr="00DA3C6B">
        <w:rPr>
          <w:sz w:val="26"/>
          <w:szCs w:val="26"/>
        </w:rPr>
        <w:t>XVI/2018, de rubro: “</w:t>
      </w:r>
      <w:r w:rsidR="001041F0" w:rsidRPr="00DA3C6B">
        <w:rPr>
          <w:b/>
          <w:sz w:val="26"/>
          <w:szCs w:val="26"/>
        </w:rPr>
        <w:t>VIOLENCIA POLÍTICA DE GÉNERO. ELEMENTOS QUE LA ACTUALIZAN EN EL DEBATE POLÍTICO</w:t>
      </w:r>
      <w:r w:rsidR="001041F0" w:rsidRPr="00DA3C6B">
        <w:rPr>
          <w:sz w:val="26"/>
          <w:szCs w:val="26"/>
        </w:rPr>
        <w:t>”</w:t>
      </w:r>
      <w:r w:rsidR="007E12AF" w:rsidRPr="00DA3C6B">
        <w:rPr>
          <w:rStyle w:val="Refdenotaalpie"/>
          <w:sz w:val="26"/>
          <w:szCs w:val="26"/>
        </w:rPr>
        <w:footnoteReference w:id="11"/>
      </w:r>
      <w:r w:rsidR="007E12AF" w:rsidRPr="00DA3C6B">
        <w:rPr>
          <w:sz w:val="26"/>
          <w:szCs w:val="26"/>
        </w:rPr>
        <w:t>.</w:t>
      </w:r>
    </w:p>
    <w:p w:rsidR="00A03C0E" w:rsidRPr="00DA3C6B" w:rsidRDefault="00D05FE4" w:rsidP="005206D2">
      <w:pPr>
        <w:spacing w:before="0" w:after="0"/>
        <w:rPr>
          <w:sz w:val="26"/>
          <w:szCs w:val="26"/>
        </w:rPr>
      </w:pPr>
      <w:r w:rsidRPr="00DA3C6B">
        <w:rPr>
          <w:sz w:val="26"/>
          <w:szCs w:val="26"/>
        </w:rPr>
        <w:lastRenderedPageBreak/>
        <w:t xml:space="preserve">En dicha tesis se determinó que, para </w:t>
      </w:r>
      <w:r w:rsidR="007E12AF" w:rsidRPr="00DA3C6B">
        <w:rPr>
          <w:sz w:val="26"/>
          <w:szCs w:val="26"/>
        </w:rPr>
        <w:t xml:space="preserve">acreditar la existencia </w:t>
      </w:r>
      <w:r w:rsidR="007E12AF" w:rsidRPr="00DA3C6B">
        <w:rPr>
          <w:bCs w:val="0"/>
          <w:sz w:val="26"/>
          <w:szCs w:val="26"/>
        </w:rPr>
        <w:t>de</w:t>
      </w:r>
      <w:r w:rsidR="007E12AF" w:rsidRPr="00DA3C6B">
        <w:rPr>
          <w:sz w:val="26"/>
          <w:szCs w:val="26"/>
        </w:rPr>
        <w:t xml:space="preserve"> </w:t>
      </w:r>
      <w:r w:rsidR="007E12AF" w:rsidRPr="00DA3C6B">
        <w:rPr>
          <w:bCs w:val="0"/>
          <w:sz w:val="26"/>
          <w:szCs w:val="26"/>
        </w:rPr>
        <w:t>violencia</w:t>
      </w:r>
      <w:r w:rsidR="007E12AF" w:rsidRPr="00DA3C6B">
        <w:rPr>
          <w:sz w:val="26"/>
          <w:szCs w:val="26"/>
        </w:rPr>
        <w:t xml:space="preserve"> </w:t>
      </w:r>
      <w:r w:rsidR="007E12AF" w:rsidRPr="00DA3C6B">
        <w:rPr>
          <w:bCs w:val="0"/>
          <w:sz w:val="26"/>
          <w:szCs w:val="26"/>
        </w:rPr>
        <w:t>política</w:t>
      </w:r>
      <w:r w:rsidR="007E12AF" w:rsidRPr="00DA3C6B">
        <w:rPr>
          <w:sz w:val="26"/>
          <w:szCs w:val="26"/>
        </w:rPr>
        <w:t xml:space="preserve"> </w:t>
      </w:r>
      <w:r w:rsidR="007E12AF" w:rsidRPr="00DA3C6B">
        <w:rPr>
          <w:bCs w:val="0"/>
          <w:sz w:val="26"/>
          <w:szCs w:val="26"/>
        </w:rPr>
        <w:t>de</w:t>
      </w:r>
      <w:r w:rsidR="007E12AF" w:rsidRPr="00DA3C6B">
        <w:rPr>
          <w:sz w:val="26"/>
          <w:szCs w:val="26"/>
        </w:rPr>
        <w:t xml:space="preserve"> </w:t>
      </w:r>
      <w:r w:rsidR="007E12AF" w:rsidRPr="00DA3C6B">
        <w:rPr>
          <w:bCs w:val="0"/>
          <w:sz w:val="26"/>
          <w:szCs w:val="26"/>
        </w:rPr>
        <w:t>género</w:t>
      </w:r>
      <w:r w:rsidR="007E12AF" w:rsidRPr="00DA3C6B">
        <w:rPr>
          <w:sz w:val="26"/>
          <w:szCs w:val="26"/>
        </w:rPr>
        <w:t xml:space="preserve"> </w:t>
      </w:r>
      <w:r w:rsidR="007E12AF" w:rsidRPr="00DA3C6B">
        <w:rPr>
          <w:bCs w:val="0"/>
          <w:sz w:val="26"/>
          <w:szCs w:val="26"/>
        </w:rPr>
        <w:t>de</w:t>
      </w:r>
      <w:r w:rsidR="007E12AF" w:rsidRPr="00DA3C6B">
        <w:rPr>
          <w:sz w:val="26"/>
          <w:szCs w:val="26"/>
        </w:rPr>
        <w:t xml:space="preserve">ntro </w:t>
      </w:r>
      <w:r w:rsidR="007E12AF" w:rsidRPr="00DA3C6B">
        <w:rPr>
          <w:bCs w:val="0"/>
          <w:sz w:val="26"/>
          <w:szCs w:val="26"/>
        </w:rPr>
        <w:t>de</w:t>
      </w:r>
      <w:r w:rsidR="007E12AF" w:rsidRPr="00DA3C6B">
        <w:rPr>
          <w:sz w:val="26"/>
          <w:szCs w:val="26"/>
        </w:rPr>
        <w:t xml:space="preserve"> un </w:t>
      </w:r>
      <w:r w:rsidR="007E12AF" w:rsidRPr="00DA3C6B">
        <w:rPr>
          <w:bCs w:val="0"/>
          <w:sz w:val="26"/>
          <w:szCs w:val="26"/>
        </w:rPr>
        <w:t>de</w:t>
      </w:r>
      <w:r w:rsidR="007E12AF" w:rsidRPr="00DA3C6B">
        <w:rPr>
          <w:sz w:val="26"/>
          <w:szCs w:val="26"/>
        </w:rPr>
        <w:t xml:space="preserve">bate político, quien juzga </w:t>
      </w:r>
      <w:r w:rsidR="007E12AF" w:rsidRPr="00DA3C6B">
        <w:rPr>
          <w:bCs w:val="0"/>
          <w:sz w:val="26"/>
          <w:szCs w:val="26"/>
        </w:rPr>
        <w:t>de</w:t>
      </w:r>
      <w:r w:rsidR="007E12AF" w:rsidRPr="00DA3C6B">
        <w:rPr>
          <w:sz w:val="26"/>
          <w:szCs w:val="26"/>
        </w:rPr>
        <w:t xml:space="preserve">be analizar si en el acto u omisión concurren los siguientes elementos: </w:t>
      </w:r>
    </w:p>
    <w:p w:rsidR="00A03C0E" w:rsidRPr="00DA3C6B" w:rsidRDefault="00A03C0E" w:rsidP="005206D2">
      <w:pPr>
        <w:spacing w:before="0" w:after="0"/>
        <w:rPr>
          <w:sz w:val="26"/>
          <w:szCs w:val="26"/>
        </w:rPr>
      </w:pPr>
    </w:p>
    <w:p w:rsidR="00D05FE4" w:rsidRPr="00DA3C6B" w:rsidRDefault="007E12AF" w:rsidP="005206D2">
      <w:pPr>
        <w:spacing w:before="0" w:after="0"/>
        <w:rPr>
          <w:sz w:val="26"/>
          <w:szCs w:val="26"/>
        </w:rPr>
      </w:pPr>
      <w:r w:rsidRPr="00DA3C6B">
        <w:rPr>
          <w:b/>
          <w:sz w:val="26"/>
          <w:szCs w:val="26"/>
        </w:rPr>
        <w:t>1.</w:t>
      </w:r>
      <w:r w:rsidRPr="00DA3C6B">
        <w:rPr>
          <w:sz w:val="26"/>
          <w:szCs w:val="26"/>
        </w:rPr>
        <w:t xml:space="preserve"> Suce</w:t>
      </w:r>
      <w:r w:rsidRPr="00DA3C6B">
        <w:rPr>
          <w:bCs w:val="0"/>
          <w:sz w:val="26"/>
          <w:szCs w:val="26"/>
        </w:rPr>
        <w:t>de</w:t>
      </w:r>
      <w:r w:rsidRPr="00DA3C6B">
        <w:rPr>
          <w:sz w:val="26"/>
          <w:szCs w:val="26"/>
        </w:rPr>
        <w:t xml:space="preserve"> en el marco </w:t>
      </w:r>
      <w:r w:rsidRPr="00DA3C6B">
        <w:rPr>
          <w:bCs w:val="0"/>
          <w:sz w:val="26"/>
          <w:szCs w:val="26"/>
        </w:rPr>
        <w:t>de</w:t>
      </w:r>
      <w:r w:rsidRPr="00DA3C6B">
        <w:rPr>
          <w:sz w:val="26"/>
          <w:szCs w:val="26"/>
        </w:rPr>
        <w:t xml:space="preserve">l ejercicio </w:t>
      </w:r>
      <w:r w:rsidRPr="00DA3C6B">
        <w:rPr>
          <w:bCs w:val="0"/>
          <w:sz w:val="26"/>
          <w:szCs w:val="26"/>
        </w:rPr>
        <w:t>de</w:t>
      </w:r>
      <w:r w:rsidRPr="00DA3C6B">
        <w:rPr>
          <w:sz w:val="26"/>
          <w:szCs w:val="26"/>
        </w:rPr>
        <w:t xml:space="preserve"> </w:t>
      </w:r>
      <w:r w:rsidRPr="00DA3C6B">
        <w:rPr>
          <w:bCs w:val="0"/>
          <w:sz w:val="26"/>
          <w:szCs w:val="26"/>
        </w:rPr>
        <w:t>de</w:t>
      </w:r>
      <w:r w:rsidRPr="00DA3C6B">
        <w:rPr>
          <w:sz w:val="26"/>
          <w:szCs w:val="26"/>
        </w:rPr>
        <w:t xml:space="preserve">rechos político-electorales o bien en el ejercicio </w:t>
      </w:r>
      <w:r w:rsidRPr="00DA3C6B">
        <w:rPr>
          <w:bCs w:val="0"/>
          <w:sz w:val="26"/>
          <w:szCs w:val="26"/>
        </w:rPr>
        <w:t>de</w:t>
      </w:r>
      <w:r w:rsidRPr="00DA3C6B">
        <w:rPr>
          <w:sz w:val="26"/>
          <w:szCs w:val="26"/>
        </w:rPr>
        <w:t xml:space="preserve"> un cargo público; </w:t>
      </w:r>
    </w:p>
    <w:p w:rsidR="00D05FE4" w:rsidRPr="00DA3C6B" w:rsidRDefault="00D05FE4" w:rsidP="005206D2">
      <w:pPr>
        <w:spacing w:before="0" w:after="0"/>
        <w:rPr>
          <w:sz w:val="26"/>
          <w:szCs w:val="26"/>
        </w:rPr>
      </w:pPr>
    </w:p>
    <w:p w:rsidR="00D05FE4" w:rsidRPr="00DA3C6B" w:rsidRDefault="007E12AF" w:rsidP="005206D2">
      <w:pPr>
        <w:spacing w:before="0" w:after="0"/>
        <w:rPr>
          <w:sz w:val="26"/>
          <w:szCs w:val="26"/>
        </w:rPr>
      </w:pPr>
      <w:r w:rsidRPr="00DA3C6B">
        <w:rPr>
          <w:b/>
          <w:sz w:val="26"/>
          <w:szCs w:val="26"/>
        </w:rPr>
        <w:t>2.</w:t>
      </w:r>
      <w:r w:rsidRPr="00DA3C6B">
        <w:rPr>
          <w:sz w:val="26"/>
          <w:szCs w:val="26"/>
        </w:rPr>
        <w:t xml:space="preserve"> Es perpetrado por el Estado o sus agentes, por superiores jerárquicos, colegas </w:t>
      </w:r>
      <w:r w:rsidRPr="00DA3C6B">
        <w:rPr>
          <w:bCs w:val="0"/>
          <w:sz w:val="26"/>
          <w:szCs w:val="26"/>
        </w:rPr>
        <w:t>de</w:t>
      </w:r>
      <w:r w:rsidRPr="00DA3C6B">
        <w:rPr>
          <w:sz w:val="26"/>
          <w:szCs w:val="26"/>
        </w:rPr>
        <w:t xml:space="preserve"> trabajo, partidos políticos o representantes </w:t>
      </w:r>
      <w:r w:rsidRPr="00DA3C6B">
        <w:rPr>
          <w:bCs w:val="0"/>
          <w:sz w:val="26"/>
          <w:szCs w:val="26"/>
        </w:rPr>
        <w:t>de</w:t>
      </w:r>
      <w:r w:rsidRPr="00DA3C6B">
        <w:rPr>
          <w:sz w:val="26"/>
          <w:szCs w:val="26"/>
        </w:rPr>
        <w:t xml:space="preserve"> los mismos; medios </w:t>
      </w:r>
      <w:r w:rsidRPr="00DA3C6B">
        <w:rPr>
          <w:bCs w:val="0"/>
          <w:sz w:val="26"/>
          <w:szCs w:val="26"/>
        </w:rPr>
        <w:t>de</w:t>
      </w:r>
      <w:r w:rsidRPr="00DA3C6B">
        <w:rPr>
          <w:sz w:val="26"/>
          <w:szCs w:val="26"/>
        </w:rPr>
        <w:t xml:space="preserve"> comunicación y sus integrantes, un particular y/o un grupo </w:t>
      </w:r>
      <w:r w:rsidRPr="00DA3C6B">
        <w:rPr>
          <w:bCs w:val="0"/>
          <w:sz w:val="26"/>
          <w:szCs w:val="26"/>
        </w:rPr>
        <w:t>de</w:t>
      </w:r>
      <w:r w:rsidRPr="00DA3C6B">
        <w:rPr>
          <w:sz w:val="26"/>
          <w:szCs w:val="26"/>
        </w:rPr>
        <w:t xml:space="preserve"> personas; </w:t>
      </w:r>
    </w:p>
    <w:p w:rsidR="00D05FE4" w:rsidRPr="00DA3C6B" w:rsidRDefault="00D05FE4" w:rsidP="005206D2">
      <w:pPr>
        <w:spacing w:before="0" w:after="0"/>
        <w:rPr>
          <w:sz w:val="26"/>
          <w:szCs w:val="26"/>
        </w:rPr>
      </w:pPr>
    </w:p>
    <w:p w:rsidR="00D05FE4" w:rsidRPr="00DA3C6B" w:rsidRDefault="007E12AF" w:rsidP="005206D2">
      <w:pPr>
        <w:spacing w:before="0" w:after="0"/>
        <w:rPr>
          <w:sz w:val="26"/>
          <w:szCs w:val="26"/>
        </w:rPr>
      </w:pPr>
      <w:r w:rsidRPr="00DA3C6B">
        <w:rPr>
          <w:b/>
          <w:sz w:val="26"/>
          <w:szCs w:val="26"/>
        </w:rPr>
        <w:t>3.</w:t>
      </w:r>
      <w:r w:rsidRPr="00DA3C6B">
        <w:rPr>
          <w:sz w:val="26"/>
          <w:szCs w:val="26"/>
        </w:rPr>
        <w:t xml:space="preserve"> Es simbólico, verbal, patrimonial, económico, físico, sexual y/o psicológico; </w:t>
      </w:r>
    </w:p>
    <w:p w:rsidR="00D05FE4" w:rsidRPr="00DA3C6B" w:rsidRDefault="00D05FE4" w:rsidP="005206D2">
      <w:pPr>
        <w:spacing w:before="0" w:after="0"/>
        <w:rPr>
          <w:sz w:val="26"/>
          <w:szCs w:val="26"/>
        </w:rPr>
      </w:pPr>
    </w:p>
    <w:p w:rsidR="00D05FE4" w:rsidRPr="00DA3C6B" w:rsidRDefault="007E12AF" w:rsidP="005206D2">
      <w:pPr>
        <w:spacing w:before="0" w:after="0"/>
        <w:rPr>
          <w:sz w:val="26"/>
          <w:szCs w:val="26"/>
        </w:rPr>
      </w:pPr>
      <w:r w:rsidRPr="00DA3C6B">
        <w:rPr>
          <w:b/>
          <w:sz w:val="26"/>
          <w:szCs w:val="26"/>
        </w:rPr>
        <w:t>4.</w:t>
      </w:r>
      <w:r w:rsidRPr="00DA3C6B">
        <w:rPr>
          <w:sz w:val="26"/>
          <w:szCs w:val="26"/>
        </w:rPr>
        <w:t xml:space="preserve"> Tiene por objeto o resultado menoscabar o anular el reconocimiento, goce y/o ejercicio </w:t>
      </w:r>
      <w:r w:rsidRPr="00DA3C6B">
        <w:rPr>
          <w:bCs w:val="0"/>
          <w:sz w:val="26"/>
          <w:szCs w:val="26"/>
        </w:rPr>
        <w:t>de</w:t>
      </w:r>
      <w:r w:rsidRPr="00DA3C6B">
        <w:rPr>
          <w:sz w:val="26"/>
          <w:szCs w:val="26"/>
        </w:rPr>
        <w:t xml:space="preserve"> los </w:t>
      </w:r>
      <w:r w:rsidRPr="00DA3C6B">
        <w:rPr>
          <w:bCs w:val="0"/>
          <w:sz w:val="26"/>
          <w:szCs w:val="26"/>
        </w:rPr>
        <w:t>de</w:t>
      </w:r>
      <w:r w:rsidRPr="00DA3C6B">
        <w:rPr>
          <w:sz w:val="26"/>
          <w:szCs w:val="26"/>
        </w:rPr>
        <w:t xml:space="preserve">rechos político-electorales </w:t>
      </w:r>
      <w:r w:rsidRPr="00DA3C6B">
        <w:rPr>
          <w:bCs w:val="0"/>
          <w:sz w:val="26"/>
          <w:szCs w:val="26"/>
        </w:rPr>
        <w:t>de</w:t>
      </w:r>
      <w:r w:rsidRPr="00DA3C6B">
        <w:rPr>
          <w:sz w:val="26"/>
          <w:szCs w:val="26"/>
        </w:rPr>
        <w:t xml:space="preserve"> las mujeres, y </w:t>
      </w:r>
    </w:p>
    <w:p w:rsidR="00D05FE4" w:rsidRPr="00DA3C6B" w:rsidRDefault="00D05FE4" w:rsidP="005206D2">
      <w:pPr>
        <w:spacing w:before="0" w:after="0"/>
        <w:rPr>
          <w:sz w:val="26"/>
          <w:szCs w:val="26"/>
        </w:rPr>
      </w:pPr>
    </w:p>
    <w:p w:rsidR="007E12AF" w:rsidRPr="00DA3C6B" w:rsidRDefault="007E12AF" w:rsidP="005206D2">
      <w:pPr>
        <w:spacing w:before="0" w:after="0"/>
        <w:rPr>
          <w:sz w:val="26"/>
          <w:szCs w:val="26"/>
        </w:rPr>
      </w:pPr>
      <w:r w:rsidRPr="00DA3C6B">
        <w:rPr>
          <w:b/>
          <w:sz w:val="26"/>
          <w:szCs w:val="26"/>
        </w:rPr>
        <w:t>5.</w:t>
      </w:r>
      <w:r w:rsidRPr="00DA3C6B">
        <w:rPr>
          <w:sz w:val="26"/>
          <w:szCs w:val="26"/>
        </w:rPr>
        <w:t xml:space="preserve"> Se basa en elementos </w:t>
      </w:r>
      <w:r w:rsidRPr="00DA3C6B">
        <w:rPr>
          <w:bCs w:val="0"/>
          <w:sz w:val="26"/>
          <w:szCs w:val="26"/>
        </w:rPr>
        <w:t>de</w:t>
      </w:r>
      <w:r w:rsidRPr="00DA3C6B">
        <w:rPr>
          <w:sz w:val="26"/>
          <w:szCs w:val="26"/>
        </w:rPr>
        <w:t xml:space="preserve"> </w:t>
      </w:r>
      <w:r w:rsidRPr="00DA3C6B">
        <w:rPr>
          <w:bCs w:val="0"/>
          <w:sz w:val="26"/>
          <w:szCs w:val="26"/>
        </w:rPr>
        <w:t>género</w:t>
      </w:r>
      <w:r w:rsidRPr="00DA3C6B">
        <w:rPr>
          <w:sz w:val="26"/>
          <w:szCs w:val="26"/>
        </w:rPr>
        <w:t xml:space="preserve">, es </w:t>
      </w:r>
      <w:r w:rsidRPr="00DA3C6B">
        <w:rPr>
          <w:bCs w:val="0"/>
          <w:sz w:val="26"/>
          <w:szCs w:val="26"/>
        </w:rPr>
        <w:t>de</w:t>
      </w:r>
      <w:r w:rsidRPr="00DA3C6B">
        <w:rPr>
          <w:sz w:val="26"/>
          <w:szCs w:val="26"/>
        </w:rPr>
        <w:t xml:space="preserve">cir: i. se dirige a una mujer por ser mujer, ii. tiene un impacto diferenciado en las mujeres; iii. afecta </w:t>
      </w:r>
      <w:r w:rsidRPr="00DA3C6B">
        <w:rPr>
          <w:bCs w:val="0"/>
          <w:sz w:val="26"/>
          <w:szCs w:val="26"/>
        </w:rPr>
        <w:t>de</w:t>
      </w:r>
      <w:r w:rsidRPr="00DA3C6B">
        <w:rPr>
          <w:sz w:val="26"/>
          <w:szCs w:val="26"/>
        </w:rPr>
        <w:t>sproporcionadamente a las mujeres</w:t>
      </w:r>
    </w:p>
    <w:p w:rsidR="007E12AF" w:rsidRPr="00DA3C6B" w:rsidRDefault="007E12AF" w:rsidP="005206D2">
      <w:pPr>
        <w:spacing w:before="0" w:after="0"/>
        <w:rPr>
          <w:sz w:val="26"/>
          <w:szCs w:val="26"/>
        </w:rPr>
      </w:pPr>
    </w:p>
    <w:p w:rsidR="005723E9" w:rsidRPr="00DA3C6B" w:rsidRDefault="005723E9" w:rsidP="005206D2">
      <w:pPr>
        <w:spacing w:before="0" w:after="0"/>
        <w:rPr>
          <w:sz w:val="26"/>
          <w:szCs w:val="26"/>
        </w:rPr>
      </w:pPr>
      <w:r w:rsidRPr="00DA3C6B">
        <w:rPr>
          <w:sz w:val="26"/>
          <w:szCs w:val="26"/>
        </w:rPr>
        <w:t>En ese sentido, las expresiones que se den en el contexto del debate político, en el marco de un proceso electoral, que reúnan todos los elementos anteriores, constituyen violencia política contra las mujeres por razones de género.</w:t>
      </w:r>
    </w:p>
    <w:p w:rsidR="005723E9" w:rsidRPr="00DA3C6B" w:rsidRDefault="005723E9" w:rsidP="005206D2">
      <w:pPr>
        <w:spacing w:before="0" w:after="0"/>
        <w:rPr>
          <w:sz w:val="26"/>
          <w:szCs w:val="26"/>
        </w:rPr>
      </w:pPr>
    </w:p>
    <w:p w:rsidR="006A0BC6" w:rsidRPr="00DA3C6B" w:rsidRDefault="00E8336C" w:rsidP="005206D2">
      <w:pPr>
        <w:spacing w:before="0" w:after="0"/>
        <w:rPr>
          <w:bCs w:val="0"/>
          <w:sz w:val="26"/>
          <w:szCs w:val="26"/>
        </w:rPr>
      </w:pPr>
      <w:r w:rsidRPr="00DA3C6B">
        <w:rPr>
          <w:b/>
          <w:sz w:val="26"/>
          <w:szCs w:val="26"/>
        </w:rPr>
        <w:t>6</w:t>
      </w:r>
      <w:r w:rsidR="005206D2" w:rsidRPr="00DA3C6B">
        <w:rPr>
          <w:b/>
          <w:sz w:val="26"/>
          <w:szCs w:val="26"/>
        </w:rPr>
        <w:t>.2. Tesis de la decisión.</w:t>
      </w:r>
      <w:r w:rsidR="0086776C" w:rsidRPr="00DA3C6B">
        <w:rPr>
          <w:b/>
          <w:sz w:val="26"/>
          <w:szCs w:val="26"/>
        </w:rPr>
        <w:t xml:space="preserve"> </w:t>
      </w:r>
      <w:r w:rsidR="006A0BC6" w:rsidRPr="00DA3C6B">
        <w:rPr>
          <w:bCs w:val="0"/>
          <w:sz w:val="26"/>
          <w:szCs w:val="26"/>
        </w:rPr>
        <w:t>E</w:t>
      </w:r>
      <w:r w:rsidR="005206D2" w:rsidRPr="00DA3C6B">
        <w:rPr>
          <w:bCs w:val="0"/>
          <w:sz w:val="26"/>
          <w:szCs w:val="26"/>
        </w:rPr>
        <w:t xml:space="preserve">sta </w:t>
      </w:r>
      <w:r w:rsidR="006A0BC6" w:rsidRPr="00DA3C6B">
        <w:rPr>
          <w:bCs w:val="0"/>
          <w:sz w:val="26"/>
          <w:szCs w:val="26"/>
        </w:rPr>
        <w:t>Sala Superior</w:t>
      </w:r>
      <w:r w:rsidR="005F4457" w:rsidRPr="00DA3C6B">
        <w:rPr>
          <w:bCs w:val="0"/>
          <w:sz w:val="26"/>
          <w:szCs w:val="26"/>
        </w:rPr>
        <w:t xml:space="preserve">, </w:t>
      </w:r>
      <w:r w:rsidR="00B72782">
        <w:rPr>
          <w:bCs w:val="0"/>
          <w:sz w:val="26"/>
          <w:szCs w:val="26"/>
        </w:rPr>
        <w:t xml:space="preserve">estima correcto el desechamiento de la denuncia, puesto que la responsable, </w:t>
      </w:r>
      <w:r w:rsidR="005F4457" w:rsidRPr="00DA3C6B">
        <w:rPr>
          <w:bCs w:val="0"/>
          <w:sz w:val="26"/>
          <w:szCs w:val="26"/>
        </w:rPr>
        <w:t xml:space="preserve">de un </w:t>
      </w:r>
      <w:r w:rsidR="005F4457" w:rsidRPr="00DA3C6B">
        <w:rPr>
          <w:bCs w:val="0"/>
          <w:sz w:val="26"/>
          <w:szCs w:val="26"/>
        </w:rPr>
        <w:lastRenderedPageBreak/>
        <w:t>análisis preliminar</w:t>
      </w:r>
      <w:r w:rsidR="00B72782">
        <w:rPr>
          <w:bCs w:val="0"/>
          <w:sz w:val="26"/>
          <w:szCs w:val="26"/>
        </w:rPr>
        <w:t xml:space="preserve">, y sin apoyarse en consideraciones de fondo, </w:t>
      </w:r>
      <w:r w:rsidR="005F4457" w:rsidRPr="00DA3C6B">
        <w:rPr>
          <w:bCs w:val="0"/>
          <w:sz w:val="26"/>
          <w:szCs w:val="26"/>
        </w:rPr>
        <w:t>al tenor de la</w:t>
      </w:r>
      <w:r w:rsidR="00EA6FE3">
        <w:rPr>
          <w:bCs w:val="0"/>
          <w:sz w:val="26"/>
          <w:szCs w:val="26"/>
        </w:rPr>
        <w:t>s</w:t>
      </w:r>
      <w:r w:rsidR="005F4457" w:rsidRPr="00DA3C6B">
        <w:rPr>
          <w:bCs w:val="0"/>
          <w:sz w:val="26"/>
          <w:szCs w:val="26"/>
        </w:rPr>
        <w:t xml:space="preserve"> jurisprudencia</w:t>
      </w:r>
      <w:r w:rsidR="00EA6FE3">
        <w:rPr>
          <w:bCs w:val="0"/>
          <w:sz w:val="26"/>
          <w:szCs w:val="26"/>
        </w:rPr>
        <w:t>s</w:t>
      </w:r>
      <w:r w:rsidR="005F4457" w:rsidRPr="00DA3C6B">
        <w:rPr>
          <w:bCs w:val="0"/>
          <w:sz w:val="26"/>
          <w:szCs w:val="26"/>
        </w:rPr>
        <w:t xml:space="preserve"> </w:t>
      </w:r>
      <w:r w:rsidR="005F4457" w:rsidRPr="00DA3C6B">
        <w:rPr>
          <w:b/>
          <w:bCs w:val="0"/>
          <w:sz w:val="26"/>
          <w:szCs w:val="26"/>
        </w:rPr>
        <w:t>20/2009</w:t>
      </w:r>
      <w:r w:rsidR="00EA6FE3">
        <w:rPr>
          <w:b/>
          <w:bCs w:val="0"/>
          <w:sz w:val="26"/>
          <w:szCs w:val="26"/>
        </w:rPr>
        <w:t xml:space="preserve"> y 45/2016</w:t>
      </w:r>
      <w:r w:rsidR="00EA6FE3">
        <w:rPr>
          <w:rStyle w:val="Refdenotaalpie"/>
          <w:b/>
          <w:bCs w:val="0"/>
          <w:sz w:val="26"/>
          <w:szCs w:val="26"/>
        </w:rPr>
        <w:footnoteReference w:id="12"/>
      </w:r>
      <w:r w:rsidR="005F4457" w:rsidRPr="00DA3C6B">
        <w:rPr>
          <w:bCs w:val="0"/>
          <w:sz w:val="26"/>
          <w:szCs w:val="26"/>
        </w:rPr>
        <w:t xml:space="preserve">, </w:t>
      </w:r>
      <w:r w:rsidR="006A0BC6" w:rsidRPr="00DA3C6B">
        <w:rPr>
          <w:bCs w:val="0"/>
          <w:sz w:val="26"/>
          <w:szCs w:val="26"/>
        </w:rPr>
        <w:t>co</w:t>
      </w:r>
      <w:r w:rsidR="00B72782">
        <w:rPr>
          <w:bCs w:val="0"/>
          <w:sz w:val="26"/>
          <w:szCs w:val="26"/>
        </w:rPr>
        <w:t xml:space="preserve">rrectamente consideró con base en </w:t>
      </w:r>
      <w:r w:rsidR="00207C86" w:rsidRPr="00DA3C6B">
        <w:rPr>
          <w:bCs w:val="0"/>
          <w:sz w:val="26"/>
          <w:szCs w:val="26"/>
        </w:rPr>
        <w:t>los hechos de la denuncia</w:t>
      </w:r>
      <w:r w:rsidR="00B72782">
        <w:rPr>
          <w:bCs w:val="0"/>
          <w:sz w:val="26"/>
          <w:szCs w:val="26"/>
        </w:rPr>
        <w:t xml:space="preserve"> y</w:t>
      </w:r>
      <w:r w:rsidR="00207C86" w:rsidRPr="00DA3C6B">
        <w:rPr>
          <w:sz w:val="26"/>
          <w:szCs w:val="26"/>
          <w:lang w:val="es-MX" w:eastAsia="es-MX"/>
        </w:rPr>
        <w:t xml:space="preserve"> las expresiones </w:t>
      </w:r>
      <w:r w:rsidR="00AB7514" w:rsidRPr="00DA3C6B">
        <w:rPr>
          <w:sz w:val="26"/>
          <w:szCs w:val="26"/>
          <w:lang w:val="es-MX" w:eastAsia="es-MX"/>
        </w:rPr>
        <w:t>de trato</w:t>
      </w:r>
      <w:r w:rsidR="00E63DAB" w:rsidRPr="00DA3C6B">
        <w:rPr>
          <w:sz w:val="26"/>
          <w:szCs w:val="26"/>
          <w:lang w:val="es-MX" w:eastAsia="es-MX"/>
        </w:rPr>
        <w:t>,</w:t>
      </w:r>
      <w:r w:rsidR="00AB7514" w:rsidRPr="00DA3C6B">
        <w:rPr>
          <w:sz w:val="26"/>
          <w:szCs w:val="26"/>
          <w:lang w:val="es-MX" w:eastAsia="es-MX"/>
        </w:rPr>
        <w:t xml:space="preserve"> </w:t>
      </w:r>
      <w:r w:rsidR="00B72782">
        <w:rPr>
          <w:sz w:val="26"/>
          <w:szCs w:val="26"/>
          <w:lang w:val="es-MX" w:eastAsia="es-MX"/>
        </w:rPr>
        <w:t xml:space="preserve">que </w:t>
      </w:r>
      <w:r w:rsidR="007D7E5A" w:rsidRPr="00DA3C6B">
        <w:rPr>
          <w:sz w:val="26"/>
          <w:szCs w:val="26"/>
          <w:lang w:val="es-MX" w:eastAsia="es-MX"/>
        </w:rPr>
        <w:t>no</w:t>
      </w:r>
      <w:r w:rsidR="00B72782">
        <w:rPr>
          <w:sz w:val="26"/>
          <w:szCs w:val="26"/>
          <w:lang w:val="es-MX" w:eastAsia="es-MX"/>
        </w:rPr>
        <w:t xml:space="preserve"> se lograba </w:t>
      </w:r>
      <w:r w:rsidR="00207C86" w:rsidRPr="00DA3C6B">
        <w:rPr>
          <w:sz w:val="26"/>
          <w:szCs w:val="26"/>
          <w:lang w:val="es-MX" w:eastAsia="es-MX"/>
        </w:rPr>
        <w:t>materializa</w:t>
      </w:r>
      <w:r w:rsidR="00B72782">
        <w:rPr>
          <w:sz w:val="26"/>
          <w:szCs w:val="26"/>
          <w:lang w:val="es-MX" w:eastAsia="es-MX"/>
        </w:rPr>
        <w:t>r</w:t>
      </w:r>
      <w:r w:rsidR="00207C86" w:rsidRPr="00DA3C6B">
        <w:rPr>
          <w:sz w:val="26"/>
          <w:szCs w:val="26"/>
          <w:lang w:val="es-MX" w:eastAsia="es-MX"/>
        </w:rPr>
        <w:t xml:space="preserve"> una violación sobre propaganda político electoral en su vertiente de violencia política de género y en ese proceso de exteriorización, </w:t>
      </w:r>
      <w:r w:rsidR="007D7E5A" w:rsidRPr="00DA3C6B">
        <w:rPr>
          <w:sz w:val="26"/>
          <w:szCs w:val="26"/>
          <w:lang w:val="es-MX" w:eastAsia="es-MX"/>
        </w:rPr>
        <w:t xml:space="preserve">tampoco </w:t>
      </w:r>
      <w:r w:rsidR="00207C86" w:rsidRPr="00DA3C6B">
        <w:rPr>
          <w:sz w:val="26"/>
          <w:szCs w:val="26"/>
          <w:lang w:val="es-MX" w:eastAsia="es-MX"/>
        </w:rPr>
        <w:t>se encuentra inmers</w:t>
      </w:r>
      <w:r w:rsidR="007D7E5A" w:rsidRPr="00DA3C6B">
        <w:rPr>
          <w:sz w:val="26"/>
          <w:szCs w:val="26"/>
          <w:lang w:val="es-MX" w:eastAsia="es-MX"/>
        </w:rPr>
        <w:t>a</w:t>
      </w:r>
      <w:r w:rsidR="00207C86" w:rsidRPr="00DA3C6B">
        <w:rPr>
          <w:sz w:val="26"/>
          <w:szCs w:val="26"/>
          <w:lang w:val="es-MX" w:eastAsia="es-MX"/>
        </w:rPr>
        <w:t xml:space="preserve"> implícitamente una actividad tendente a menospreciar o minimizar la participación de la denunciante frente a los demás contendientes, </w:t>
      </w:r>
      <w:r w:rsidR="006A0BC6" w:rsidRPr="00DA3C6B">
        <w:rPr>
          <w:bCs w:val="0"/>
          <w:sz w:val="26"/>
          <w:szCs w:val="26"/>
        </w:rPr>
        <w:t>según se explica.</w:t>
      </w:r>
    </w:p>
    <w:p w:rsidR="005206D2" w:rsidRDefault="005206D2" w:rsidP="005206D2">
      <w:pPr>
        <w:spacing w:before="0" w:after="0"/>
        <w:rPr>
          <w:bCs w:val="0"/>
          <w:sz w:val="26"/>
          <w:szCs w:val="26"/>
        </w:rPr>
      </w:pPr>
    </w:p>
    <w:p w:rsidR="006A0BC6" w:rsidRPr="00AA6C0D" w:rsidRDefault="00E8336C" w:rsidP="005206D2">
      <w:pPr>
        <w:spacing w:before="0" w:after="0"/>
        <w:rPr>
          <w:bCs w:val="0"/>
          <w:sz w:val="26"/>
          <w:szCs w:val="26"/>
        </w:rPr>
      </w:pPr>
      <w:r>
        <w:rPr>
          <w:b/>
          <w:bCs w:val="0"/>
          <w:sz w:val="26"/>
          <w:szCs w:val="26"/>
        </w:rPr>
        <w:t>6</w:t>
      </w:r>
      <w:r w:rsidR="006A0BC6" w:rsidRPr="00995027">
        <w:rPr>
          <w:b/>
          <w:bCs w:val="0"/>
          <w:sz w:val="26"/>
          <w:szCs w:val="26"/>
        </w:rPr>
        <w:t>.3. Consideraciones que justifica</w:t>
      </w:r>
      <w:r w:rsidR="00B119F7">
        <w:rPr>
          <w:b/>
          <w:bCs w:val="0"/>
          <w:sz w:val="26"/>
          <w:szCs w:val="26"/>
        </w:rPr>
        <w:t>n</w:t>
      </w:r>
      <w:r w:rsidR="006A0BC6" w:rsidRPr="00995027">
        <w:rPr>
          <w:b/>
          <w:bCs w:val="0"/>
          <w:sz w:val="26"/>
          <w:szCs w:val="26"/>
        </w:rPr>
        <w:t xml:space="preserve"> la tesis.</w:t>
      </w:r>
      <w:r w:rsidR="00B95298">
        <w:rPr>
          <w:b/>
          <w:bCs w:val="0"/>
          <w:sz w:val="26"/>
          <w:szCs w:val="26"/>
        </w:rPr>
        <w:t xml:space="preserve"> </w:t>
      </w:r>
      <w:r w:rsidR="006A0BC6" w:rsidRPr="00AA6C0D">
        <w:rPr>
          <w:rFonts w:eastAsiaTheme="minorHAnsi"/>
          <w:sz w:val="26"/>
          <w:szCs w:val="26"/>
          <w:lang w:eastAsia="en-US"/>
        </w:rPr>
        <w:t>En materia electoral, conforme a lo dispuesto por el artículo 41, párrafo III, Apartado A, primer párrafo</w:t>
      </w:r>
      <w:r w:rsidR="006A0BC6" w:rsidRPr="00AA6C0D">
        <w:rPr>
          <w:rStyle w:val="Refdenotaalpie"/>
          <w:rFonts w:eastAsiaTheme="minorHAnsi"/>
          <w:sz w:val="26"/>
          <w:szCs w:val="26"/>
          <w:lang w:eastAsia="en-US"/>
        </w:rPr>
        <w:footnoteReference w:id="13"/>
      </w:r>
      <w:r w:rsidR="006A0BC6" w:rsidRPr="00AA6C0D">
        <w:rPr>
          <w:rFonts w:eastAsiaTheme="minorHAnsi"/>
          <w:sz w:val="26"/>
          <w:szCs w:val="26"/>
          <w:lang w:eastAsia="en-US"/>
        </w:rPr>
        <w:t>, de la Constitución Política de los Estados Unidos Mexicanos, el Instituto Nacional Electoral, en su calidad de organismo público autónomo estatal, encargado, entre otras cuestiones, de la organización de las elecciones federales y de imponer sanciones por las infracciones que se susciten por violaciones a la normativa de dicha materia, se encuentra vinculado a observar, en la emisión de todos sus actos, los principios y derechos fundamentales atinentes.</w:t>
      </w:r>
    </w:p>
    <w:p w:rsidR="006A0BC6" w:rsidRPr="00AA6C0D" w:rsidRDefault="006A0BC6" w:rsidP="005206D2">
      <w:pPr>
        <w:spacing w:before="0" w:after="0"/>
        <w:rPr>
          <w:bCs w:val="0"/>
          <w:sz w:val="26"/>
          <w:szCs w:val="26"/>
        </w:rPr>
      </w:pPr>
      <w:r w:rsidRPr="00AA6C0D">
        <w:rPr>
          <w:bCs w:val="0"/>
          <w:sz w:val="26"/>
          <w:szCs w:val="26"/>
        </w:rPr>
        <w:lastRenderedPageBreak/>
        <w:t xml:space="preserve">El artículo 471, párrafo 5, inciso b), de la LGIPE, establece que la denuncia para el inicio del procedimiento especial </w:t>
      </w:r>
      <w:proofErr w:type="gramStart"/>
      <w:r w:rsidRPr="00AA6C0D">
        <w:rPr>
          <w:bCs w:val="0"/>
          <w:sz w:val="26"/>
          <w:szCs w:val="26"/>
        </w:rPr>
        <w:t>sancionador,</w:t>
      </w:r>
      <w:proofErr w:type="gramEnd"/>
      <w:r w:rsidRPr="00AA6C0D">
        <w:rPr>
          <w:bCs w:val="0"/>
          <w:sz w:val="26"/>
          <w:szCs w:val="26"/>
        </w:rPr>
        <w:t xml:space="preserve"> será desechada de plano, sin prevención alguna, cuando los </w:t>
      </w:r>
      <w:r w:rsidRPr="00AA6C0D">
        <w:rPr>
          <w:b/>
          <w:bCs w:val="0"/>
          <w:sz w:val="26"/>
          <w:szCs w:val="26"/>
        </w:rPr>
        <w:t>hechos denunciados</w:t>
      </w:r>
      <w:r w:rsidRPr="00AA6C0D">
        <w:rPr>
          <w:bCs w:val="0"/>
          <w:sz w:val="26"/>
          <w:szCs w:val="26"/>
        </w:rPr>
        <w:t xml:space="preserve"> no constituyan una violación en materia de propaganda </w:t>
      </w:r>
      <w:r w:rsidRPr="00AA6C0D">
        <w:rPr>
          <w:b/>
          <w:bCs w:val="0"/>
          <w:sz w:val="26"/>
          <w:szCs w:val="26"/>
        </w:rPr>
        <w:t>político-electoral</w:t>
      </w:r>
      <w:r w:rsidRPr="00AA6C0D">
        <w:rPr>
          <w:bCs w:val="0"/>
          <w:sz w:val="26"/>
          <w:szCs w:val="26"/>
        </w:rPr>
        <w:t xml:space="preserve">. </w:t>
      </w:r>
    </w:p>
    <w:p w:rsidR="005206D2" w:rsidRDefault="005206D2" w:rsidP="005206D2">
      <w:pPr>
        <w:spacing w:before="0" w:after="0"/>
        <w:rPr>
          <w:sz w:val="26"/>
          <w:szCs w:val="26"/>
          <w:lang w:val="es-MX"/>
        </w:rPr>
      </w:pPr>
    </w:p>
    <w:p w:rsidR="006A0BC6" w:rsidRPr="00AA6C0D" w:rsidRDefault="006A0BC6" w:rsidP="005206D2">
      <w:pPr>
        <w:spacing w:before="0" w:after="0"/>
        <w:rPr>
          <w:bCs w:val="0"/>
          <w:sz w:val="26"/>
          <w:szCs w:val="26"/>
        </w:rPr>
      </w:pPr>
      <w:r w:rsidRPr="00AA6C0D">
        <w:rPr>
          <w:sz w:val="26"/>
          <w:szCs w:val="26"/>
          <w:lang w:val="es-MX"/>
        </w:rPr>
        <w:t xml:space="preserve">Por su parte, el artículo 60 del Reglamento de Quejas y Denuncias del Instituto Nacional Electoral, establece que la denuncias del procedimiento especial sancionador serán desechadas, sin prevención alguna, cuando: </w:t>
      </w:r>
      <w:r w:rsidRPr="00AA6C0D">
        <w:rPr>
          <w:b/>
          <w:sz w:val="26"/>
          <w:szCs w:val="26"/>
          <w:lang w:val="es-MX"/>
        </w:rPr>
        <w:t>a)</w:t>
      </w:r>
      <w:r w:rsidRPr="00AA6C0D">
        <w:rPr>
          <w:sz w:val="26"/>
          <w:szCs w:val="26"/>
          <w:lang w:val="es-MX"/>
        </w:rPr>
        <w:t xml:space="preserve"> no reúnan los requisitos indicados en el artículo 10 del propio Reglamento; </w:t>
      </w:r>
      <w:r w:rsidRPr="00AA6C0D">
        <w:rPr>
          <w:b/>
          <w:sz w:val="26"/>
          <w:szCs w:val="26"/>
          <w:lang w:val="es-MX"/>
        </w:rPr>
        <w:t>b) los hechos denunciados no constituyan una violación en materia de propaganda político-electoral</w:t>
      </w:r>
      <w:r w:rsidRPr="00AA6C0D">
        <w:rPr>
          <w:sz w:val="26"/>
          <w:szCs w:val="26"/>
          <w:lang w:val="es-MX"/>
        </w:rPr>
        <w:t xml:space="preserve">; </w:t>
      </w:r>
      <w:r w:rsidRPr="00AA6C0D">
        <w:rPr>
          <w:b/>
          <w:sz w:val="26"/>
          <w:szCs w:val="26"/>
          <w:lang w:val="es-MX"/>
        </w:rPr>
        <w:t>c)</w:t>
      </w:r>
      <w:r w:rsidRPr="00AA6C0D">
        <w:rPr>
          <w:sz w:val="26"/>
          <w:szCs w:val="26"/>
          <w:lang w:val="es-MX"/>
        </w:rPr>
        <w:t xml:space="preserve"> el denunciante no aporte ni ofrezca prueba alguna de sus dichos; o, </w:t>
      </w:r>
      <w:r w:rsidRPr="00AA6C0D">
        <w:rPr>
          <w:b/>
          <w:sz w:val="26"/>
          <w:szCs w:val="26"/>
          <w:lang w:val="es-MX"/>
        </w:rPr>
        <w:t>d)</w:t>
      </w:r>
      <w:r w:rsidRPr="00AA6C0D">
        <w:rPr>
          <w:sz w:val="26"/>
          <w:szCs w:val="26"/>
          <w:lang w:val="es-MX"/>
        </w:rPr>
        <w:t xml:space="preserve"> la denuncia sea evidentemente frívola.</w:t>
      </w:r>
    </w:p>
    <w:p w:rsidR="005206D2" w:rsidRDefault="005206D2" w:rsidP="005206D2">
      <w:pPr>
        <w:spacing w:before="0" w:after="0"/>
        <w:rPr>
          <w:rFonts w:eastAsiaTheme="minorHAnsi"/>
          <w:sz w:val="26"/>
          <w:szCs w:val="26"/>
          <w:lang w:eastAsia="en-US"/>
        </w:rPr>
      </w:pPr>
    </w:p>
    <w:p w:rsidR="006A0BC6" w:rsidRPr="00AA6C0D" w:rsidRDefault="006A0BC6" w:rsidP="005206D2">
      <w:pPr>
        <w:spacing w:before="0" w:after="0"/>
        <w:rPr>
          <w:bCs w:val="0"/>
          <w:sz w:val="26"/>
          <w:szCs w:val="26"/>
          <w:lang w:val="es-MX" w:eastAsia="es-MX"/>
        </w:rPr>
      </w:pPr>
      <w:r w:rsidRPr="00AA6C0D">
        <w:rPr>
          <w:bCs w:val="0"/>
          <w:sz w:val="26"/>
          <w:szCs w:val="26"/>
          <w:lang w:val="es-MX" w:eastAsia="es-MX"/>
        </w:rPr>
        <w:t xml:space="preserve">En este punto resulta oportuno precisar que la figura procesal del desechamiento implica no analizar cuestiones de fondo para determinar su procedencia, sin embargo, conforme a lo establecido en el artículo 471, párrafo 5, de la LGIPE, se desechará de plano la denuncia si, entre otros supuestos ya precisados, </w:t>
      </w:r>
      <w:r w:rsidRPr="00AA6C0D">
        <w:rPr>
          <w:b/>
          <w:bCs w:val="0"/>
          <w:sz w:val="26"/>
          <w:szCs w:val="26"/>
          <w:lang w:val="es-MX" w:eastAsia="es-MX"/>
        </w:rPr>
        <w:t>los hechos denunciados no constituyen una violación en materia de propaganda político-electoral</w:t>
      </w:r>
      <w:r w:rsidRPr="00AA6C0D">
        <w:rPr>
          <w:bCs w:val="0"/>
          <w:sz w:val="26"/>
          <w:szCs w:val="26"/>
          <w:lang w:val="es-MX" w:eastAsia="es-MX"/>
        </w:rPr>
        <w:t>.</w:t>
      </w:r>
    </w:p>
    <w:p w:rsidR="00BE212F" w:rsidRDefault="00BE212F" w:rsidP="005206D2">
      <w:pPr>
        <w:spacing w:before="0" w:after="0"/>
        <w:rPr>
          <w:bCs w:val="0"/>
          <w:sz w:val="26"/>
          <w:szCs w:val="26"/>
          <w:lang w:val="es-MX" w:eastAsia="es-MX"/>
        </w:rPr>
      </w:pPr>
    </w:p>
    <w:p w:rsidR="006A0BC6" w:rsidRPr="00AA6C0D" w:rsidRDefault="006A0BC6" w:rsidP="005206D2">
      <w:pPr>
        <w:spacing w:before="0" w:after="0"/>
        <w:rPr>
          <w:bCs w:val="0"/>
          <w:sz w:val="26"/>
          <w:szCs w:val="26"/>
          <w:lang w:val="es-MX" w:eastAsia="es-MX"/>
        </w:rPr>
      </w:pPr>
      <w:r w:rsidRPr="00AA6C0D">
        <w:rPr>
          <w:bCs w:val="0"/>
          <w:sz w:val="26"/>
          <w:szCs w:val="26"/>
          <w:lang w:val="es-MX" w:eastAsia="es-MX"/>
        </w:rPr>
        <w:t>De dicho precepto se advierte que</w:t>
      </w:r>
      <w:r>
        <w:rPr>
          <w:bCs w:val="0"/>
          <w:sz w:val="26"/>
          <w:szCs w:val="26"/>
          <w:lang w:val="es-MX" w:eastAsia="es-MX"/>
        </w:rPr>
        <w:t>,</w:t>
      </w:r>
      <w:r w:rsidRPr="00AA6C0D">
        <w:rPr>
          <w:bCs w:val="0"/>
          <w:sz w:val="26"/>
          <w:szCs w:val="26"/>
          <w:lang w:val="es-MX" w:eastAsia="es-MX"/>
        </w:rPr>
        <w:t xml:space="preserve"> el legislador federal impuso la obligación a la autoridad administrativa electoral de efectuar un análisis, por lo menos preliminar, a fin de determinar si los hechos denunciados actualizan la violación citada, lo cual requiere determinar si existen elementos indiciarios que revelen la probable existencia de una infracción y que, por ende, se justifique el inicio del procedimiento especial sancionador.</w:t>
      </w:r>
    </w:p>
    <w:p w:rsidR="005206D2" w:rsidRDefault="005206D2" w:rsidP="005206D2">
      <w:pPr>
        <w:spacing w:before="0" w:after="0"/>
        <w:rPr>
          <w:bCs w:val="0"/>
          <w:sz w:val="26"/>
          <w:szCs w:val="26"/>
          <w:lang w:val="es-MX" w:eastAsia="es-MX"/>
        </w:rPr>
      </w:pPr>
    </w:p>
    <w:p w:rsidR="006A0BC6" w:rsidRPr="00AA6C0D" w:rsidRDefault="006A0BC6" w:rsidP="005206D2">
      <w:pPr>
        <w:spacing w:before="0" w:after="0"/>
        <w:rPr>
          <w:bCs w:val="0"/>
          <w:sz w:val="26"/>
          <w:szCs w:val="26"/>
          <w:lang w:val="es-MX" w:eastAsia="es-MX"/>
        </w:rPr>
      </w:pPr>
      <w:r w:rsidRPr="00AA6C0D">
        <w:rPr>
          <w:bCs w:val="0"/>
          <w:sz w:val="26"/>
          <w:szCs w:val="26"/>
          <w:lang w:val="es-MX" w:eastAsia="es-MX"/>
        </w:rPr>
        <w:lastRenderedPageBreak/>
        <w:t>Para discernir sobre el desechamiento de plano de la denuncia, la autoridad administrativa electoral debe revisar si los hechos denunciados contienen algún indicio del que pueda desprenderse la violación a la normatividad electora</w:t>
      </w:r>
      <w:r>
        <w:rPr>
          <w:bCs w:val="0"/>
          <w:sz w:val="26"/>
          <w:szCs w:val="26"/>
          <w:lang w:val="es-MX" w:eastAsia="es-MX"/>
        </w:rPr>
        <w:t>l</w:t>
      </w:r>
      <w:r w:rsidRPr="00AA6C0D">
        <w:rPr>
          <w:bCs w:val="0"/>
          <w:sz w:val="26"/>
          <w:szCs w:val="26"/>
          <w:lang w:val="es-MX" w:eastAsia="es-MX"/>
        </w:rPr>
        <w:t>, de tal suerte que cuando no se actualice el supuesto</w:t>
      </w:r>
      <w:r>
        <w:rPr>
          <w:bCs w:val="0"/>
          <w:sz w:val="26"/>
          <w:szCs w:val="26"/>
          <w:lang w:val="es-MX" w:eastAsia="es-MX"/>
        </w:rPr>
        <w:t xml:space="preserve"> respectivo, </w:t>
      </w:r>
      <w:r w:rsidRPr="00AA6C0D">
        <w:rPr>
          <w:bCs w:val="0"/>
          <w:sz w:val="26"/>
          <w:szCs w:val="26"/>
          <w:lang w:val="es-MX" w:eastAsia="es-MX"/>
        </w:rPr>
        <w:t>la autoridad debe poner de manifiesto que ello se advierte, de manera notable, indudable y manifiesta, a partir de una lectura somera a las manifestaciones vertidas en la denuncia.</w:t>
      </w:r>
    </w:p>
    <w:p w:rsidR="005206D2" w:rsidRDefault="005206D2" w:rsidP="005206D2">
      <w:pPr>
        <w:spacing w:before="0" w:after="0"/>
        <w:rPr>
          <w:bCs w:val="0"/>
          <w:sz w:val="26"/>
          <w:szCs w:val="26"/>
          <w:lang w:val="es-MX" w:eastAsia="es-MX"/>
        </w:rPr>
      </w:pPr>
    </w:p>
    <w:p w:rsidR="006A0BC6" w:rsidRPr="00AA6C0D" w:rsidRDefault="006A0BC6" w:rsidP="005206D2">
      <w:pPr>
        <w:spacing w:before="0" w:after="0"/>
        <w:rPr>
          <w:bCs w:val="0"/>
          <w:sz w:val="26"/>
          <w:szCs w:val="26"/>
        </w:rPr>
      </w:pPr>
      <w:r w:rsidRPr="00AA6C0D">
        <w:rPr>
          <w:bCs w:val="0"/>
          <w:sz w:val="26"/>
          <w:szCs w:val="26"/>
          <w:lang w:val="es-MX" w:eastAsia="es-MX"/>
        </w:rPr>
        <w:t xml:space="preserve">Resulta aplicable la jurisprudencia </w:t>
      </w:r>
      <w:r w:rsidRPr="00AA6C0D">
        <w:rPr>
          <w:b/>
          <w:bCs w:val="0"/>
          <w:sz w:val="26"/>
          <w:szCs w:val="26"/>
          <w:lang w:val="es-MX" w:eastAsia="es-MX"/>
        </w:rPr>
        <w:t>45/2016</w:t>
      </w:r>
      <w:r w:rsidRPr="00AA6C0D">
        <w:rPr>
          <w:bCs w:val="0"/>
          <w:sz w:val="26"/>
          <w:szCs w:val="26"/>
          <w:lang w:val="es-MX" w:eastAsia="es-MX"/>
        </w:rPr>
        <w:t xml:space="preserve">, sustentada por esta Sala Superior, del rubro: </w:t>
      </w:r>
      <w:r>
        <w:rPr>
          <w:bCs w:val="0"/>
          <w:sz w:val="26"/>
          <w:szCs w:val="26"/>
          <w:lang w:val="es-MX" w:eastAsia="es-MX"/>
        </w:rPr>
        <w:t>“</w:t>
      </w:r>
      <w:r w:rsidRPr="00AA6C0D">
        <w:rPr>
          <w:b/>
          <w:color w:val="000000"/>
          <w:sz w:val="26"/>
          <w:szCs w:val="26"/>
          <w:shd w:val="clear" w:color="auto" w:fill="FFFFFF"/>
        </w:rPr>
        <w:t>QUEJA. PARA DETERMINAR SU IMPROCEDENCIA SE DEBE REALIZAR UN ANÁLISIS PRELIMINAR DE LOS HECHOS PARA ADVERTIR LA INEXISTENCIA DE UNA VIOLACIÓN EN MATERIA DE PROPAGANDA POLÍTICO-ELECTORAL</w:t>
      </w:r>
      <w:r w:rsidRPr="00AA6C0D">
        <w:rPr>
          <w:rStyle w:val="Refdenotaalpie"/>
          <w:b/>
          <w:bCs w:val="0"/>
          <w:sz w:val="26"/>
          <w:szCs w:val="26"/>
          <w:lang w:val="es-MX" w:eastAsia="es-MX"/>
        </w:rPr>
        <w:footnoteReference w:id="14"/>
      </w:r>
      <w:r w:rsidRPr="00AA6C0D">
        <w:rPr>
          <w:b/>
          <w:color w:val="000000"/>
          <w:sz w:val="26"/>
          <w:szCs w:val="26"/>
          <w:shd w:val="clear" w:color="auto" w:fill="FFFFFF"/>
        </w:rPr>
        <w:t>.</w:t>
      </w:r>
      <w:r>
        <w:rPr>
          <w:b/>
          <w:color w:val="000000"/>
          <w:sz w:val="26"/>
          <w:szCs w:val="26"/>
          <w:shd w:val="clear" w:color="auto" w:fill="FFFFFF"/>
        </w:rPr>
        <w:t>”</w:t>
      </w:r>
    </w:p>
    <w:p w:rsidR="005206D2" w:rsidRDefault="005206D2" w:rsidP="005206D2">
      <w:pPr>
        <w:spacing w:before="0" w:after="0"/>
        <w:rPr>
          <w:bCs w:val="0"/>
          <w:sz w:val="26"/>
          <w:szCs w:val="26"/>
          <w:lang w:val="es-MX" w:eastAsia="es-MX"/>
        </w:rPr>
      </w:pPr>
    </w:p>
    <w:p w:rsidR="006A0BC6" w:rsidRPr="00AA6C0D" w:rsidRDefault="006A0BC6" w:rsidP="005206D2">
      <w:pPr>
        <w:spacing w:before="0" w:after="0"/>
        <w:rPr>
          <w:bCs w:val="0"/>
          <w:sz w:val="26"/>
          <w:szCs w:val="26"/>
        </w:rPr>
      </w:pPr>
      <w:r w:rsidRPr="00AA6C0D">
        <w:rPr>
          <w:bCs w:val="0"/>
          <w:sz w:val="26"/>
          <w:szCs w:val="26"/>
          <w:lang w:val="es-MX" w:eastAsia="es-MX"/>
        </w:rPr>
        <w:t>Lo anterior, desde luego, no puede llevarse al extremo de juzgar sobre la certeza del derecho discutido, es decir, sobre la legalidad o ilegalidad de los hechos motivo de la denuncia, ya que esto es propio de la sentencia de fondo que se dicte en el procedimiento especial sancionador, en la cual se requiere un análisis e interpretación de las normas aplicables y una valoración minuciosa, exhaustiva, conjunta y adminiculada de las probanzas allegadas al sumario, a efecto de que el juzgador esté en condiciones de decir si está plenamente probada la infracción denunciada, así como la responsabilidad de los sujetos inculpados y, de ser el caso, imponer la sanción correspondiente.</w:t>
      </w:r>
    </w:p>
    <w:p w:rsidR="005206D2" w:rsidRDefault="005206D2" w:rsidP="005206D2">
      <w:pPr>
        <w:spacing w:before="0" w:after="0"/>
        <w:rPr>
          <w:sz w:val="26"/>
          <w:szCs w:val="26"/>
        </w:rPr>
      </w:pPr>
    </w:p>
    <w:p w:rsidR="006A0BC6" w:rsidRPr="00AA6C0D" w:rsidRDefault="006A0BC6" w:rsidP="005206D2">
      <w:pPr>
        <w:spacing w:before="0" w:after="0"/>
        <w:rPr>
          <w:bCs w:val="0"/>
          <w:sz w:val="26"/>
          <w:szCs w:val="26"/>
        </w:rPr>
      </w:pPr>
      <w:r w:rsidRPr="00AA6C0D">
        <w:rPr>
          <w:sz w:val="26"/>
          <w:szCs w:val="26"/>
        </w:rPr>
        <w:lastRenderedPageBreak/>
        <w:t xml:space="preserve">Al respecto, </w:t>
      </w:r>
      <w:r w:rsidRPr="00AA6C0D">
        <w:rPr>
          <w:rFonts w:eastAsiaTheme="minorHAnsi"/>
          <w:sz w:val="26"/>
          <w:szCs w:val="26"/>
          <w:lang w:eastAsia="en-US"/>
        </w:rPr>
        <w:t>esta Sala Superior en diversos precedentes determinó que si bien en el procedimiento especial sancionador, el entonces Secretario del Consejo General del otrora Instituto Federal Electoral, hoy Instituto Nacional Electoral -criterio aplicable al caso por identidad jurídica sustancial-, se encontraba facultado para desechar</w:t>
      </w:r>
      <w:r w:rsidRPr="00AA6C0D">
        <w:rPr>
          <w:bCs w:val="0"/>
          <w:sz w:val="26"/>
          <w:szCs w:val="26"/>
          <w:lang w:val="es-MX" w:eastAsia="es-MX"/>
        </w:rPr>
        <w:t xml:space="preserve"> la denuncia presentada sin prevención alguna, entre otras causas, cuando del análisis preliminar de los hechos denunciados advirtiera, en forma evidente que no constituían violación en materia de propaganda político-electoral dentro de un proceso electivo.</w:t>
      </w:r>
    </w:p>
    <w:p w:rsidR="005206D2" w:rsidRDefault="005206D2" w:rsidP="005206D2">
      <w:pPr>
        <w:spacing w:before="0" w:after="0"/>
        <w:rPr>
          <w:bCs w:val="0"/>
          <w:sz w:val="26"/>
          <w:szCs w:val="26"/>
          <w:lang w:val="es-MX" w:eastAsia="es-MX"/>
        </w:rPr>
      </w:pPr>
    </w:p>
    <w:p w:rsidR="006A0BC6" w:rsidRPr="00AA6C0D" w:rsidRDefault="006A0BC6" w:rsidP="005206D2">
      <w:pPr>
        <w:spacing w:before="0" w:after="0"/>
        <w:rPr>
          <w:bCs w:val="0"/>
          <w:sz w:val="26"/>
          <w:szCs w:val="26"/>
        </w:rPr>
      </w:pPr>
      <w:r w:rsidRPr="00AA6C0D">
        <w:rPr>
          <w:bCs w:val="0"/>
          <w:sz w:val="26"/>
          <w:szCs w:val="26"/>
          <w:lang w:val="es-MX" w:eastAsia="es-MX"/>
        </w:rPr>
        <w:t>Lo cierto es que dicha facultad, no lo autorizaba a desechar la queja cuando se requiriera realizar juicios de valor acerca de la legalidad de los hechos, a partir de la ponderación de los elementos que rodean esas conductas y de la interpretación de la ley supuestamente conculcada, pues ello constituía cuestiones inherentes al fondo del asunto, cuya competencia era exclusiva del Consejo General de dicho instituto.</w:t>
      </w:r>
    </w:p>
    <w:p w:rsidR="005206D2" w:rsidRDefault="005206D2" w:rsidP="005206D2">
      <w:pPr>
        <w:spacing w:before="0" w:after="0"/>
        <w:rPr>
          <w:bCs w:val="0"/>
          <w:sz w:val="26"/>
          <w:szCs w:val="26"/>
          <w:lang w:val="es-MX" w:eastAsia="es-MX"/>
        </w:rPr>
      </w:pPr>
    </w:p>
    <w:p w:rsidR="006A0BC6" w:rsidRPr="00AA6C0D" w:rsidRDefault="006A0BC6" w:rsidP="005206D2">
      <w:pPr>
        <w:spacing w:before="0" w:after="0"/>
        <w:rPr>
          <w:bCs w:val="0"/>
          <w:sz w:val="26"/>
          <w:szCs w:val="26"/>
        </w:rPr>
      </w:pPr>
      <w:r w:rsidRPr="00AA6C0D">
        <w:rPr>
          <w:bCs w:val="0"/>
          <w:sz w:val="26"/>
          <w:szCs w:val="26"/>
          <w:lang w:val="es-MX" w:eastAsia="es-MX"/>
        </w:rPr>
        <w:t xml:space="preserve">Dichos precedentes dieron origen a la tesis jurisprudencial número </w:t>
      </w:r>
      <w:r w:rsidRPr="00AA6C0D">
        <w:rPr>
          <w:b/>
          <w:bCs w:val="0"/>
          <w:sz w:val="26"/>
          <w:szCs w:val="26"/>
          <w:lang w:val="es-MX" w:eastAsia="es-MX"/>
        </w:rPr>
        <w:t>20/2009</w:t>
      </w:r>
      <w:r w:rsidRPr="00AA6C0D">
        <w:rPr>
          <w:bCs w:val="0"/>
          <w:sz w:val="26"/>
          <w:szCs w:val="26"/>
          <w:lang w:val="es-MX" w:eastAsia="es-MX"/>
        </w:rPr>
        <w:t xml:space="preserve">, del rubro </w:t>
      </w:r>
      <w:r>
        <w:rPr>
          <w:bCs w:val="0"/>
          <w:sz w:val="26"/>
          <w:szCs w:val="26"/>
          <w:lang w:val="es-MX" w:eastAsia="es-MX"/>
        </w:rPr>
        <w:t>“</w:t>
      </w:r>
      <w:r w:rsidRPr="00AA6C0D">
        <w:rPr>
          <w:rFonts w:eastAsiaTheme="minorHAnsi"/>
          <w:b/>
          <w:sz w:val="26"/>
          <w:szCs w:val="26"/>
          <w:lang w:eastAsia="en-US"/>
        </w:rPr>
        <w:t>PROCEDIMIENTO ESPECIAL SANCIONADOR. EL DESECHAMIENTO DE LA DENUNCIA POR EL SECRETARIO DEL CONSEJO GENERAL DEL INSTITUTO FEDERAL ELECTORAL NO DEBE FUNDARSE EN CONSIDERACIONES DE FONDO</w:t>
      </w:r>
      <w:r w:rsidRPr="00AA6C0D">
        <w:rPr>
          <w:rStyle w:val="Refdenotaalpie"/>
          <w:b/>
          <w:bCs w:val="0"/>
          <w:i/>
          <w:sz w:val="26"/>
          <w:szCs w:val="26"/>
          <w:lang w:val="es-MX" w:eastAsia="es-MX"/>
        </w:rPr>
        <w:footnoteReference w:id="15"/>
      </w:r>
      <w:r w:rsidRPr="00AA6C0D">
        <w:rPr>
          <w:rFonts w:eastAsiaTheme="minorHAnsi"/>
          <w:b/>
          <w:i/>
          <w:sz w:val="26"/>
          <w:szCs w:val="26"/>
          <w:lang w:eastAsia="en-US"/>
        </w:rPr>
        <w:t>.</w:t>
      </w:r>
      <w:r>
        <w:rPr>
          <w:rFonts w:eastAsiaTheme="minorHAnsi"/>
          <w:b/>
          <w:i/>
          <w:sz w:val="26"/>
          <w:szCs w:val="26"/>
          <w:lang w:eastAsia="en-US"/>
        </w:rPr>
        <w:t>”</w:t>
      </w:r>
    </w:p>
    <w:p w:rsidR="005206D2" w:rsidRDefault="005206D2" w:rsidP="005206D2">
      <w:pPr>
        <w:spacing w:before="0" w:after="0"/>
        <w:rPr>
          <w:bCs w:val="0"/>
          <w:sz w:val="26"/>
          <w:szCs w:val="26"/>
          <w:lang w:val="es-MX" w:eastAsia="es-MX"/>
        </w:rPr>
      </w:pPr>
    </w:p>
    <w:p w:rsidR="006A0BC6" w:rsidRDefault="00724560" w:rsidP="005206D2">
      <w:pPr>
        <w:spacing w:before="0" w:after="0"/>
        <w:rPr>
          <w:sz w:val="26"/>
          <w:szCs w:val="26"/>
          <w:lang w:val="es-MX" w:eastAsia="es-MX"/>
        </w:rPr>
      </w:pPr>
      <w:r w:rsidRPr="00724560">
        <w:rPr>
          <w:b/>
          <w:bCs w:val="0"/>
          <w:sz w:val="26"/>
          <w:szCs w:val="26"/>
          <w:lang w:val="es-MX" w:eastAsia="es-MX"/>
        </w:rPr>
        <w:t>6.4. Caso concreto</w:t>
      </w:r>
      <w:r>
        <w:rPr>
          <w:bCs w:val="0"/>
          <w:sz w:val="26"/>
          <w:szCs w:val="26"/>
          <w:lang w:val="es-MX" w:eastAsia="es-MX"/>
        </w:rPr>
        <w:t>. La queja p</w:t>
      </w:r>
      <w:r w:rsidR="006A0BC6" w:rsidRPr="00AA6C0D">
        <w:rPr>
          <w:sz w:val="26"/>
          <w:szCs w:val="26"/>
          <w:lang w:val="es-MX" w:eastAsia="es-MX"/>
        </w:rPr>
        <w:t>resentada por l</w:t>
      </w:r>
      <w:r w:rsidR="0086776C">
        <w:rPr>
          <w:sz w:val="26"/>
          <w:szCs w:val="26"/>
          <w:lang w:val="es-MX" w:eastAsia="es-MX"/>
        </w:rPr>
        <w:t>os</w:t>
      </w:r>
      <w:r w:rsidR="006A0BC6" w:rsidRPr="00AA6C0D">
        <w:rPr>
          <w:sz w:val="26"/>
          <w:szCs w:val="26"/>
          <w:lang w:val="es-MX" w:eastAsia="es-MX"/>
        </w:rPr>
        <w:t xml:space="preserve"> recurrente</w:t>
      </w:r>
      <w:r w:rsidR="0086776C">
        <w:rPr>
          <w:sz w:val="26"/>
          <w:szCs w:val="26"/>
          <w:lang w:val="es-MX" w:eastAsia="es-MX"/>
        </w:rPr>
        <w:t>s</w:t>
      </w:r>
      <w:r w:rsidR="006A0BC6" w:rsidRPr="00AA6C0D">
        <w:rPr>
          <w:sz w:val="26"/>
          <w:szCs w:val="26"/>
          <w:lang w:val="es-MX" w:eastAsia="es-MX"/>
        </w:rPr>
        <w:t xml:space="preserve"> derivó de las </w:t>
      </w:r>
      <w:r w:rsidR="006A0BC6">
        <w:rPr>
          <w:sz w:val="26"/>
          <w:szCs w:val="26"/>
          <w:lang w:val="es-MX" w:eastAsia="es-MX"/>
        </w:rPr>
        <w:t xml:space="preserve">expresiones </w:t>
      </w:r>
      <w:r w:rsidR="006A0BC6" w:rsidRPr="00AA6C0D">
        <w:rPr>
          <w:sz w:val="26"/>
          <w:szCs w:val="26"/>
          <w:lang w:val="es-MX" w:eastAsia="es-MX"/>
        </w:rPr>
        <w:t xml:space="preserve">externadas </w:t>
      </w:r>
      <w:r w:rsidR="006A0BC6">
        <w:rPr>
          <w:sz w:val="26"/>
          <w:szCs w:val="26"/>
          <w:lang w:val="es-MX" w:eastAsia="es-MX"/>
        </w:rPr>
        <w:t xml:space="preserve">por el sujeto denunciado en una reunión con la comunidad académica de la Benemérita Universidad </w:t>
      </w:r>
      <w:r w:rsidR="006A0BC6">
        <w:rPr>
          <w:sz w:val="26"/>
          <w:szCs w:val="26"/>
          <w:lang w:val="es-MX" w:eastAsia="es-MX"/>
        </w:rPr>
        <w:lastRenderedPageBreak/>
        <w:t>Autónoma de Puebla, en el sentido de</w:t>
      </w:r>
      <w:r w:rsidR="006A0BC6" w:rsidRPr="0054415D">
        <w:rPr>
          <w:b/>
          <w:i/>
          <w:sz w:val="26"/>
          <w:szCs w:val="26"/>
          <w:lang w:val="es-MX" w:eastAsia="es-MX"/>
        </w:rPr>
        <w:t>: “era otra Roxana Luna, desde la vestimenta hasta su tono aguerrido”</w:t>
      </w:r>
      <w:r w:rsidR="006A0BC6">
        <w:rPr>
          <w:sz w:val="26"/>
          <w:szCs w:val="26"/>
          <w:lang w:val="es-MX" w:eastAsia="es-MX"/>
        </w:rPr>
        <w:t xml:space="preserve">, y </w:t>
      </w:r>
      <w:r w:rsidR="006A0BC6" w:rsidRPr="0054415D">
        <w:rPr>
          <w:b/>
          <w:i/>
          <w:sz w:val="26"/>
          <w:szCs w:val="26"/>
          <w:lang w:val="es-MX" w:eastAsia="es-MX"/>
        </w:rPr>
        <w:t>“se hizo bruta -realmente</w:t>
      </w:r>
      <w:r w:rsidR="007D7E5A">
        <w:rPr>
          <w:b/>
          <w:i/>
          <w:sz w:val="26"/>
          <w:szCs w:val="26"/>
          <w:lang w:val="es-MX" w:eastAsia="es-MX"/>
        </w:rPr>
        <w:t>-</w:t>
      </w:r>
      <w:r w:rsidR="006A0BC6" w:rsidRPr="0054415D">
        <w:rPr>
          <w:b/>
          <w:i/>
          <w:sz w:val="26"/>
          <w:szCs w:val="26"/>
          <w:lang w:val="es-MX" w:eastAsia="es-MX"/>
        </w:rPr>
        <w:t xml:space="preserve"> y luego como si no le hubiera yo dicho nada”</w:t>
      </w:r>
      <w:r w:rsidR="006A0BC6">
        <w:rPr>
          <w:sz w:val="26"/>
          <w:szCs w:val="26"/>
          <w:lang w:val="es-MX" w:eastAsia="es-MX"/>
        </w:rPr>
        <w:t>.</w:t>
      </w:r>
    </w:p>
    <w:p w:rsidR="005206D2" w:rsidRDefault="005206D2" w:rsidP="005206D2">
      <w:pPr>
        <w:spacing w:before="0" w:after="0"/>
        <w:rPr>
          <w:sz w:val="26"/>
          <w:szCs w:val="26"/>
          <w:lang w:val="es-MX" w:eastAsia="es-MX"/>
        </w:rPr>
      </w:pPr>
    </w:p>
    <w:p w:rsidR="006A0BC6" w:rsidRDefault="006A0BC6" w:rsidP="005206D2">
      <w:pPr>
        <w:spacing w:before="0" w:after="0"/>
        <w:rPr>
          <w:sz w:val="26"/>
          <w:szCs w:val="26"/>
          <w:lang w:val="es-MX" w:eastAsia="es-MX"/>
        </w:rPr>
      </w:pPr>
      <w:r>
        <w:rPr>
          <w:sz w:val="26"/>
          <w:szCs w:val="26"/>
          <w:lang w:val="es-MX" w:eastAsia="es-MX"/>
        </w:rPr>
        <w:t>De igual manera, en una nota periodística del diario contraparte.mx, se hizo constar que el sujeto denunciado afirmó entre otros elementos “</w:t>
      </w:r>
      <w:r w:rsidRPr="0086776C">
        <w:rPr>
          <w:b/>
          <w:sz w:val="26"/>
          <w:szCs w:val="26"/>
          <w:lang w:val="es-MX" w:eastAsia="es-MX"/>
        </w:rPr>
        <w:t>pobre Roxana, ya la cepillaron</w:t>
      </w:r>
      <w:r>
        <w:rPr>
          <w:sz w:val="26"/>
          <w:szCs w:val="26"/>
          <w:lang w:val="es-MX" w:eastAsia="es-MX"/>
        </w:rPr>
        <w:t>”.</w:t>
      </w:r>
    </w:p>
    <w:p w:rsidR="005206D2" w:rsidRDefault="005206D2" w:rsidP="005206D2">
      <w:pPr>
        <w:spacing w:before="0" w:after="0"/>
        <w:rPr>
          <w:sz w:val="26"/>
          <w:szCs w:val="26"/>
          <w:lang w:val="es-MX" w:eastAsia="es-MX"/>
        </w:rPr>
      </w:pPr>
    </w:p>
    <w:p w:rsidR="006A0BC6" w:rsidRDefault="006A0BC6" w:rsidP="005206D2">
      <w:pPr>
        <w:spacing w:before="0" w:after="0"/>
        <w:rPr>
          <w:sz w:val="26"/>
          <w:szCs w:val="26"/>
          <w:lang w:val="es-MX" w:eastAsia="es-MX"/>
        </w:rPr>
      </w:pPr>
      <w:r>
        <w:rPr>
          <w:sz w:val="26"/>
          <w:szCs w:val="26"/>
          <w:lang w:val="es-MX" w:eastAsia="es-MX"/>
        </w:rPr>
        <w:t>Y en un video difundido en una cuenta de Twitter, se hace referencia a ella como “</w:t>
      </w:r>
      <w:r w:rsidRPr="009D06B7">
        <w:rPr>
          <w:b/>
          <w:sz w:val="26"/>
          <w:szCs w:val="26"/>
          <w:lang w:val="es-MX" w:eastAsia="es-MX"/>
        </w:rPr>
        <w:t>La Roxana</w:t>
      </w:r>
      <w:r>
        <w:rPr>
          <w:sz w:val="26"/>
          <w:szCs w:val="26"/>
          <w:lang w:val="es-MX" w:eastAsia="es-MX"/>
        </w:rPr>
        <w:t>”.</w:t>
      </w:r>
    </w:p>
    <w:p w:rsidR="005206D2" w:rsidRDefault="005206D2" w:rsidP="005206D2">
      <w:pPr>
        <w:spacing w:before="0" w:after="0"/>
        <w:rPr>
          <w:sz w:val="26"/>
          <w:szCs w:val="26"/>
          <w:lang w:val="es-MX" w:eastAsia="es-MX"/>
        </w:rPr>
      </w:pPr>
    </w:p>
    <w:p w:rsidR="00523428" w:rsidRPr="00DA3C6B" w:rsidRDefault="007D7E5A" w:rsidP="005206D2">
      <w:pPr>
        <w:spacing w:before="0" w:after="0"/>
        <w:rPr>
          <w:sz w:val="26"/>
          <w:szCs w:val="26"/>
          <w:lang w:val="es-MX" w:eastAsia="es-MX"/>
        </w:rPr>
      </w:pPr>
      <w:r w:rsidRPr="00DA3C6B">
        <w:rPr>
          <w:sz w:val="26"/>
          <w:szCs w:val="26"/>
          <w:lang w:val="es-MX" w:eastAsia="es-MX"/>
        </w:rPr>
        <w:t>Esta</w:t>
      </w:r>
      <w:r w:rsidR="00523428" w:rsidRPr="00DA3C6B">
        <w:rPr>
          <w:sz w:val="26"/>
          <w:szCs w:val="26"/>
          <w:lang w:val="es-MX" w:eastAsia="es-MX"/>
        </w:rPr>
        <w:t>s</w:t>
      </w:r>
      <w:r w:rsidRPr="00DA3C6B">
        <w:rPr>
          <w:sz w:val="26"/>
          <w:szCs w:val="26"/>
          <w:lang w:val="es-MX" w:eastAsia="es-MX"/>
        </w:rPr>
        <w:t xml:space="preserve"> expresiones son la que la recurrente considera como encaminadas a generar discriminación pública en su persona, al expresarse el denunciado con una connotación diferente a la que se emplea para dirigirse a otra persona, tratando de ubicarla en un plano de inferioridad</w:t>
      </w:r>
      <w:r w:rsidR="00523428" w:rsidRPr="00DA3C6B">
        <w:rPr>
          <w:sz w:val="26"/>
          <w:szCs w:val="26"/>
          <w:lang w:val="es-MX" w:eastAsia="es-MX"/>
        </w:rPr>
        <w:t xml:space="preserve"> en su participación, </w:t>
      </w:r>
      <w:r w:rsidR="00AB7514" w:rsidRPr="00DA3C6B">
        <w:rPr>
          <w:sz w:val="26"/>
          <w:szCs w:val="26"/>
          <w:lang w:val="es-MX" w:eastAsia="es-MX"/>
        </w:rPr>
        <w:t xml:space="preserve">buscando </w:t>
      </w:r>
      <w:r w:rsidR="00523428" w:rsidRPr="00DA3C6B">
        <w:rPr>
          <w:sz w:val="26"/>
          <w:szCs w:val="26"/>
          <w:lang w:val="es-MX" w:eastAsia="es-MX"/>
        </w:rPr>
        <w:t xml:space="preserve">anularla </w:t>
      </w:r>
      <w:r w:rsidR="00AB7514" w:rsidRPr="00DA3C6B">
        <w:rPr>
          <w:sz w:val="26"/>
          <w:szCs w:val="26"/>
          <w:lang w:val="es-MX" w:eastAsia="es-MX"/>
        </w:rPr>
        <w:t xml:space="preserve">u </w:t>
      </w:r>
      <w:r w:rsidR="00523428" w:rsidRPr="00DA3C6B">
        <w:rPr>
          <w:sz w:val="26"/>
          <w:szCs w:val="26"/>
          <w:lang w:val="es-MX" w:eastAsia="es-MX"/>
        </w:rPr>
        <w:t>obstaculizarla.</w:t>
      </w:r>
    </w:p>
    <w:p w:rsidR="007D7E5A" w:rsidRDefault="007D7E5A" w:rsidP="005206D2">
      <w:pPr>
        <w:spacing w:before="0" w:after="0"/>
        <w:rPr>
          <w:sz w:val="26"/>
          <w:szCs w:val="26"/>
          <w:lang w:val="es-MX" w:eastAsia="es-MX"/>
        </w:rPr>
      </w:pPr>
    </w:p>
    <w:p w:rsidR="006A0BC6" w:rsidRDefault="006A0BC6" w:rsidP="005206D2">
      <w:pPr>
        <w:spacing w:before="0" w:after="0"/>
        <w:rPr>
          <w:sz w:val="26"/>
          <w:szCs w:val="26"/>
          <w:lang w:val="es-MX" w:eastAsia="es-MX"/>
        </w:rPr>
      </w:pPr>
      <w:r w:rsidRPr="00AA6C0D">
        <w:rPr>
          <w:sz w:val="26"/>
          <w:szCs w:val="26"/>
          <w:lang w:val="es-MX" w:eastAsia="es-MX"/>
        </w:rPr>
        <w:t>La autoridad responsable, en el acuerdo recurrido, consideró que</w:t>
      </w:r>
      <w:r>
        <w:rPr>
          <w:sz w:val="26"/>
          <w:szCs w:val="26"/>
          <w:lang w:val="es-MX" w:eastAsia="es-MX"/>
        </w:rPr>
        <w:t xml:space="preserve"> el denunciado hace una comparativa en cuanto a las actitudes y formas de actuar de la candidata, sin que denigre su persona por ser mujer.</w:t>
      </w:r>
    </w:p>
    <w:p w:rsidR="005206D2" w:rsidRDefault="005206D2" w:rsidP="005206D2">
      <w:pPr>
        <w:spacing w:before="0" w:after="0"/>
        <w:rPr>
          <w:sz w:val="26"/>
          <w:szCs w:val="26"/>
          <w:lang w:val="es-MX" w:eastAsia="es-MX"/>
        </w:rPr>
      </w:pPr>
    </w:p>
    <w:p w:rsidR="006A0BC6" w:rsidRDefault="006A0BC6" w:rsidP="005206D2">
      <w:pPr>
        <w:spacing w:before="0" w:after="0"/>
        <w:rPr>
          <w:sz w:val="26"/>
          <w:szCs w:val="26"/>
          <w:lang w:val="es-MX" w:eastAsia="es-MX"/>
        </w:rPr>
      </w:pPr>
      <w:r>
        <w:rPr>
          <w:sz w:val="26"/>
          <w:szCs w:val="26"/>
          <w:lang w:val="es-MX" w:eastAsia="es-MX"/>
        </w:rPr>
        <w:t>Posteriormente la responsable analizó los términos o palabras empleadas por el denunciado, determinando lo siguiente:</w:t>
      </w:r>
    </w:p>
    <w:p w:rsidR="00BE212F" w:rsidRDefault="00BE212F" w:rsidP="005206D2">
      <w:pPr>
        <w:spacing w:before="0" w:after="0"/>
        <w:rPr>
          <w:sz w:val="26"/>
          <w:szCs w:val="26"/>
          <w:lang w:val="es-MX" w:eastAsia="es-MX"/>
        </w:rPr>
      </w:pPr>
    </w:p>
    <w:p w:rsidR="006A0BC6" w:rsidRDefault="006A0BC6" w:rsidP="005206D2">
      <w:pPr>
        <w:pStyle w:val="Prrafodelista"/>
        <w:numPr>
          <w:ilvl w:val="0"/>
          <w:numId w:val="44"/>
        </w:numPr>
        <w:spacing w:before="0" w:after="0"/>
        <w:rPr>
          <w:sz w:val="22"/>
          <w:szCs w:val="22"/>
          <w:lang w:val="es-MX" w:eastAsia="es-MX"/>
        </w:rPr>
      </w:pPr>
      <w:r w:rsidRPr="00207C86">
        <w:rPr>
          <w:b/>
          <w:sz w:val="22"/>
          <w:szCs w:val="22"/>
          <w:lang w:val="es-MX" w:eastAsia="es-MX"/>
        </w:rPr>
        <w:t>“bruta realmente”</w:t>
      </w:r>
      <w:r w:rsidRPr="00207C86">
        <w:rPr>
          <w:sz w:val="22"/>
          <w:szCs w:val="22"/>
          <w:lang w:val="es-MX" w:eastAsia="es-MX"/>
        </w:rPr>
        <w:t>, no puede considerarse violencia política de género, al tratarse de un calificativo relacionado con el desentendimiento o falta de acción de la quejosa, respecto a la conversación previa tenida con el denunciado.</w:t>
      </w:r>
    </w:p>
    <w:p w:rsidR="00207C86" w:rsidRPr="00207C86" w:rsidRDefault="00207C86" w:rsidP="00207C86">
      <w:pPr>
        <w:pStyle w:val="Prrafodelista"/>
        <w:spacing w:before="0" w:after="0"/>
        <w:ind w:left="1211"/>
        <w:rPr>
          <w:sz w:val="22"/>
          <w:szCs w:val="22"/>
          <w:lang w:val="es-MX" w:eastAsia="es-MX"/>
        </w:rPr>
      </w:pPr>
    </w:p>
    <w:p w:rsidR="006A0BC6" w:rsidRDefault="006A0BC6" w:rsidP="005206D2">
      <w:pPr>
        <w:pStyle w:val="Prrafodelista"/>
        <w:numPr>
          <w:ilvl w:val="0"/>
          <w:numId w:val="44"/>
        </w:numPr>
        <w:spacing w:before="0" w:after="0"/>
        <w:rPr>
          <w:sz w:val="22"/>
          <w:szCs w:val="22"/>
          <w:lang w:val="es-MX" w:eastAsia="es-MX"/>
        </w:rPr>
      </w:pPr>
      <w:r w:rsidRPr="00207C86">
        <w:rPr>
          <w:b/>
          <w:sz w:val="22"/>
          <w:szCs w:val="22"/>
          <w:lang w:val="es-MX" w:eastAsia="es-MX"/>
        </w:rPr>
        <w:t>“Pobre Roxana, ya la cepillaron”</w:t>
      </w:r>
      <w:r w:rsidRPr="00207C86">
        <w:rPr>
          <w:sz w:val="22"/>
          <w:szCs w:val="22"/>
          <w:lang w:val="es-MX" w:eastAsia="es-MX"/>
        </w:rPr>
        <w:t xml:space="preserve">, da cuenta de su desvinculación del grupo político al que pertenecía, por lo que no se advierten manifestaciones dirigidas de manera clara, unívoca e inequívoca en </w:t>
      </w:r>
      <w:r w:rsidRPr="00207C86">
        <w:rPr>
          <w:sz w:val="22"/>
          <w:szCs w:val="22"/>
          <w:lang w:val="es-MX" w:eastAsia="es-MX"/>
        </w:rPr>
        <w:lastRenderedPageBreak/>
        <w:t>contra de la quejosa por ser mujer, o bien que tuviera como finalidad menoscabar sus derechos, derivado de su condición como tal.</w:t>
      </w:r>
    </w:p>
    <w:p w:rsidR="00207C86" w:rsidRPr="00207C86" w:rsidRDefault="00207C86" w:rsidP="00207C86">
      <w:pPr>
        <w:pStyle w:val="Prrafodelista"/>
        <w:rPr>
          <w:sz w:val="22"/>
          <w:szCs w:val="22"/>
          <w:lang w:val="es-MX" w:eastAsia="es-MX"/>
        </w:rPr>
      </w:pPr>
    </w:p>
    <w:p w:rsidR="006A0BC6" w:rsidRPr="00207C86" w:rsidRDefault="006A0BC6" w:rsidP="005206D2">
      <w:pPr>
        <w:pStyle w:val="Prrafodelista"/>
        <w:numPr>
          <w:ilvl w:val="0"/>
          <w:numId w:val="44"/>
        </w:numPr>
        <w:spacing w:before="0" w:after="0"/>
        <w:rPr>
          <w:sz w:val="22"/>
          <w:szCs w:val="22"/>
          <w:lang w:val="es-MX" w:eastAsia="es-MX"/>
        </w:rPr>
      </w:pPr>
      <w:r w:rsidRPr="00207C86">
        <w:rPr>
          <w:b/>
          <w:sz w:val="22"/>
          <w:szCs w:val="22"/>
          <w:lang w:val="es-MX" w:eastAsia="es-MX"/>
        </w:rPr>
        <w:t>“la”</w:t>
      </w:r>
      <w:r w:rsidRPr="00207C86">
        <w:rPr>
          <w:sz w:val="22"/>
          <w:szCs w:val="22"/>
          <w:lang w:val="es-MX" w:eastAsia="es-MX"/>
        </w:rPr>
        <w:t xml:space="preserve">, es un artículo (la autoridad lo identifica como preposición), que no hace referencia a un sentido denostativo, sino se trata de la utilización coloquial del lenguaje cotidiano informal.                </w:t>
      </w:r>
    </w:p>
    <w:p w:rsidR="005206D2" w:rsidRDefault="005206D2" w:rsidP="005206D2">
      <w:pPr>
        <w:spacing w:before="0" w:after="0"/>
        <w:rPr>
          <w:sz w:val="26"/>
          <w:szCs w:val="26"/>
          <w:lang w:val="es-MX" w:eastAsia="es-MX"/>
        </w:rPr>
      </w:pPr>
    </w:p>
    <w:p w:rsidR="006A0BC6" w:rsidRDefault="006A0BC6" w:rsidP="005206D2">
      <w:pPr>
        <w:spacing w:before="0" w:after="0"/>
        <w:rPr>
          <w:sz w:val="26"/>
          <w:szCs w:val="26"/>
          <w:lang w:val="es-MX" w:eastAsia="es-MX"/>
        </w:rPr>
      </w:pPr>
      <w:r>
        <w:rPr>
          <w:sz w:val="26"/>
          <w:szCs w:val="26"/>
          <w:lang w:val="es-MX" w:eastAsia="es-MX"/>
        </w:rPr>
        <w:t>De igual manera la responsable afirmó que tales referencias no se relacionan con su calidad de mujer y consecuentemente no pueden ser consideradas como actos de violencia política por razón de género.</w:t>
      </w:r>
    </w:p>
    <w:p w:rsidR="00523428" w:rsidRDefault="00523428" w:rsidP="005206D2">
      <w:pPr>
        <w:spacing w:before="0" w:after="0"/>
        <w:rPr>
          <w:bCs w:val="0"/>
          <w:sz w:val="26"/>
          <w:szCs w:val="26"/>
        </w:rPr>
      </w:pPr>
    </w:p>
    <w:p w:rsidR="00523428" w:rsidRPr="00DA3C6B" w:rsidRDefault="006A0BC6" w:rsidP="005206D2">
      <w:pPr>
        <w:spacing w:before="0" w:after="0"/>
        <w:rPr>
          <w:bCs w:val="0"/>
          <w:sz w:val="26"/>
          <w:szCs w:val="26"/>
        </w:rPr>
      </w:pPr>
      <w:r w:rsidRPr="00DA3C6B">
        <w:rPr>
          <w:bCs w:val="0"/>
          <w:sz w:val="26"/>
          <w:szCs w:val="26"/>
        </w:rPr>
        <w:t>Esta Sala Superior considera que, en el caso, teniendo en cuenta los hechos que motivaron la presentación de la denuncia</w:t>
      </w:r>
      <w:r w:rsidR="00523428" w:rsidRPr="00DA3C6B">
        <w:rPr>
          <w:bCs w:val="0"/>
          <w:sz w:val="26"/>
          <w:szCs w:val="26"/>
        </w:rPr>
        <w:t xml:space="preserve">, el análisis realizado en la resolución recurrida se considera </w:t>
      </w:r>
      <w:r w:rsidR="00AB7514" w:rsidRPr="00DA3C6B">
        <w:rPr>
          <w:bCs w:val="0"/>
          <w:sz w:val="26"/>
          <w:szCs w:val="26"/>
        </w:rPr>
        <w:t xml:space="preserve">apropiado </w:t>
      </w:r>
      <w:r w:rsidR="00523428" w:rsidRPr="00DA3C6B">
        <w:rPr>
          <w:bCs w:val="0"/>
          <w:sz w:val="26"/>
          <w:szCs w:val="26"/>
        </w:rPr>
        <w:t xml:space="preserve">debido a que las expresiones exteriorizadas por el sujeto </w:t>
      </w:r>
      <w:proofErr w:type="gramStart"/>
      <w:r w:rsidR="00523428" w:rsidRPr="00DA3C6B">
        <w:rPr>
          <w:bCs w:val="0"/>
          <w:sz w:val="26"/>
          <w:szCs w:val="26"/>
        </w:rPr>
        <w:t>denunciado,</w:t>
      </w:r>
      <w:proofErr w:type="gramEnd"/>
      <w:r w:rsidR="00523428" w:rsidRPr="00DA3C6B">
        <w:rPr>
          <w:bCs w:val="0"/>
          <w:sz w:val="26"/>
          <w:szCs w:val="26"/>
        </w:rPr>
        <w:t xml:space="preserve"> no tiene</w:t>
      </w:r>
      <w:r w:rsidR="00932ABD" w:rsidRPr="00DA3C6B">
        <w:rPr>
          <w:bCs w:val="0"/>
          <w:sz w:val="26"/>
          <w:szCs w:val="26"/>
        </w:rPr>
        <w:t>n</w:t>
      </w:r>
      <w:r w:rsidR="00523428" w:rsidRPr="00DA3C6B">
        <w:rPr>
          <w:bCs w:val="0"/>
          <w:sz w:val="26"/>
          <w:szCs w:val="26"/>
        </w:rPr>
        <w:t xml:space="preserve"> como propósito denigrar a </w:t>
      </w:r>
      <w:r w:rsidR="00932ABD" w:rsidRPr="00DA3C6B">
        <w:rPr>
          <w:bCs w:val="0"/>
          <w:sz w:val="26"/>
          <w:szCs w:val="26"/>
        </w:rPr>
        <w:t xml:space="preserve">la </w:t>
      </w:r>
      <w:r w:rsidR="00523428" w:rsidRPr="00DA3C6B">
        <w:rPr>
          <w:bCs w:val="0"/>
          <w:sz w:val="26"/>
          <w:szCs w:val="26"/>
        </w:rPr>
        <w:t>denunciante por ser mujer.</w:t>
      </w:r>
    </w:p>
    <w:p w:rsidR="00523428" w:rsidRPr="00DA3C6B" w:rsidRDefault="00523428" w:rsidP="005206D2">
      <w:pPr>
        <w:spacing w:before="0" w:after="0"/>
        <w:rPr>
          <w:bCs w:val="0"/>
          <w:sz w:val="26"/>
          <w:szCs w:val="26"/>
        </w:rPr>
      </w:pPr>
    </w:p>
    <w:p w:rsidR="00523428" w:rsidRPr="00DA3C6B" w:rsidRDefault="00523428" w:rsidP="00523428">
      <w:pPr>
        <w:spacing w:before="0" w:after="0"/>
        <w:rPr>
          <w:sz w:val="26"/>
          <w:szCs w:val="26"/>
        </w:rPr>
      </w:pPr>
      <w:r w:rsidRPr="00DA3C6B">
        <w:rPr>
          <w:bCs w:val="0"/>
          <w:sz w:val="26"/>
          <w:szCs w:val="26"/>
        </w:rPr>
        <w:t>Así es, para sustentar lo anterior</w:t>
      </w:r>
      <w:r w:rsidR="007376C8" w:rsidRPr="00DA3C6B">
        <w:rPr>
          <w:bCs w:val="0"/>
          <w:sz w:val="26"/>
          <w:szCs w:val="26"/>
        </w:rPr>
        <w:t xml:space="preserve"> y conforme a la línea jurisprudencial de esta Sala Superior, se deben analizar la concurrencia de </w:t>
      </w:r>
      <w:r w:rsidR="00932ABD" w:rsidRPr="00DA3C6B">
        <w:rPr>
          <w:bCs w:val="0"/>
          <w:sz w:val="26"/>
          <w:szCs w:val="26"/>
        </w:rPr>
        <w:t xml:space="preserve">los siguientes </w:t>
      </w:r>
      <w:r w:rsidR="007376C8" w:rsidRPr="00DA3C6B">
        <w:rPr>
          <w:bCs w:val="0"/>
          <w:sz w:val="26"/>
          <w:szCs w:val="26"/>
        </w:rPr>
        <w:t>elementos</w:t>
      </w:r>
      <w:r w:rsidRPr="00DA3C6B">
        <w:rPr>
          <w:sz w:val="26"/>
          <w:szCs w:val="26"/>
        </w:rPr>
        <w:t xml:space="preserve">: </w:t>
      </w:r>
    </w:p>
    <w:p w:rsidR="00523428" w:rsidRPr="00DA3C6B" w:rsidRDefault="00523428" w:rsidP="00523428">
      <w:pPr>
        <w:spacing w:before="0" w:after="0"/>
        <w:rPr>
          <w:sz w:val="26"/>
          <w:szCs w:val="26"/>
        </w:rPr>
      </w:pPr>
    </w:p>
    <w:p w:rsidR="00523428" w:rsidRPr="00DA3C6B" w:rsidRDefault="00523428" w:rsidP="00523428">
      <w:pPr>
        <w:spacing w:before="0" w:after="0"/>
        <w:rPr>
          <w:sz w:val="26"/>
          <w:szCs w:val="26"/>
        </w:rPr>
      </w:pPr>
      <w:r w:rsidRPr="00DA3C6B">
        <w:rPr>
          <w:b/>
          <w:sz w:val="26"/>
          <w:szCs w:val="26"/>
        </w:rPr>
        <w:t>1. Suce</w:t>
      </w:r>
      <w:r w:rsidRPr="00DA3C6B">
        <w:rPr>
          <w:b/>
          <w:bCs w:val="0"/>
          <w:sz w:val="26"/>
          <w:szCs w:val="26"/>
        </w:rPr>
        <w:t>de</w:t>
      </w:r>
      <w:r w:rsidRPr="00DA3C6B">
        <w:rPr>
          <w:b/>
          <w:sz w:val="26"/>
          <w:szCs w:val="26"/>
        </w:rPr>
        <w:t xml:space="preserve"> en el marco </w:t>
      </w:r>
      <w:r w:rsidRPr="00DA3C6B">
        <w:rPr>
          <w:b/>
          <w:bCs w:val="0"/>
          <w:sz w:val="26"/>
          <w:szCs w:val="26"/>
        </w:rPr>
        <w:t>de</w:t>
      </w:r>
      <w:r w:rsidRPr="00DA3C6B">
        <w:rPr>
          <w:b/>
          <w:sz w:val="26"/>
          <w:szCs w:val="26"/>
        </w:rPr>
        <w:t xml:space="preserve">l ejercicio </w:t>
      </w:r>
      <w:r w:rsidRPr="00DA3C6B">
        <w:rPr>
          <w:b/>
          <w:bCs w:val="0"/>
          <w:sz w:val="26"/>
          <w:szCs w:val="26"/>
        </w:rPr>
        <w:t>de</w:t>
      </w:r>
      <w:r w:rsidRPr="00DA3C6B">
        <w:rPr>
          <w:b/>
          <w:sz w:val="26"/>
          <w:szCs w:val="26"/>
        </w:rPr>
        <w:t xml:space="preserve"> </w:t>
      </w:r>
      <w:r w:rsidRPr="00DA3C6B">
        <w:rPr>
          <w:b/>
          <w:bCs w:val="0"/>
          <w:sz w:val="26"/>
          <w:szCs w:val="26"/>
        </w:rPr>
        <w:t>de</w:t>
      </w:r>
      <w:r w:rsidRPr="00DA3C6B">
        <w:rPr>
          <w:b/>
          <w:sz w:val="26"/>
          <w:szCs w:val="26"/>
        </w:rPr>
        <w:t xml:space="preserve">rechos político-electorales o bien en el ejercicio </w:t>
      </w:r>
      <w:r w:rsidRPr="00DA3C6B">
        <w:rPr>
          <w:b/>
          <w:bCs w:val="0"/>
          <w:sz w:val="26"/>
          <w:szCs w:val="26"/>
        </w:rPr>
        <w:t>de</w:t>
      </w:r>
      <w:r w:rsidRPr="00DA3C6B">
        <w:rPr>
          <w:b/>
          <w:sz w:val="26"/>
          <w:szCs w:val="26"/>
        </w:rPr>
        <w:t xml:space="preserve"> un cargo público</w:t>
      </w:r>
      <w:r w:rsidR="007376C8" w:rsidRPr="00DA3C6B">
        <w:rPr>
          <w:sz w:val="26"/>
          <w:szCs w:val="26"/>
        </w:rPr>
        <w:t xml:space="preserve">. Se actualiza </w:t>
      </w:r>
      <w:r w:rsidR="00932ABD" w:rsidRPr="00DA3C6B">
        <w:rPr>
          <w:sz w:val="26"/>
          <w:szCs w:val="26"/>
        </w:rPr>
        <w:t>ya que</w:t>
      </w:r>
      <w:r w:rsidR="001712F6" w:rsidRPr="00DA3C6B">
        <w:rPr>
          <w:sz w:val="26"/>
          <w:szCs w:val="26"/>
        </w:rPr>
        <w:t>,</w:t>
      </w:r>
      <w:r w:rsidR="00932ABD" w:rsidRPr="00DA3C6B">
        <w:rPr>
          <w:sz w:val="26"/>
          <w:szCs w:val="26"/>
        </w:rPr>
        <w:t xml:space="preserve"> el </w:t>
      </w:r>
      <w:r w:rsidR="007376C8" w:rsidRPr="00DA3C6B">
        <w:rPr>
          <w:sz w:val="26"/>
          <w:szCs w:val="26"/>
        </w:rPr>
        <w:t xml:space="preserve">denunciante y denunciado se erigen como candidata y candidato contendientes a una diputación federal por el principio de mayoría relativa por el Distrito Electoral Uninominal 12 en Puebla, por distintos institutos políticos.      </w:t>
      </w:r>
      <w:r w:rsidRPr="00DA3C6B">
        <w:rPr>
          <w:sz w:val="26"/>
          <w:szCs w:val="26"/>
        </w:rPr>
        <w:t xml:space="preserve"> </w:t>
      </w:r>
    </w:p>
    <w:p w:rsidR="00523428" w:rsidRPr="00DA3C6B" w:rsidRDefault="00523428" w:rsidP="00523428">
      <w:pPr>
        <w:spacing w:before="0" w:after="0"/>
        <w:rPr>
          <w:sz w:val="26"/>
          <w:szCs w:val="26"/>
        </w:rPr>
      </w:pPr>
    </w:p>
    <w:p w:rsidR="00523428" w:rsidRPr="00DA3C6B" w:rsidRDefault="00523428" w:rsidP="00523428">
      <w:pPr>
        <w:spacing w:before="0" w:after="0"/>
        <w:rPr>
          <w:sz w:val="26"/>
          <w:szCs w:val="26"/>
        </w:rPr>
      </w:pPr>
      <w:r w:rsidRPr="00DA3C6B">
        <w:rPr>
          <w:b/>
          <w:sz w:val="26"/>
          <w:szCs w:val="26"/>
        </w:rPr>
        <w:t>2.</w:t>
      </w:r>
      <w:r w:rsidRPr="00DA3C6B">
        <w:rPr>
          <w:sz w:val="26"/>
          <w:szCs w:val="26"/>
        </w:rPr>
        <w:t xml:space="preserve"> </w:t>
      </w:r>
      <w:r w:rsidRPr="00DA3C6B">
        <w:rPr>
          <w:b/>
          <w:sz w:val="26"/>
          <w:szCs w:val="26"/>
        </w:rPr>
        <w:t xml:space="preserve">Es perpetrado por el Estado o sus agentes, por superiores jerárquicos, colegas </w:t>
      </w:r>
      <w:r w:rsidRPr="00DA3C6B">
        <w:rPr>
          <w:b/>
          <w:bCs w:val="0"/>
          <w:sz w:val="26"/>
          <w:szCs w:val="26"/>
        </w:rPr>
        <w:t>de</w:t>
      </w:r>
      <w:r w:rsidRPr="00DA3C6B">
        <w:rPr>
          <w:b/>
          <w:sz w:val="26"/>
          <w:szCs w:val="26"/>
        </w:rPr>
        <w:t xml:space="preserve"> trabajo, partidos políticos o</w:t>
      </w:r>
      <w:r w:rsidR="007376C8" w:rsidRPr="00DA3C6B">
        <w:rPr>
          <w:b/>
          <w:sz w:val="26"/>
          <w:szCs w:val="26"/>
        </w:rPr>
        <w:t xml:space="preserve"> sus </w:t>
      </w:r>
      <w:r w:rsidRPr="00DA3C6B">
        <w:rPr>
          <w:b/>
          <w:sz w:val="26"/>
          <w:szCs w:val="26"/>
        </w:rPr>
        <w:t xml:space="preserve">representantes; medios </w:t>
      </w:r>
      <w:r w:rsidRPr="00DA3C6B">
        <w:rPr>
          <w:b/>
          <w:bCs w:val="0"/>
          <w:sz w:val="26"/>
          <w:szCs w:val="26"/>
        </w:rPr>
        <w:t>de</w:t>
      </w:r>
      <w:r w:rsidRPr="00DA3C6B">
        <w:rPr>
          <w:b/>
          <w:sz w:val="26"/>
          <w:szCs w:val="26"/>
        </w:rPr>
        <w:t xml:space="preserve"> comunicación y sus integrantes, un </w:t>
      </w:r>
      <w:r w:rsidRPr="00DA3C6B">
        <w:rPr>
          <w:b/>
          <w:sz w:val="26"/>
          <w:szCs w:val="26"/>
        </w:rPr>
        <w:lastRenderedPageBreak/>
        <w:t xml:space="preserve">particular y/o un grupo </w:t>
      </w:r>
      <w:r w:rsidRPr="00DA3C6B">
        <w:rPr>
          <w:b/>
          <w:bCs w:val="0"/>
          <w:sz w:val="26"/>
          <w:szCs w:val="26"/>
        </w:rPr>
        <w:t>de</w:t>
      </w:r>
      <w:r w:rsidRPr="00DA3C6B">
        <w:rPr>
          <w:b/>
          <w:sz w:val="26"/>
          <w:szCs w:val="26"/>
        </w:rPr>
        <w:t xml:space="preserve"> personas</w:t>
      </w:r>
      <w:r w:rsidR="007376C8" w:rsidRPr="00DA3C6B">
        <w:rPr>
          <w:sz w:val="26"/>
          <w:szCs w:val="26"/>
        </w:rPr>
        <w:t xml:space="preserve">. Cobra vigencia este supuesto debido a que se </w:t>
      </w:r>
      <w:r w:rsidR="00932ABD" w:rsidRPr="00DA3C6B">
        <w:rPr>
          <w:sz w:val="26"/>
          <w:szCs w:val="26"/>
        </w:rPr>
        <w:t xml:space="preserve">pueden </w:t>
      </w:r>
      <w:r w:rsidR="007376C8" w:rsidRPr="00DA3C6B">
        <w:rPr>
          <w:sz w:val="26"/>
          <w:szCs w:val="26"/>
        </w:rPr>
        <w:t>considera</w:t>
      </w:r>
      <w:r w:rsidR="00932ABD" w:rsidRPr="00DA3C6B">
        <w:rPr>
          <w:sz w:val="26"/>
          <w:szCs w:val="26"/>
        </w:rPr>
        <w:t>r</w:t>
      </w:r>
      <w:r w:rsidR="007376C8" w:rsidRPr="00DA3C6B">
        <w:rPr>
          <w:sz w:val="26"/>
          <w:szCs w:val="26"/>
        </w:rPr>
        <w:t xml:space="preserve"> como colegas</w:t>
      </w:r>
      <w:r w:rsidR="00CD658B" w:rsidRPr="00DA3C6B">
        <w:rPr>
          <w:sz w:val="26"/>
          <w:szCs w:val="26"/>
        </w:rPr>
        <w:t>, representantes del partido y</w:t>
      </w:r>
      <w:r w:rsidR="007376C8" w:rsidRPr="00DA3C6B">
        <w:rPr>
          <w:sz w:val="26"/>
          <w:szCs w:val="26"/>
        </w:rPr>
        <w:t xml:space="preserve"> contendientes a una diputación federal, por un mismo Distrito.   </w:t>
      </w:r>
      <w:r w:rsidRPr="00DA3C6B">
        <w:rPr>
          <w:sz w:val="26"/>
          <w:szCs w:val="26"/>
        </w:rPr>
        <w:t xml:space="preserve"> </w:t>
      </w:r>
    </w:p>
    <w:p w:rsidR="00523428" w:rsidRPr="00DA3C6B" w:rsidRDefault="00523428" w:rsidP="00523428">
      <w:pPr>
        <w:spacing w:before="0" w:after="0"/>
        <w:rPr>
          <w:sz w:val="26"/>
          <w:szCs w:val="26"/>
        </w:rPr>
      </w:pPr>
    </w:p>
    <w:p w:rsidR="00523428" w:rsidRPr="00DA3C6B" w:rsidRDefault="00523428" w:rsidP="00523428">
      <w:pPr>
        <w:spacing w:before="0" w:after="0"/>
        <w:rPr>
          <w:sz w:val="26"/>
          <w:szCs w:val="26"/>
        </w:rPr>
      </w:pPr>
      <w:r w:rsidRPr="00DA3C6B">
        <w:rPr>
          <w:b/>
          <w:sz w:val="26"/>
          <w:szCs w:val="26"/>
        </w:rPr>
        <w:t>3. Es simbólico, verbal, patrimonial, económico, físico, sexual y/o psicológico</w:t>
      </w:r>
      <w:r w:rsidR="007376C8" w:rsidRPr="00DA3C6B">
        <w:rPr>
          <w:sz w:val="26"/>
          <w:szCs w:val="26"/>
        </w:rPr>
        <w:t xml:space="preserve">. Las expresiones consisten en elementos verbales exteriorizados por el sujeto denunciado.   </w:t>
      </w:r>
      <w:r w:rsidRPr="00DA3C6B">
        <w:rPr>
          <w:sz w:val="26"/>
          <w:szCs w:val="26"/>
        </w:rPr>
        <w:t xml:space="preserve"> </w:t>
      </w:r>
    </w:p>
    <w:p w:rsidR="00523428" w:rsidRPr="00DA3C6B" w:rsidRDefault="00523428" w:rsidP="00523428">
      <w:pPr>
        <w:spacing w:before="0" w:after="0"/>
        <w:rPr>
          <w:sz w:val="26"/>
          <w:szCs w:val="26"/>
        </w:rPr>
      </w:pPr>
    </w:p>
    <w:p w:rsidR="00ED034A" w:rsidRPr="00DA3C6B" w:rsidRDefault="00523428" w:rsidP="00523428">
      <w:pPr>
        <w:spacing w:before="0" w:after="0"/>
        <w:rPr>
          <w:sz w:val="26"/>
          <w:szCs w:val="26"/>
        </w:rPr>
      </w:pPr>
      <w:r w:rsidRPr="00DA3C6B">
        <w:rPr>
          <w:b/>
          <w:sz w:val="26"/>
          <w:szCs w:val="26"/>
        </w:rPr>
        <w:t>4.</w:t>
      </w:r>
      <w:r w:rsidRPr="00DA3C6B">
        <w:rPr>
          <w:sz w:val="26"/>
          <w:szCs w:val="26"/>
        </w:rPr>
        <w:t xml:space="preserve"> </w:t>
      </w:r>
      <w:r w:rsidRPr="00DA3C6B">
        <w:rPr>
          <w:b/>
          <w:sz w:val="26"/>
          <w:szCs w:val="26"/>
        </w:rPr>
        <w:t xml:space="preserve">Tiene por objeto o resultado menoscabar o anular el reconocimiento, goce y/o ejercicio </w:t>
      </w:r>
      <w:r w:rsidRPr="00DA3C6B">
        <w:rPr>
          <w:b/>
          <w:bCs w:val="0"/>
          <w:sz w:val="26"/>
          <w:szCs w:val="26"/>
        </w:rPr>
        <w:t>de</w:t>
      </w:r>
      <w:r w:rsidRPr="00DA3C6B">
        <w:rPr>
          <w:b/>
          <w:sz w:val="26"/>
          <w:szCs w:val="26"/>
        </w:rPr>
        <w:t xml:space="preserve"> los </w:t>
      </w:r>
      <w:r w:rsidRPr="00DA3C6B">
        <w:rPr>
          <w:b/>
          <w:bCs w:val="0"/>
          <w:sz w:val="26"/>
          <w:szCs w:val="26"/>
        </w:rPr>
        <w:t>de</w:t>
      </w:r>
      <w:r w:rsidRPr="00DA3C6B">
        <w:rPr>
          <w:b/>
          <w:sz w:val="26"/>
          <w:szCs w:val="26"/>
        </w:rPr>
        <w:t xml:space="preserve">rechos político-electorales </w:t>
      </w:r>
      <w:r w:rsidRPr="00DA3C6B">
        <w:rPr>
          <w:b/>
          <w:bCs w:val="0"/>
          <w:sz w:val="26"/>
          <w:szCs w:val="26"/>
        </w:rPr>
        <w:t>de</w:t>
      </w:r>
      <w:r w:rsidRPr="00DA3C6B">
        <w:rPr>
          <w:b/>
          <w:sz w:val="26"/>
          <w:szCs w:val="26"/>
        </w:rPr>
        <w:t xml:space="preserve"> las mujeres</w:t>
      </w:r>
      <w:r w:rsidR="00ED034A" w:rsidRPr="00DA3C6B">
        <w:rPr>
          <w:sz w:val="26"/>
          <w:szCs w:val="26"/>
        </w:rPr>
        <w:t>. No se cumple ese objeto o resultado</w:t>
      </w:r>
      <w:r w:rsidR="00923898" w:rsidRPr="00DA3C6B">
        <w:rPr>
          <w:sz w:val="26"/>
          <w:szCs w:val="26"/>
        </w:rPr>
        <w:t>, debido a que la expresión denunciada</w:t>
      </w:r>
      <w:r w:rsidR="00724560" w:rsidRPr="00DA3C6B">
        <w:rPr>
          <w:sz w:val="26"/>
          <w:szCs w:val="26"/>
        </w:rPr>
        <w:t xml:space="preserve"> </w:t>
      </w:r>
      <w:r w:rsidR="00923898" w:rsidRPr="00DA3C6B">
        <w:rPr>
          <w:b/>
          <w:i/>
          <w:sz w:val="26"/>
          <w:szCs w:val="26"/>
        </w:rPr>
        <w:t>“</w:t>
      </w:r>
      <w:r w:rsidR="00724560" w:rsidRPr="00DA3C6B">
        <w:rPr>
          <w:b/>
          <w:i/>
          <w:sz w:val="26"/>
          <w:szCs w:val="26"/>
        </w:rPr>
        <w:t xml:space="preserve">se hizo </w:t>
      </w:r>
      <w:r w:rsidR="00923898" w:rsidRPr="00DA3C6B">
        <w:rPr>
          <w:b/>
          <w:i/>
          <w:sz w:val="26"/>
          <w:szCs w:val="26"/>
        </w:rPr>
        <w:t>bruta realmente”</w:t>
      </w:r>
      <w:r w:rsidR="00923898" w:rsidRPr="00DA3C6B">
        <w:rPr>
          <w:sz w:val="26"/>
          <w:szCs w:val="26"/>
        </w:rPr>
        <w:t xml:space="preserve"> </w:t>
      </w:r>
      <w:r w:rsidR="00ED034A" w:rsidRPr="00DA3C6B">
        <w:rPr>
          <w:sz w:val="26"/>
          <w:szCs w:val="26"/>
        </w:rPr>
        <w:t xml:space="preserve">se da en el </w:t>
      </w:r>
      <w:r w:rsidR="00ED034A" w:rsidRPr="00DA3C6B">
        <w:rPr>
          <w:b/>
          <w:sz w:val="26"/>
          <w:szCs w:val="26"/>
        </w:rPr>
        <w:t>contexto</w:t>
      </w:r>
      <w:r w:rsidR="00ED034A" w:rsidRPr="00DA3C6B">
        <w:rPr>
          <w:sz w:val="26"/>
          <w:szCs w:val="26"/>
        </w:rPr>
        <w:t xml:space="preserve"> y como </w:t>
      </w:r>
      <w:r w:rsidR="00ED034A" w:rsidRPr="00DA3C6B">
        <w:rPr>
          <w:b/>
          <w:sz w:val="26"/>
          <w:szCs w:val="26"/>
        </w:rPr>
        <w:t>resultado</w:t>
      </w:r>
      <w:r w:rsidR="00ED034A" w:rsidRPr="00DA3C6B">
        <w:rPr>
          <w:sz w:val="26"/>
          <w:szCs w:val="26"/>
        </w:rPr>
        <w:t xml:space="preserve"> de una conversación previa que sostuvieron los sujetos</w:t>
      </w:r>
      <w:r w:rsidR="00923898" w:rsidRPr="00DA3C6B">
        <w:rPr>
          <w:sz w:val="26"/>
          <w:szCs w:val="26"/>
        </w:rPr>
        <w:t xml:space="preserve"> (</w:t>
      </w:r>
      <w:r w:rsidR="00ED034A" w:rsidRPr="00DA3C6B">
        <w:rPr>
          <w:sz w:val="26"/>
          <w:szCs w:val="26"/>
        </w:rPr>
        <w:t>denunciante y denunciado</w:t>
      </w:r>
      <w:r w:rsidR="00923898" w:rsidRPr="00DA3C6B">
        <w:rPr>
          <w:sz w:val="26"/>
          <w:szCs w:val="26"/>
        </w:rPr>
        <w:t>)</w:t>
      </w:r>
      <w:r w:rsidR="00CD658B" w:rsidRPr="00DA3C6B">
        <w:rPr>
          <w:sz w:val="26"/>
          <w:szCs w:val="26"/>
        </w:rPr>
        <w:t>, derivado de que no quiso presentar una denuncia</w:t>
      </w:r>
      <w:r w:rsidR="005F4457" w:rsidRPr="00DA3C6B">
        <w:rPr>
          <w:sz w:val="26"/>
          <w:szCs w:val="26"/>
        </w:rPr>
        <w:t>, es decir, se le reprocha una omisión o inacción</w:t>
      </w:r>
      <w:r w:rsidR="00ED034A" w:rsidRPr="00DA3C6B">
        <w:rPr>
          <w:sz w:val="26"/>
          <w:szCs w:val="26"/>
        </w:rPr>
        <w:t xml:space="preserve">; </w:t>
      </w:r>
      <w:r w:rsidR="006C699B" w:rsidRPr="00DA3C6B">
        <w:rPr>
          <w:sz w:val="26"/>
          <w:szCs w:val="26"/>
        </w:rPr>
        <w:t xml:space="preserve">la mención de </w:t>
      </w:r>
      <w:r w:rsidR="006C699B" w:rsidRPr="00DA3C6B">
        <w:rPr>
          <w:b/>
          <w:i/>
          <w:sz w:val="26"/>
          <w:szCs w:val="26"/>
        </w:rPr>
        <w:t>“ya la cepillaron”</w:t>
      </w:r>
      <w:r w:rsidR="006C699B" w:rsidRPr="00DA3C6B">
        <w:rPr>
          <w:sz w:val="26"/>
          <w:szCs w:val="26"/>
        </w:rPr>
        <w:t xml:space="preserve"> se da </w:t>
      </w:r>
      <w:r w:rsidR="00996BED" w:rsidRPr="00DA3C6B">
        <w:rPr>
          <w:sz w:val="26"/>
          <w:szCs w:val="26"/>
        </w:rPr>
        <w:t xml:space="preserve">en función de una nota periodística que </w:t>
      </w:r>
      <w:r w:rsidR="006C699B" w:rsidRPr="00DA3C6B">
        <w:rPr>
          <w:sz w:val="26"/>
          <w:szCs w:val="26"/>
        </w:rPr>
        <w:t>transmite vía reportaje, l</w:t>
      </w:r>
      <w:r w:rsidR="00923898" w:rsidRPr="00DA3C6B">
        <w:rPr>
          <w:sz w:val="26"/>
          <w:szCs w:val="26"/>
        </w:rPr>
        <w:t>a opinión del denunciado sobre los movimientos políticos que ocurren en la contienda en la que participa</w:t>
      </w:r>
      <w:r w:rsidR="006C699B" w:rsidRPr="00DA3C6B">
        <w:rPr>
          <w:sz w:val="26"/>
          <w:szCs w:val="26"/>
        </w:rPr>
        <w:t xml:space="preserve">; </w:t>
      </w:r>
      <w:r w:rsidR="00923898" w:rsidRPr="00DA3C6B">
        <w:rPr>
          <w:sz w:val="26"/>
          <w:szCs w:val="26"/>
        </w:rPr>
        <w:t xml:space="preserve">y el empleo del artículo </w:t>
      </w:r>
      <w:r w:rsidR="00923898" w:rsidRPr="00DA3C6B">
        <w:rPr>
          <w:b/>
          <w:i/>
          <w:sz w:val="26"/>
          <w:szCs w:val="26"/>
        </w:rPr>
        <w:t>“la”</w:t>
      </w:r>
      <w:r w:rsidR="00923898" w:rsidRPr="00DA3C6B">
        <w:rPr>
          <w:sz w:val="26"/>
          <w:szCs w:val="26"/>
        </w:rPr>
        <w:t xml:space="preserve"> antes del nombre propio de la denunciante, no tiene por objeto minimizar el ejercicio de</w:t>
      </w:r>
      <w:r w:rsidR="006C699B" w:rsidRPr="00DA3C6B">
        <w:rPr>
          <w:sz w:val="26"/>
          <w:szCs w:val="26"/>
        </w:rPr>
        <w:t xml:space="preserve"> su </w:t>
      </w:r>
      <w:r w:rsidR="00923898" w:rsidRPr="00DA3C6B">
        <w:rPr>
          <w:sz w:val="26"/>
          <w:szCs w:val="26"/>
        </w:rPr>
        <w:t>derecho</w:t>
      </w:r>
      <w:r w:rsidR="006C699B" w:rsidRPr="00DA3C6B">
        <w:rPr>
          <w:sz w:val="26"/>
          <w:szCs w:val="26"/>
        </w:rPr>
        <w:t xml:space="preserve"> a participar en la contienda</w:t>
      </w:r>
      <w:r w:rsidR="00923898" w:rsidRPr="00DA3C6B">
        <w:rPr>
          <w:sz w:val="26"/>
          <w:szCs w:val="26"/>
        </w:rPr>
        <w:t xml:space="preserve">.     </w:t>
      </w:r>
      <w:r w:rsidR="00ED034A" w:rsidRPr="00DA3C6B">
        <w:rPr>
          <w:sz w:val="26"/>
          <w:szCs w:val="26"/>
        </w:rPr>
        <w:t xml:space="preserve">   </w:t>
      </w:r>
    </w:p>
    <w:p w:rsidR="00ED034A" w:rsidRPr="00DA3C6B" w:rsidRDefault="00ED034A" w:rsidP="00523428">
      <w:pPr>
        <w:spacing w:before="0" w:after="0"/>
        <w:rPr>
          <w:sz w:val="26"/>
          <w:szCs w:val="26"/>
        </w:rPr>
      </w:pPr>
    </w:p>
    <w:p w:rsidR="006C699B" w:rsidRPr="00DA3C6B" w:rsidRDefault="00523428" w:rsidP="00523428">
      <w:pPr>
        <w:spacing w:before="0" w:after="0"/>
        <w:rPr>
          <w:sz w:val="26"/>
          <w:szCs w:val="26"/>
        </w:rPr>
      </w:pPr>
      <w:r w:rsidRPr="00DA3C6B">
        <w:rPr>
          <w:b/>
          <w:sz w:val="26"/>
          <w:szCs w:val="26"/>
        </w:rPr>
        <w:t xml:space="preserve">5. Se basa en elementos </w:t>
      </w:r>
      <w:r w:rsidRPr="00DA3C6B">
        <w:rPr>
          <w:b/>
          <w:bCs w:val="0"/>
          <w:sz w:val="26"/>
          <w:szCs w:val="26"/>
        </w:rPr>
        <w:t>de</w:t>
      </w:r>
      <w:r w:rsidRPr="00DA3C6B">
        <w:rPr>
          <w:b/>
          <w:sz w:val="26"/>
          <w:szCs w:val="26"/>
        </w:rPr>
        <w:t xml:space="preserve"> </w:t>
      </w:r>
      <w:r w:rsidRPr="00DA3C6B">
        <w:rPr>
          <w:b/>
          <w:bCs w:val="0"/>
          <w:sz w:val="26"/>
          <w:szCs w:val="26"/>
        </w:rPr>
        <w:t>género</w:t>
      </w:r>
      <w:r w:rsidRPr="00DA3C6B">
        <w:rPr>
          <w:b/>
          <w:sz w:val="26"/>
          <w:szCs w:val="26"/>
        </w:rPr>
        <w:t xml:space="preserve">, es </w:t>
      </w:r>
      <w:r w:rsidRPr="00DA3C6B">
        <w:rPr>
          <w:b/>
          <w:bCs w:val="0"/>
          <w:sz w:val="26"/>
          <w:szCs w:val="26"/>
        </w:rPr>
        <w:t>de</w:t>
      </w:r>
      <w:r w:rsidRPr="00DA3C6B">
        <w:rPr>
          <w:b/>
          <w:sz w:val="26"/>
          <w:szCs w:val="26"/>
        </w:rPr>
        <w:t xml:space="preserve">cir: i. se dirige a una mujer por ser mujer, ii. tiene un impacto diferenciado en las mujeres; iii. afecta </w:t>
      </w:r>
      <w:r w:rsidRPr="00DA3C6B">
        <w:rPr>
          <w:b/>
          <w:bCs w:val="0"/>
          <w:sz w:val="26"/>
          <w:szCs w:val="26"/>
        </w:rPr>
        <w:t>de</w:t>
      </w:r>
      <w:r w:rsidRPr="00DA3C6B">
        <w:rPr>
          <w:b/>
          <w:sz w:val="26"/>
          <w:szCs w:val="26"/>
        </w:rPr>
        <w:t>sproporcionadamente a las mujeres</w:t>
      </w:r>
      <w:r w:rsidR="006C699B" w:rsidRPr="00DA3C6B">
        <w:rPr>
          <w:sz w:val="26"/>
          <w:szCs w:val="26"/>
        </w:rPr>
        <w:t xml:space="preserve">. Como lo indica la responsable, tales expresiones no se dirigen a la denunciante por ser mujer, tampoco tiene un impacto diferenciado en las mujeres y </w:t>
      </w:r>
      <w:r w:rsidR="00932ABD" w:rsidRPr="00DA3C6B">
        <w:rPr>
          <w:sz w:val="26"/>
          <w:szCs w:val="26"/>
        </w:rPr>
        <w:t xml:space="preserve">por ende </w:t>
      </w:r>
      <w:r w:rsidR="006C699B" w:rsidRPr="00DA3C6B">
        <w:rPr>
          <w:sz w:val="26"/>
          <w:szCs w:val="26"/>
        </w:rPr>
        <w:t>no afecta de manera desproporcionada</w:t>
      </w:r>
      <w:r w:rsidR="00932ABD" w:rsidRPr="00DA3C6B">
        <w:rPr>
          <w:sz w:val="26"/>
          <w:szCs w:val="26"/>
        </w:rPr>
        <w:t xml:space="preserve"> a las mujeres</w:t>
      </w:r>
      <w:r w:rsidR="006C699B" w:rsidRPr="00DA3C6B">
        <w:rPr>
          <w:sz w:val="26"/>
          <w:szCs w:val="26"/>
        </w:rPr>
        <w:t>.</w:t>
      </w:r>
    </w:p>
    <w:p w:rsidR="006C699B" w:rsidRPr="00DA3C6B" w:rsidRDefault="006C699B" w:rsidP="00523428">
      <w:pPr>
        <w:spacing w:before="0" w:after="0"/>
        <w:rPr>
          <w:sz w:val="26"/>
          <w:szCs w:val="26"/>
        </w:rPr>
      </w:pPr>
    </w:p>
    <w:p w:rsidR="009D3006" w:rsidRPr="00DA3C6B" w:rsidRDefault="009D3006" w:rsidP="009D3006">
      <w:pPr>
        <w:spacing w:before="0" w:after="0"/>
        <w:rPr>
          <w:sz w:val="26"/>
          <w:szCs w:val="26"/>
        </w:rPr>
      </w:pPr>
      <w:r w:rsidRPr="00DA3C6B">
        <w:rPr>
          <w:sz w:val="26"/>
          <w:szCs w:val="26"/>
        </w:rPr>
        <w:lastRenderedPageBreak/>
        <w:t>En ese sentido,</w:t>
      </w:r>
      <w:r w:rsidR="005F4457" w:rsidRPr="00DA3C6B">
        <w:rPr>
          <w:sz w:val="26"/>
          <w:szCs w:val="26"/>
        </w:rPr>
        <w:t xml:space="preserve"> de un análisis preliminar de los hechos denunciados, </w:t>
      </w:r>
      <w:r w:rsidRPr="00DA3C6B">
        <w:rPr>
          <w:sz w:val="26"/>
          <w:szCs w:val="26"/>
        </w:rPr>
        <w:t>además de no acreditarse la violación a un derecho político-electoral, tampoco existen elementos para afirmar que las expresiones se hayan dirigido a la actora por ser mujer, ya que éstos se dan por su calidad de contendiente a un cargo de elección popular, toda vez que se le cuestiona su actuar previo.</w:t>
      </w:r>
    </w:p>
    <w:p w:rsidR="009D3006" w:rsidRPr="00DA3C6B" w:rsidRDefault="009D3006" w:rsidP="009D3006">
      <w:pPr>
        <w:spacing w:before="0" w:after="0"/>
        <w:rPr>
          <w:sz w:val="26"/>
          <w:szCs w:val="26"/>
        </w:rPr>
      </w:pPr>
    </w:p>
    <w:p w:rsidR="009D3006" w:rsidRPr="00DA3C6B" w:rsidRDefault="009D3006" w:rsidP="009D3006">
      <w:pPr>
        <w:spacing w:before="0" w:after="0"/>
        <w:rPr>
          <w:sz w:val="26"/>
          <w:szCs w:val="26"/>
        </w:rPr>
      </w:pPr>
      <w:r w:rsidRPr="00DA3C6B">
        <w:rPr>
          <w:sz w:val="26"/>
          <w:szCs w:val="26"/>
        </w:rPr>
        <w:t>Tampoco existe un impacto diferenciado de los dichos</w:t>
      </w:r>
      <w:r w:rsidR="00932ABD" w:rsidRPr="00DA3C6B">
        <w:rPr>
          <w:sz w:val="26"/>
          <w:szCs w:val="26"/>
        </w:rPr>
        <w:t>,</w:t>
      </w:r>
      <w:r w:rsidRPr="00DA3C6B">
        <w:rPr>
          <w:sz w:val="26"/>
          <w:szCs w:val="26"/>
        </w:rPr>
        <w:t xml:space="preserve"> dado que ni por objeto ni por resultado, es posible verificar una afectación distinta de las expresiones denunciadas a partir del hecho de que la actora sea mujer o de</w:t>
      </w:r>
      <w:r w:rsidR="00932ABD" w:rsidRPr="00DA3C6B">
        <w:rPr>
          <w:sz w:val="26"/>
          <w:szCs w:val="26"/>
        </w:rPr>
        <w:t>l</w:t>
      </w:r>
      <w:r w:rsidRPr="00DA3C6B">
        <w:rPr>
          <w:sz w:val="26"/>
          <w:szCs w:val="26"/>
        </w:rPr>
        <w:t xml:space="preserve"> género femenino. </w:t>
      </w:r>
    </w:p>
    <w:p w:rsidR="009D3006" w:rsidRPr="00DA3C6B" w:rsidRDefault="009D3006" w:rsidP="009D3006">
      <w:pPr>
        <w:spacing w:before="0" w:after="0"/>
        <w:rPr>
          <w:sz w:val="26"/>
          <w:szCs w:val="26"/>
        </w:rPr>
      </w:pPr>
    </w:p>
    <w:p w:rsidR="009D3006" w:rsidRPr="00DA3C6B" w:rsidRDefault="009D3006" w:rsidP="009D3006">
      <w:pPr>
        <w:spacing w:before="0" w:after="0"/>
        <w:rPr>
          <w:sz w:val="26"/>
          <w:szCs w:val="26"/>
        </w:rPr>
      </w:pPr>
      <w:r w:rsidRPr="00DA3C6B">
        <w:rPr>
          <w:sz w:val="26"/>
          <w:szCs w:val="26"/>
        </w:rPr>
        <w:t>En el mismo sentido, no existen elementos para configurar un impacto desproporcionado de las referidas expresiones a partir de la condición sexo-genérica de la actora.</w:t>
      </w:r>
    </w:p>
    <w:p w:rsidR="009D3006" w:rsidRPr="00DA3C6B" w:rsidRDefault="009D3006" w:rsidP="009D3006">
      <w:pPr>
        <w:spacing w:before="0" w:after="0"/>
        <w:rPr>
          <w:sz w:val="26"/>
          <w:szCs w:val="26"/>
        </w:rPr>
      </w:pPr>
    </w:p>
    <w:p w:rsidR="00180FE3" w:rsidRPr="00DA3C6B" w:rsidRDefault="009D3006" w:rsidP="009D3006">
      <w:pPr>
        <w:pBdr>
          <w:top w:val="nil"/>
          <w:left w:val="nil"/>
          <w:bottom w:val="nil"/>
          <w:right w:val="nil"/>
          <w:between w:val="nil"/>
          <w:bar w:val="nil"/>
        </w:pBdr>
        <w:spacing w:before="0" w:after="0"/>
        <w:rPr>
          <w:sz w:val="26"/>
          <w:szCs w:val="26"/>
        </w:rPr>
      </w:pPr>
      <w:r w:rsidRPr="00DA3C6B">
        <w:rPr>
          <w:sz w:val="26"/>
          <w:szCs w:val="26"/>
        </w:rPr>
        <w:t>Por tanto, las expresiones que</w:t>
      </w:r>
      <w:r w:rsidR="00180FE3" w:rsidRPr="00DA3C6B">
        <w:rPr>
          <w:sz w:val="26"/>
          <w:szCs w:val="26"/>
        </w:rPr>
        <w:t xml:space="preserve"> se denuncian, como se indicó en la resolución recurrida, no representan un obstáculo o impedimento jurídico para que la candidata continúe ejerciendo sus derechos político-electorales, por la supuesta vulneración a su derecho a la igualdad y no discriminación; cuestión que cabe advertir, no se controvierte en la present</w:t>
      </w:r>
      <w:r w:rsidR="001712F6" w:rsidRPr="00DA3C6B">
        <w:rPr>
          <w:sz w:val="26"/>
          <w:szCs w:val="26"/>
        </w:rPr>
        <w:t>e</w:t>
      </w:r>
      <w:r w:rsidR="00180FE3" w:rsidRPr="00DA3C6B">
        <w:rPr>
          <w:sz w:val="26"/>
          <w:szCs w:val="26"/>
        </w:rPr>
        <w:t xml:space="preserve"> instancia por la recurrente</w:t>
      </w:r>
      <w:r w:rsidR="001712F6" w:rsidRPr="00DA3C6B">
        <w:rPr>
          <w:sz w:val="26"/>
          <w:szCs w:val="26"/>
        </w:rPr>
        <w:t>,</w:t>
      </w:r>
      <w:r w:rsidR="00180FE3" w:rsidRPr="00DA3C6B">
        <w:rPr>
          <w:sz w:val="26"/>
          <w:szCs w:val="26"/>
        </w:rPr>
        <w:t xml:space="preserve"> y </w:t>
      </w:r>
      <w:r w:rsidR="00932ABD" w:rsidRPr="00DA3C6B">
        <w:rPr>
          <w:sz w:val="26"/>
          <w:szCs w:val="26"/>
        </w:rPr>
        <w:t>que</w:t>
      </w:r>
      <w:r w:rsidR="001712F6" w:rsidRPr="00DA3C6B">
        <w:rPr>
          <w:sz w:val="26"/>
          <w:szCs w:val="26"/>
        </w:rPr>
        <w:t>,</w:t>
      </w:r>
      <w:r w:rsidR="00932ABD" w:rsidRPr="00DA3C6B">
        <w:rPr>
          <w:sz w:val="26"/>
          <w:szCs w:val="26"/>
        </w:rPr>
        <w:t xml:space="preserve"> </w:t>
      </w:r>
      <w:r w:rsidR="00180FE3" w:rsidRPr="00DA3C6B">
        <w:rPr>
          <w:sz w:val="26"/>
          <w:szCs w:val="26"/>
        </w:rPr>
        <w:t>por ello debe continuar rigiendo</w:t>
      </w:r>
      <w:r w:rsidR="00932ABD" w:rsidRPr="00DA3C6B">
        <w:rPr>
          <w:sz w:val="26"/>
          <w:szCs w:val="26"/>
        </w:rPr>
        <w:t xml:space="preserve"> su sentido</w:t>
      </w:r>
      <w:r w:rsidR="00180FE3" w:rsidRPr="00DA3C6B">
        <w:rPr>
          <w:sz w:val="26"/>
          <w:szCs w:val="26"/>
        </w:rPr>
        <w:t>.</w:t>
      </w:r>
    </w:p>
    <w:p w:rsidR="00180FE3" w:rsidRPr="00DA3C6B" w:rsidRDefault="00180FE3" w:rsidP="009D3006">
      <w:pPr>
        <w:pBdr>
          <w:top w:val="nil"/>
          <w:left w:val="nil"/>
          <w:bottom w:val="nil"/>
          <w:right w:val="nil"/>
          <w:between w:val="nil"/>
          <w:bar w:val="nil"/>
        </w:pBdr>
        <w:spacing w:before="0" w:after="0"/>
        <w:rPr>
          <w:sz w:val="26"/>
          <w:szCs w:val="26"/>
        </w:rPr>
      </w:pPr>
      <w:r w:rsidRPr="00DA3C6B">
        <w:rPr>
          <w:sz w:val="26"/>
          <w:szCs w:val="26"/>
        </w:rPr>
        <w:t xml:space="preserve">           </w:t>
      </w:r>
    </w:p>
    <w:p w:rsidR="00AB598B" w:rsidRPr="00DA3C6B" w:rsidRDefault="00932ABD" w:rsidP="00AB598B">
      <w:pPr>
        <w:spacing w:before="0" w:after="0"/>
        <w:rPr>
          <w:sz w:val="26"/>
          <w:szCs w:val="26"/>
        </w:rPr>
      </w:pPr>
      <w:r w:rsidRPr="00DA3C6B">
        <w:rPr>
          <w:sz w:val="26"/>
          <w:szCs w:val="26"/>
        </w:rPr>
        <w:t xml:space="preserve">En ese sentido, </w:t>
      </w:r>
      <w:r w:rsidR="00180FE3" w:rsidRPr="00DA3C6B">
        <w:rPr>
          <w:sz w:val="26"/>
          <w:szCs w:val="26"/>
        </w:rPr>
        <w:t xml:space="preserve">conforme al Protocolo para </w:t>
      </w:r>
      <w:r w:rsidR="009D3006" w:rsidRPr="00DA3C6B">
        <w:rPr>
          <w:sz w:val="26"/>
          <w:szCs w:val="26"/>
        </w:rPr>
        <w:t>Juzgar con Perspectiva de Género</w:t>
      </w:r>
      <w:r w:rsidR="00180FE3" w:rsidRPr="00DA3C6B">
        <w:rPr>
          <w:rStyle w:val="Refdenotaalpie"/>
          <w:sz w:val="26"/>
          <w:szCs w:val="26"/>
        </w:rPr>
        <w:footnoteReference w:id="16"/>
      </w:r>
      <w:r w:rsidR="00180FE3" w:rsidRPr="00DA3C6B">
        <w:rPr>
          <w:sz w:val="26"/>
          <w:szCs w:val="26"/>
        </w:rPr>
        <w:t xml:space="preserve">, </w:t>
      </w:r>
      <w:r w:rsidR="009D3006" w:rsidRPr="00DA3C6B">
        <w:rPr>
          <w:sz w:val="26"/>
          <w:szCs w:val="26"/>
        </w:rPr>
        <w:t xml:space="preserve">los estereotipos de género son aquellas características, actitudes y roles que estructuralmente le son asignadas -con distinta valorización y jerarquización- a hombres y mujeres, a partir de sus </w:t>
      </w:r>
      <w:r w:rsidR="009D3006" w:rsidRPr="00DA3C6B">
        <w:rPr>
          <w:sz w:val="26"/>
          <w:szCs w:val="26"/>
        </w:rPr>
        <w:lastRenderedPageBreak/>
        <w:t xml:space="preserve">diferencias sexo-genéricas, </w:t>
      </w:r>
      <w:r w:rsidR="00AB598B" w:rsidRPr="00DA3C6B">
        <w:rPr>
          <w:sz w:val="26"/>
          <w:szCs w:val="26"/>
        </w:rPr>
        <w:t xml:space="preserve">por lo que </w:t>
      </w:r>
      <w:r w:rsidR="009D3006" w:rsidRPr="00DA3C6B">
        <w:rPr>
          <w:sz w:val="26"/>
          <w:szCs w:val="26"/>
        </w:rPr>
        <w:t>las expresiones materia de estudio no se basan ni generan estereotipos discriminadores</w:t>
      </w:r>
      <w:r w:rsidR="00AB598B" w:rsidRPr="00DA3C6B">
        <w:rPr>
          <w:sz w:val="26"/>
          <w:szCs w:val="26"/>
        </w:rPr>
        <w:t>.</w:t>
      </w:r>
    </w:p>
    <w:p w:rsidR="000C0F4B" w:rsidRDefault="000C0F4B" w:rsidP="00932ABD">
      <w:pPr>
        <w:spacing w:before="0" w:after="0"/>
        <w:rPr>
          <w:sz w:val="26"/>
          <w:szCs w:val="26"/>
        </w:rPr>
      </w:pPr>
    </w:p>
    <w:p w:rsidR="00932ABD" w:rsidRPr="00DA3C6B" w:rsidRDefault="00932ABD" w:rsidP="00932ABD">
      <w:pPr>
        <w:spacing w:before="0" w:after="0"/>
        <w:rPr>
          <w:sz w:val="26"/>
          <w:szCs w:val="26"/>
        </w:rPr>
      </w:pPr>
      <w:r w:rsidRPr="00DA3C6B">
        <w:rPr>
          <w:sz w:val="26"/>
          <w:szCs w:val="26"/>
        </w:rPr>
        <w:t>También en ese instrumento se destaca que, si bien los estereotipos afectan a hombres y a mujeres, tienen mayor efecto negativo en ellas, dado que “históricamente la sociedad les ha asignado roles invisibilizados en cuanto a su relevancia y aportación, y jerárquicamente considerados inferiores a los de los hombres”.</w:t>
      </w:r>
    </w:p>
    <w:p w:rsidR="00932ABD" w:rsidRPr="00DA3C6B" w:rsidRDefault="00932ABD" w:rsidP="00AB598B">
      <w:pPr>
        <w:spacing w:before="0" w:after="0"/>
        <w:rPr>
          <w:sz w:val="26"/>
          <w:szCs w:val="26"/>
        </w:rPr>
      </w:pPr>
    </w:p>
    <w:p w:rsidR="00AB598B" w:rsidRPr="00DA3C6B" w:rsidRDefault="00AB598B" w:rsidP="00AB598B">
      <w:pPr>
        <w:spacing w:before="0" w:after="0"/>
        <w:rPr>
          <w:sz w:val="26"/>
          <w:szCs w:val="26"/>
        </w:rPr>
      </w:pPr>
      <w:r w:rsidRPr="00DA3C6B">
        <w:rPr>
          <w:sz w:val="26"/>
          <w:szCs w:val="26"/>
        </w:rPr>
        <w:t>A partir de las expresiones denunciadas, no puede señalarse que se está asignando un rol, una característica o un valor a la candidata</w:t>
      </w:r>
      <w:r w:rsidR="00932ABD" w:rsidRPr="00DA3C6B">
        <w:rPr>
          <w:sz w:val="26"/>
          <w:szCs w:val="26"/>
        </w:rPr>
        <w:t xml:space="preserve"> denunciante </w:t>
      </w:r>
      <w:r w:rsidRPr="00DA3C6B">
        <w:rPr>
          <w:sz w:val="26"/>
          <w:szCs w:val="26"/>
        </w:rPr>
        <w:t xml:space="preserve">a partir de su sexo o su género. </w:t>
      </w:r>
    </w:p>
    <w:p w:rsidR="00AB598B" w:rsidRPr="00DA3C6B" w:rsidRDefault="00AB598B" w:rsidP="00AB598B">
      <w:pPr>
        <w:spacing w:before="0" w:after="0"/>
        <w:rPr>
          <w:sz w:val="26"/>
          <w:szCs w:val="26"/>
        </w:rPr>
      </w:pPr>
    </w:p>
    <w:p w:rsidR="005A426A" w:rsidRPr="00DA3C6B" w:rsidRDefault="00AB598B" w:rsidP="005A426A">
      <w:pPr>
        <w:spacing w:before="0" w:after="0"/>
        <w:rPr>
          <w:sz w:val="26"/>
          <w:szCs w:val="26"/>
        </w:rPr>
      </w:pPr>
      <w:r w:rsidRPr="00DA3C6B">
        <w:rPr>
          <w:sz w:val="26"/>
          <w:szCs w:val="26"/>
        </w:rPr>
        <w:t>Tampoco puede señalarse que se le coloque en una posición inferior con base en ello.</w:t>
      </w:r>
    </w:p>
    <w:p w:rsidR="005A426A" w:rsidRPr="00DA3C6B" w:rsidRDefault="001177BB" w:rsidP="009D3006">
      <w:pPr>
        <w:rPr>
          <w:sz w:val="26"/>
          <w:szCs w:val="26"/>
        </w:rPr>
      </w:pPr>
      <w:r w:rsidRPr="00DA3C6B">
        <w:rPr>
          <w:sz w:val="26"/>
          <w:szCs w:val="26"/>
        </w:rPr>
        <w:t>Entonces n</w:t>
      </w:r>
      <w:r w:rsidR="005A426A" w:rsidRPr="00DA3C6B">
        <w:rPr>
          <w:sz w:val="26"/>
          <w:szCs w:val="26"/>
        </w:rPr>
        <w:t xml:space="preserve">o </w:t>
      </w:r>
      <w:r w:rsidR="009D3006" w:rsidRPr="00DA3C6B">
        <w:rPr>
          <w:sz w:val="26"/>
          <w:szCs w:val="26"/>
        </w:rPr>
        <w:t>puede afirmarse que las expresiones reproduzcan o generen estereotipos</w:t>
      </w:r>
      <w:r w:rsidRPr="00DA3C6B">
        <w:rPr>
          <w:sz w:val="26"/>
          <w:szCs w:val="26"/>
        </w:rPr>
        <w:t xml:space="preserve"> discriminatorios o denigrantes</w:t>
      </w:r>
      <w:r w:rsidR="009D3006" w:rsidRPr="00DA3C6B">
        <w:rPr>
          <w:sz w:val="26"/>
          <w:szCs w:val="26"/>
        </w:rPr>
        <w:t>,</w:t>
      </w:r>
      <w:r w:rsidR="005A426A" w:rsidRPr="00DA3C6B">
        <w:rPr>
          <w:sz w:val="26"/>
          <w:szCs w:val="26"/>
        </w:rPr>
        <w:t xml:space="preserve"> porque </w:t>
      </w:r>
      <w:r w:rsidR="009D3006" w:rsidRPr="00DA3C6B">
        <w:rPr>
          <w:sz w:val="26"/>
          <w:szCs w:val="26"/>
        </w:rPr>
        <w:t>no se basan en la condición sexo-genérica de la actora ni tampoco la colocan en una situación de desventaja desproporcionada, dado que, en su condición de candidata y figura pública, cuenta con todas las herramientas para hacerse cargo de las afirmaciones materia de estudio</w:t>
      </w:r>
      <w:r w:rsidR="005A426A" w:rsidRPr="00DA3C6B">
        <w:rPr>
          <w:sz w:val="26"/>
          <w:szCs w:val="26"/>
        </w:rPr>
        <w:t xml:space="preserve"> en una vía diversa del procedimiento especial sancionador.</w:t>
      </w:r>
    </w:p>
    <w:p w:rsidR="00E63DAB" w:rsidRPr="00DA3C6B" w:rsidRDefault="005A426A" w:rsidP="009D3006">
      <w:pPr>
        <w:rPr>
          <w:sz w:val="26"/>
          <w:szCs w:val="26"/>
        </w:rPr>
      </w:pPr>
      <w:r w:rsidRPr="00DA3C6B">
        <w:rPr>
          <w:sz w:val="26"/>
          <w:szCs w:val="26"/>
        </w:rPr>
        <w:t>De ahí que</w:t>
      </w:r>
      <w:r w:rsidR="001712F6" w:rsidRPr="00DA3C6B">
        <w:rPr>
          <w:sz w:val="26"/>
          <w:szCs w:val="26"/>
        </w:rPr>
        <w:t>,</w:t>
      </w:r>
      <w:r w:rsidRPr="00DA3C6B">
        <w:rPr>
          <w:sz w:val="26"/>
          <w:szCs w:val="26"/>
        </w:rPr>
        <w:t xml:space="preserve"> no resultara necesaria una valoración adicional de las pruebas aportadas, cuando no se logró advertir de todos los hechos denunciados, el indicio que se requiere para dar curso a</w:t>
      </w:r>
      <w:r w:rsidR="001177BB" w:rsidRPr="00DA3C6B">
        <w:rPr>
          <w:sz w:val="26"/>
          <w:szCs w:val="26"/>
        </w:rPr>
        <w:t xml:space="preserve"> la tramitación y resolución de fondo del procedimiento.</w:t>
      </w:r>
    </w:p>
    <w:p w:rsidR="005A426A" w:rsidRPr="00DA3C6B" w:rsidRDefault="00E63DAB" w:rsidP="009D3006">
      <w:pPr>
        <w:rPr>
          <w:sz w:val="26"/>
          <w:szCs w:val="26"/>
        </w:rPr>
      </w:pPr>
      <w:r w:rsidRPr="00DA3C6B">
        <w:rPr>
          <w:sz w:val="26"/>
          <w:szCs w:val="26"/>
        </w:rPr>
        <w:t xml:space="preserve">Finalmente, </w:t>
      </w:r>
      <w:r w:rsidR="00CD658B" w:rsidRPr="00DA3C6B">
        <w:rPr>
          <w:sz w:val="26"/>
          <w:szCs w:val="26"/>
        </w:rPr>
        <w:t xml:space="preserve">basta </w:t>
      </w:r>
      <w:r w:rsidRPr="00DA3C6B">
        <w:rPr>
          <w:sz w:val="26"/>
          <w:szCs w:val="26"/>
        </w:rPr>
        <w:t xml:space="preserve">señalar que la recurrente no hizo alusión al hecho de que el desechamiento se basara en razonamientos que </w:t>
      </w:r>
      <w:r w:rsidR="00DA3C6B">
        <w:rPr>
          <w:sz w:val="26"/>
          <w:szCs w:val="26"/>
        </w:rPr>
        <w:t>a</w:t>
      </w:r>
      <w:r w:rsidRPr="00DA3C6B">
        <w:rPr>
          <w:sz w:val="26"/>
          <w:szCs w:val="26"/>
        </w:rPr>
        <w:t xml:space="preserve">tañen al </w:t>
      </w:r>
      <w:r w:rsidRPr="00DA3C6B">
        <w:rPr>
          <w:sz w:val="26"/>
          <w:szCs w:val="26"/>
        </w:rPr>
        <w:lastRenderedPageBreak/>
        <w:t xml:space="preserve">fondo </w:t>
      </w:r>
      <w:proofErr w:type="gramStart"/>
      <w:r w:rsidRPr="00DA3C6B">
        <w:rPr>
          <w:sz w:val="26"/>
          <w:szCs w:val="26"/>
        </w:rPr>
        <w:t>y</w:t>
      </w:r>
      <w:proofErr w:type="gramEnd"/>
      <w:r w:rsidR="00CD658B" w:rsidRPr="00DA3C6B">
        <w:rPr>
          <w:sz w:val="26"/>
          <w:szCs w:val="26"/>
        </w:rPr>
        <w:t xml:space="preserve"> además</w:t>
      </w:r>
      <w:r w:rsidRPr="00DA3C6B">
        <w:rPr>
          <w:sz w:val="26"/>
          <w:szCs w:val="26"/>
        </w:rPr>
        <w:t xml:space="preserve">, en modo alguno controvierte los razonamientos respecto a que las expresiones denunciadas, no constituyen violencia política de género en perjuicio de la candidata.  </w:t>
      </w:r>
      <w:r w:rsidR="001177BB" w:rsidRPr="00DA3C6B">
        <w:rPr>
          <w:sz w:val="26"/>
          <w:szCs w:val="26"/>
        </w:rPr>
        <w:t xml:space="preserve"> </w:t>
      </w:r>
    </w:p>
    <w:p w:rsidR="001177BB" w:rsidRPr="00DA3C6B" w:rsidRDefault="00E8336C" w:rsidP="005206D2">
      <w:pPr>
        <w:spacing w:before="0" w:after="0"/>
        <w:rPr>
          <w:sz w:val="26"/>
          <w:szCs w:val="26"/>
        </w:rPr>
      </w:pPr>
      <w:r w:rsidRPr="00DA3C6B">
        <w:rPr>
          <w:b/>
          <w:sz w:val="26"/>
          <w:szCs w:val="26"/>
        </w:rPr>
        <w:t>7</w:t>
      </w:r>
      <w:r w:rsidR="006A0BC6" w:rsidRPr="00DA3C6B">
        <w:rPr>
          <w:b/>
          <w:sz w:val="26"/>
          <w:szCs w:val="26"/>
        </w:rPr>
        <w:t>. Decisión</w:t>
      </w:r>
      <w:r w:rsidR="00207C86" w:rsidRPr="00DA3C6B">
        <w:rPr>
          <w:b/>
          <w:sz w:val="26"/>
          <w:szCs w:val="26"/>
        </w:rPr>
        <w:t xml:space="preserve">. </w:t>
      </w:r>
      <w:r w:rsidR="006A0BC6" w:rsidRPr="00DA3C6B">
        <w:rPr>
          <w:sz w:val="26"/>
          <w:szCs w:val="26"/>
        </w:rPr>
        <w:t>Dadas las consideraciones detalladas, al resulta</w:t>
      </w:r>
      <w:r w:rsidR="001177BB" w:rsidRPr="00DA3C6B">
        <w:rPr>
          <w:sz w:val="26"/>
          <w:szCs w:val="26"/>
        </w:rPr>
        <w:t>r</w:t>
      </w:r>
      <w:r w:rsidR="006A0BC6" w:rsidRPr="00DA3C6B">
        <w:rPr>
          <w:sz w:val="26"/>
          <w:szCs w:val="26"/>
        </w:rPr>
        <w:t xml:space="preserve"> </w:t>
      </w:r>
      <w:r w:rsidR="001177BB" w:rsidRPr="00DA3C6B">
        <w:rPr>
          <w:b/>
          <w:sz w:val="26"/>
          <w:szCs w:val="26"/>
        </w:rPr>
        <w:t>infundados</w:t>
      </w:r>
      <w:r w:rsidR="001177BB" w:rsidRPr="00DA3C6B">
        <w:rPr>
          <w:sz w:val="26"/>
          <w:szCs w:val="26"/>
        </w:rPr>
        <w:t xml:space="preserve"> los motivos de agravio hechos valer, </w:t>
      </w:r>
      <w:r w:rsidR="006A0BC6" w:rsidRPr="00DA3C6B">
        <w:rPr>
          <w:sz w:val="26"/>
          <w:szCs w:val="26"/>
        </w:rPr>
        <w:t xml:space="preserve">lo procedente es </w:t>
      </w:r>
      <w:r w:rsidR="001177BB" w:rsidRPr="00DA3C6B">
        <w:rPr>
          <w:b/>
          <w:sz w:val="26"/>
          <w:szCs w:val="26"/>
        </w:rPr>
        <w:t>confirmar</w:t>
      </w:r>
      <w:r w:rsidR="001177BB" w:rsidRPr="00DA3C6B">
        <w:rPr>
          <w:sz w:val="26"/>
          <w:szCs w:val="26"/>
        </w:rPr>
        <w:t xml:space="preserve"> </w:t>
      </w:r>
      <w:r w:rsidR="006A0BC6" w:rsidRPr="00DA3C6B">
        <w:rPr>
          <w:sz w:val="26"/>
          <w:szCs w:val="26"/>
        </w:rPr>
        <w:t xml:space="preserve">el acuerdo recurrido de cinco de junio de dos mil dieciocho, dictado en el expediente </w:t>
      </w:r>
      <w:r w:rsidR="006A0BC6" w:rsidRPr="00DA3C6B">
        <w:rPr>
          <w:b/>
          <w:sz w:val="26"/>
          <w:szCs w:val="26"/>
        </w:rPr>
        <w:t>JD/PE/PRD/JD12/PUE/PEF/3/2018</w:t>
      </w:r>
      <w:r w:rsidR="001177BB" w:rsidRPr="00DA3C6B">
        <w:rPr>
          <w:sz w:val="26"/>
          <w:szCs w:val="26"/>
        </w:rPr>
        <w:t>.</w:t>
      </w:r>
    </w:p>
    <w:p w:rsidR="00932ABD" w:rsidRDefault="00932ABD" w:rsidP="005206D2">
      <w:pPr>
        <w:tabs>
          <w:tab w:val="clear" w:pos="1215"/>
        </w:tabs>
        <w:spacing w:before="0" w:after="0"/>
        <w:rPr>
          <w:sz w:val="26"/>
          <w:szCs w:val="26"/>
        </w:rPr>
      </w:pPr>
    </w:p>
    <w:p w:rsidR="006A0BC6" w:rsidRPr="00AA6C0D" w:rsidRDefault="006A0BC6" w:rsidP="005206D2">
      <w:pPr>
        <w:tabs>
          <w:tab w:val="clear" w:pos="1215"/>
        </w:tabs>
        <w:spacing w:before="0" w:after="0"/>
        <w:rPr>
          <w:sz w:val="26"/>
          <w:szCs w:val="26"/>
        </w:rPr>
      </w:pPr>
      <w:r w:rsidRPr="00AA6C0D">
        <w:rPr>
          <w:sz w:val="26"/>
          <w:szCs w:val="26"/>
        </w:rPr>
        <w:t>Por lo expuesto y fundado, se</w:t>
      </w:r>
    </w:p>
    <w:p w:rsidR="006A0BC6" w:rsidRPr="00AA6C0D" w:rsidRDefault="006A0BC6" w:rsidP="006A0BC6">
      <w:pPr>
        <w:widowControl w:val="0"/>
        <w:tabs>
          <w:tab w:val="clear" w:pos="1215"/>
        </w:tabs>
        <w:spacing w:before="0" w:after="0"/>
        <w:ind w:firstLine="851"/>
        <w:rPr>
          <w:sz w:val="26"/>
          <w:szCs w:val="26"/>
        </w:rPr>
      </w:pPr>
    </w:p>
    <w:p w:rsidR="006A0BC6" w:rsidRPr="00AA6C0D" w:rsidRDefault="00390526" w:rsidP="006A0BC6">
      <w:pPr>
        <w:tabs>
          <w:tab w:val="clear" w:pos="1215"/>
        </w:tabs>
        <w:spacing w:before="0" w:after="0"/>
        <w:ind w:firstLine="851"/>
        <w:jc w:val="center"/>
        <w:rPr>
          <w:b/>
          <w:sz w:val="26"/>
          <w:szCs w:val="26"/>
        </w:rPr>
      </w:pPr>
      <w:hyperlink r:id="rId8" w:anchor="resolutivos" w:history="1">
        <w:r w:rsidR="006A0BC6" w:rsidRPr="00AA6C0D">
          <w:rPr>
            <w:b/>
            <w:sz w:val="26"/>
            <w:szCs w:val="26"/>
          </w:rPr>
          <w:t>R E S U E L V E</w:t>
        </w:r>
      </w:hyperlink>
      <w:r w:rsidR="006A0BC6" w:rsidRPr="00AA6C0D">
        <w:rPr>
          <w:b/>
          <w:sz w:val="26"/>
          <w:szCs w:val="26"/>
        </w:rPr>
        <w:t>:</w:t>
      </w:r>
    </w:p>
    <w:p w:rsidR="006A0BC6" w:rsidRPr="00AA6C0D" w:rsidRDefault="006A0BC6" w:rsidP="006A0BC6">
      <w:pPr>
        <w:tabs>
          <w:tab w:val="clear" w:pos="1215"/>
        </w:tabs>
        <w:spacing w:before="0" w:after="0"/>
        <w:ind w:firstLine="851"/>
        <w:rPr>
          <w:sz w:val="26"/>
          <w:szCs w:val="26"/>
        </w:rPr>
      </w:pPr>
    </w:p>
    <w:p w:rsidR="006A0BC6" w:rsidRPr="00AA6C0D" w:rsidRDefault="006A0BC6" w:rsidP="005206D2">
      <w:pPr>
        <w:tabs>
          <w:tab w:val="clear" w:pos="1215"/>
        </w:tabs>
        <w:spacing w:before="0" w:after="0"/>
        <w:rPr>
          <w:sz w:val="26"/>
          <w:szCs w:val="26"/>
        </w:rPr>
      </w:pPr>
      <w:r w:rsidRPr="00AA6C0D">
        <w:rPr>
          <w:b/>
          <w:sz w:val="26"/>
          <w:szCs w:val="26"/>
        </w:rPr>
        <w:t xml:space="preserve">ÚNICO. </w:t>
      </w:r>
      <w:r w:rsidRPr="00AA6C0D">
        <w:rPr>
          <w:sz w:val="26"/>
          <w:szCs w:val="26"/>
        </w:rPr>
        <w:t xml:space="preserve">Se </w:t>
      </w:r>
      <w:r w:rsidR="001177BB">
        <w:rPr>
          <w:b/>
          <w:sz w:val="26"/>
          <w:szCs w:val="26"/>
        </w:rPr>
        <w:t xml:space="preserve">confirma </w:t>
      </w:r>
      <w:r w:rsidRPr="00AA6C0D">
        <w:rPr>
          <w:sz w:val="26"/>
          <w:szCs w:val="26"/>
        </w:rPr>
        <w:t>la</w:t>
      </w:r>
      <w:r>
        <w:rPr>
          <w:sz w:val="26"/>
          <w:szCs w:val="26"/>
        </w:rPr>
        <w:t xml:space="preserve"> resolución </w:t>
      </w:r>
      <w:r w:rsidRPr="00AA6C0D">
        <w:rPr>
          <w:sz w:val="26"/>
          <w:szCs w:val="26"/>
        </w:rPr>
        <w:t xml:space="preserve">de </w:t>
      </w:r>
      <w:r>
        <w:rPr>
          <w:sz w:val="26"/>
          <w:szCs w:val="26"/>
        </w:rPr>
        <w:t xml:space="preserve">cinco </w:t>
      </w:r>
      <w:r w:rsidRPr="00AA6C0D">
        <w:rPr>
          <w:sz w:val="26"/>
          <w:szCs w:val="26"/>
        </w:rPr>
        <w:t>de</w:t>
      </w:r>
      <w:r>
        <w:rPr>
          <w:sz w:val="26"/>
          <w:szCs w:val="26"/>
        </w:rPr>
        <w:t xml:space="preserve"> junio </w:t>
      </w:r>
      <w:r w:rsidRPr="00AA6C0D">
        <w:rPr>
          <w:sz w:val="26"/>
          <w:szCs w:val="26"/>
        </w:rPr>
        <w:t>de dos mil dieciocho, por los motivos y para los efectos indicados en esta ejecutoria.</w:t>
      </w:r>
    </w:p>
    <w:p w:rsidR="006A0BC6" w:rsidRPr="00AA6C0D" w:rsidRDefault="006A0BC6" w:rsidP="006A0BC6">
      <w:pPr>
        <w:tabs>
          <w:tab w:val="clear" w:pos="1215"/>
        </w:tabs>
        <w:spacing w:before="0" w:after="0"/>
        <w:ind w:firstLine="851"/>
        <w:rPr>
          <w:sz w:val="26"/>
          <w:szCs w:val="26"/>
        </w:rPr>
      </w:pPr>
    </w:p>
    <w:p w:rsidR="006A0BC6" w:rsidRPr="00AA6C0D" w:rsidRDefault="006A0BC6" w:rsidP="005206D2">
      <w:pPr>
        <w:tabs>
          <w:tab w:val="clear" w:pos="1215"/>
        </w:tabs>
        <w:spacing w:before="0" w:after="0"/>
        <w:rPr>
          <w:sz w:val="26"/>
          <w:szCs w:val="26"/>
        </w:rPr>
      </w:pPr>
      <w:r w:rsidRPr="00AA6C0D">
        <w:rPr>
          <w:b/>
          <w:sz w:val="26"/>
          <w:szCs w:val="26"/>
        </w:rPr>
        <w:t>NOTIFÍQUESE</w:t>
      </w:r>
      <w:r w:rsidRPr="00AA6C0D">
        <w:rPr>
          <w:sz w:val="26"/>
          <w:szCs w:val="26"/>
        </w:rPr>
        <w:t>, como en Derecho corresponda.</w:t>
      </w:r>
    </w:p>
    <w:p w:rsidR="006A0BC6" w:rsidRPr="00AA6C0D" w:rsidRDefault="006A0BC6" w:rsidP="006A0BC6">
      <w:pPr>
        <w:tabs>
          <w:tab w:val="clear" w:pos="1215"/>
        </w:tabs>
        <w:spacing w:before="0" w:after="0"/>
        <w:ind w:firstLine="851"/>
        <w:rPr>
          <w:sz w:val="26"/>
          <w:szCs w:val="26"/>
        </w:rPr>
      </w:pPr>
    </w:p>
    <w:p w:rsidR="006A0BC6" w:rsidRPr="00AA6C0D" w:rsidRDefault="006A0BC6" w:rsidP="005206D2">
      <w:pPr>
        <w:tabs>
          <w:tab w:val="clear" w:pos="1215"/>
        </w:tabs>
        <w:spacing w:before="0" w:after="0"/>
        <w:rPr>
          <w:sz w:val="26"/>
          <w:szCs w:val="26"/>
        </w:rPr>
      </w:pPr>
      <w:r w:rsidRPr="00AA6C0D">
        <w:rPr>
          <w:sz w:val="26"/>
          <w:szCs w:val="26"/>
        </w:rPr>
        <w:t>En su oportunidad, archívese el presente expediente como asunto concluido y, en su caso, hágase la devolución de la documentación exhibida.</w:t>
      </w:r>
    </w:p>
    <w:p w:rsidR="006A0BC6" w:rsidRPr="00AA6C0D" w:rsidRDefault="006A0BC6" w:rsidP="006A0BC6">
      <w:pPr>
        <w:tabs>
          <w:tab w:val="clear" w:pos="1215"/>
        </w:tabs>
        <w:spacing w:before="0" w:after="0"/>
        <w:ind w:firstLine="851"/>
        <w:rPr>
          <w:sz w:val="26"/>
          <w:szCs w:val="26"/>
        </w:rPr>
      </w:pPr>
    </w:p>
    <w:p w:rsidR="00DB6818" w:rsidRPr="00DB6818" w:rsidRDefault="00DB6818" w:rsidP="00DB6818">
      <w:pPr>
        <w:tabs>
          <w:tab w:val="clear" w:pos="1215"/>
        </w:tabs>
        <w:spacing w:before="0" w:after="0"/>
        <w:rPr>
          <w:sz w:val="26"/>
          <w:szCs w:val="26"/>
        </w:rPr>
      </w:pPr>
      <w:r w:rsidRPr="00DB6818">
        <w:rPr>
          <w:sz w:val="26"/>
          <w:szCs w:val="26"/>
        </w:rPr>
        <w:t>Así, por mayoría de votos, lo resolvieron las Magistradas y los Magistrados que integran la Sala Superior del Tribunal Electoral del Poder Judicial de la Federación, con el voto en contra de la Magistrada </w:t>
      </w:r>
      <w:r>
        <w:rPr>
          <w:sz w:val="26"/>
          <w:szCs w:val="26"/>
        </w:rPr>
        <w:t xml:space="preserve">Mónica </w:t>
      </w:r>
      <w:proofErr w:type="spellStart"/>
      <w:r>
        <w:rPr>
          <w:sz w:val="26"/>
          <w:szCs w:val="26"/>
        </w:rPr>
        <w:t>Aralí</w:t>
      </w:r>
      <w:proofErr w:type="spellEnd"/>
      <w:r>
        <w:rPr>
          <w:sz w:val="26"/>
          <w:szCs w:val="26"/>
        </w:rPr>
        <w:t xml:space="preserve"> Soto Fregoso</w:t>
      </w:r>
      <w:r w:rsidRPr="00DB6818">
        <w:rPr>
          <w:sz w:val="26"/>
          <w:szCs w:val="26"/>
        </w:rPr>
        <w:t xml:space="preserve">, quien anuncia la emisión de un voto particular, ante la Secretaria General de Acuerdos que autoriza y da fe. </w:t>
      </w:r>
    </w:p>
    <w:p w:rsidR="00DB6818" w:rsidRDefault="00DB6818" w:rsidP="005206D2">
      <w:pPr>
        <w:tabs>
          <w:tab w:val="clear" w:pos="1215"/>
        </w:tabs>
        <w:spacing w:before="0" w:after="0"/>
        <w:rPr>
          <w:sz w:val="26"/>
          <w:szCs w:val="26"/>
        </w:rPr>
      </w:pPr>
    </w:p>
    <w:p w:rsidR="00EF6280" w:rsidRDefault="00EF6280" w:rsidP="005206D2">
      <w:pPr>
        <w:tabs>
          <w:tab w:val="clear" w:pos="1215"/>
        </w:tabs>
        <w:spacing w:before="0" w:after="0"/>
        <w:rPr>
          <w:sz w:val="26"/>
          <w:szCs w:val="26"/>
        </w:rPr>
      </w:pPr>
    </w:p>
    <w:p w:rsidR="004C1272" w:rsidRDefault="004C1272" w:rsidP="005206D2">
      <w:pPr>
        <w:tabs>
          <w:tab w:val="clear" w:pos="1215"/>
        </w:tabs>
        <w:spacing w:before="0" w:after="0"/>
        <w:rPr>
          <w:sz w:val="26"/>
          <w:szCs w:val="26"/>
        </w:rPr>
      </w:pPr>
    </w:p>
    <w:tbl>
      <w:tblPr>
        <w:tblW w:w="7371" w:type="dxa"/>
        <w:jc w:val="center"/>
        <w:tblLook w:val="04A0" w:firstRow="1" w:lastRow="0" w:firstColumn="1" w:lastColumn="0" w:noHBand="0" w:noVBand="1"/>
      </w:tblPr>
      <w:tblGrid>
        <w:gridCol w:w="3686"/>
        <w:gridCol w:w="3685"/>
      </w:tblGrid>
      <w:tr w:rsidR="006F1317" w:rsidRPr="00D53CF4" w:rsidTr="002B046B">
        <w:trPr>
          <w:jc w:val="center"/>
        </w:trPr>
        <w:tc>
          <w:tcPr>
            <w:tcW w:w="7371" w:type="dxa"/>
            <w:gridSpan w:val="2"/>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r w:rsidRPr="00D53CF4">
              <w:rPr>
                <w:rFonts w:eastAsia="Calibri"/>
                <w:b/>
                <w:spacing w:val="-4"/>
                <w:sz w:val="24"/>
                <w:szCs w:val="24"/>
                <w:lang w:val="es-MX" w:eastAsia="es-MX"/>
              </w:rPr>
              <w:t>MAGISTRADA PRESIDENTA</w:t>
            </w: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bCs w:val="0"/>
                <w:spacing w:val="-4"/>
                <w:sz w:val="24"/>
                <w:szCs w:val="24"/>
                <w:lang w:val="es-MX" w:eastAsia="es-MX"/>
              </w:rPr>
            </w:pPr>
            <w:r w:rsidRPr="00D53CF4">
              <w:rPr>
                <w:rFonts w:eastAsia="Calibri"/>
                <w:b/>
                <w:spacing w:val="-4"/>
                <w:sz w:val="24"/>
                <w:szCs w:val="24"/>
                <w:lang w:val="es-MX" w:eastAsia="es-MX"/>
              </w:rPr>
              <w:t>JANINE M. OTÁLORA MALASSIS</w:t>
            </w:r>
          </w:p>
        </w:tc>
      </w:tr>
      <w:tr w:rsidR="006F1317" w:rsidRPr="00D53CF4" w:rsidTr="002B046B">
        <w:trPr>
          <w:jc w:val="center"/>
        </w:trPr>
        <w:tc>
          <w:tcPr>
            <w:tcW w:w="7371" w:type="dxa"/>
            <w:gridSpan w:val="2"/>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r>
      <w:tr w:rsidR="006F1317" w:rsidRPr="00D53CF4" w:rsidTr="002B046B">
        <w:trPr>
          <w:jc w:val="center"/>
        </w:trPr>
        <w:tc>
          <w:tcPr>
            <w:tcW w:w="7371" w:type="dxa"/>
            <w:gridSpan w:val="2"/>
          </w:tcPr>
          <w:p w:rsidR="006F1317" w:rsidRDefault="006F1317" w:rsidP="006F1317">
            <w:pPr>
              <w:tabs>
                <w:tab w:val="clear" w:pos="1215"/>
              </w:tabs>
              <w:spacing w:before="0" w:after="0" w:line="240" w:lineRule="auto"/>
              <w:jc w:val="center"/>
              <w:rPr>
                <w:rFonts w:eastAsia="Calibri"/>
                <w:b/>
                <w:spacing w:val="-4"/>
                <w:sz w:val="24"/>
                <w:szCs w:val="24"/>
                <w:lang w:val="es-MX" w:eastAsia="es-MX"/>
              </w:rPr>
            </w:pPr>
          </w:p>
          <w:p w:rsidR="004C1272" w:rsidRPr="00D53CF4" w:rsidRDefault="004C1272" w:rsidP="006F1317">
            <w:pPr>
              <w:tabs>
                <w:tab w:val="clear" w:pos="1215"/>
              </w:tabs>
              <w:spacing w:before="0" w:after="0" w:line="240" w:lineRule="auto"/>
              <w:jc w:val="center"/>
              <w:rPr>
                <w:rFonts w:eastAsia="Calibri"/>
                <w:b/>
                <w:spacing w:val="-4"/>
                <w:sz w:val="24"/>
                <w:szCs w:val="24"/>
                <w:lang w:val="es-MX" w:eastAsia="es-MX"/>
              </w:rPr>
            </w:pPr>
          </w:p>
        </w:tc>
      </w:tr>
      <w:tr w:rsidR="006F1317" w:rsidRPr="00D53CF4" w:rsidTr="002B046B">
        <w:trPr>
          <w:jc w:val="center"/>
        </w:trPr>
        <w:tc>
          <w:tcPr>
            <w:tcW w:w="7371" w:type="dxa"/>
            <w:gridSpan w:val="2"/>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r>
      <w:tr w:rsidR="006F1317" w:rsidRPr="00D53CF4" w:rsidTr="002B046B">
        <w:trPr>
          <w:jc w:val="center"/>
        </w:trPr>
        <w:tc>
          <w:tcPr>
            <w:tcW w:w="3686"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r w:rsidRPr="00D53CF4">
              <w:rPr>
                <w:rFonts w:eastAsia="Calibri"/>
                <w:b/>
                <w:spacing w:val="-4"/>
                <w:sz w:val="24"/>
                <w:szCs w:val="24"/>
                <w:lang w:val="es-MX" w:eastAsia="es-MX"/>
              </w:rPr>
              <w:t>MAGISTRADO</w:t>
            </w: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2B046B" w:rsidRPr="00D53CF4" w:rsidRDefault="006F1317" w:rsidP="006F1317">
            <w:pPr>
              <w:tabs>
                <w:tab w:val="clear" w:pos="1215"/>
              </w:tabs>
              <w:spacing w:before="0" w:after="0" w:line="240" w:lineRule="auto"/>
              <w:ind w:right="-121"/>
              <w:jc w:val="center"/>
              <w:rPr>
                <w:rFonts w:eastAsia="Calibri"/>
                <w:b/>
                <w:bCs w:val="0"/>
                <w:spacing w:val="-4"/>
                <w:sz w:val="24"/>
                <w:szCs w:val="24"/>
                <w:lang w:val="es-MX" w:eastAsia="es-MX"/>
              </w:rPr>
            </w:pPr>
            <w:r w:rsidRPr="00D53CF4">
              <w:rPr>
                <w:rFonts w:eastAsia="Calibri"/>
                <w:b/>
                <w:bCs w:val="0"/>
                <w:spacing w:val="-4"/>
                <w:sz w:val="24"/>
                <w:szCs w:val="24"/>
                <w:lang w:val="es-MX" w:eastAsia="es-MX"/>
              </w:rPr>
              <w:t>FELIPE DE LA MATA</w:t>
            </w:r>
          </w:p>
          <w:p w:rsidR="006F1317" w:rsidRPr="00D53CF4" w:rsidRDefault="006F1317" w:rsidP="006F1317">
            <w:pPr>
              <w:tabs>
                <w:tab w:val="clear" w:pos="1215"/>
              </w:tabs>
              <w:spacing w:before="0" w:after="0" w:line="240" w:lineRule="auto"/>
              <w:ind w:right="-121"/>
              <w:jc w:val="center"/>
              <w:rPr>
                <w:rFonts w:eastAsia="Calibri"/>
                <w:b/>
                <w:bCs w:val="0"/>
                <w:spacing w:val="-4"/>
                <w:sz w:val="24"/>
                <w:szCs w:val="24"/>
                <w:lang w:val="es-MX" w:eastAsia="es-MX"/>
              </w:rPr>
            </w:pPr>
            <w:r w:rsidRPr="00D53CF4">
              <w:rPr>
                <w:rFonts w:eastAsia="Calibri"/>
                <w:b/>
                <w:bCs w:val="0"/>
                <w:spacing w:val="-4"/>
                <w:sz w:val="24"/>
                <w:szCs w:val="24"/>
                <w:lang w:val="es-MX" w:eastAsia="es-MX"/>
              </w:rPr>
              <w:t xml:space="preserve"> PIZAÑA</w:t>
            </w:r>
          </w:p>
        </w:tc>
        <w:tc>
          <w:tcPr>
            <w:tcW w:w="3685"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r w:rsidRPr="00D53CF4">
              <w:rPr>
                <w:rFonts w:eastAsia="Calibri"/>
                <w:b/>
                <w:spacing w:val="-4"/>
                <w:sz w:val="24"/>
                <w:szCs w:val="24"/>
                <w:lang w:val="es-MX" w:eastAsia="es-MX"/>
              </w:rPr>
              <w:t>MAGISTRADO</w:t>
            </w: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bCs w:val="0"/>
                <w:spacing w:val="-4"/>
                <w:sz w:val="24"/>
                <w:szCs w:val="24"/>
                <w:lang w:val="es-MX" w:eastAsia="es-MX"/>
              </w:rPr>
            </w:pPr>
            <w:r w:rsidRPr="00D53CF4">
              <w:rPr>
                <w:rFonts w:eastAsia="Calibri"/>
                <w:b/>
                <w:bCs w:val="0"/>
                <w:spacing w:val="-4"/>
                <w:sz w:val="24"/>
                <w:szCs w:val="24"/>
                <w:lang w:val="es-MX" w:eastAsia="es-MX"/>
              </w:rPr>
              <w:t>FELIPE ALFREDO FUENTES BARRERA</w:t>
            </w:r>
          </w:p>
        </w:tc>
      </w:tr>
      <w:tr w:rsidR="006F1317" w:rsidRPr="00D53CF4" w:rsidTr="002B046B">
        <w:trPr>
          <w:jc w:val="center"/>
        </w:trPr>
        <w:tc>
          <w:tcPr>
            <w:tcW w:w="3686"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c>
          <w:tcPr>
            <w:tcW w:w="3685"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r>
      <w:tr w:rsidR="006F1317" w:rsidRPr="00D53CF4" w:rsidTr="002B046B">
        <w:trPr>
          <w:jc w:val="center"/>
        </w:trPr>
        <w:tc>
          <w:tcPr>
            <w:tcW w:w="3686"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c>
          <w:tcPr>
            <w:tcW w:w="3685" w:type="dxa"/>
          </w:tcPr>
          <w:p w:rsidR="006F1317" w:rsidRDefault="006F1317" w:rsidP="006F1317">
            <w:pPr>
              <w:tabs>
                <w:tab w:val="clear" w:pos="1215"/>
              </w:tabs>
              <w:spacing w:before="0" w:after="0" w:line="240" w:lineRule="auto"/>
              <w:jc w:val="center"/>
              <w:rPr>
                <w:rFonts w:eastAsia="Calibri"/>
                <w:b/>
                <w:spacing w:val="-4"/>
                <w:sz w:val="24"/>
                <w:szCs w:val="24"/>
                <w:lang w:val="es-MX" w:eastAsia="es-MX"/>
              </w:rPr>
            </w:pPr>
          </w:p>
          <w:p w:rsidR="004C1272" w:rsidRPr="00D53CF4" w:rsidRDefault="004C1272" w:rsidP="006F1317">
            <w:pPr>
              <w:tabs>
                <w:tab w:val="clear" w:pos="1215"/>
              </w:tabs>
              <w:spacing w:before="0" w:after="0" w:line="240" w:lineRule="auto"/>
              <w:jc w:val="center"/>
              <w:rPr>
                <w:rFonts w:eastAsia="Calibri"/>
                <w:b/>
                <w:spacing w:val="-4"/>
                <w:sz w:val="24"/>
                <w:szCs w:val="24"/>
                <w:lang w:val="es-MX" w:eastAsia="es-MX"/>
              </w:rPr>
            </w:pPr>
          </w:p>
        </w:tc>
      </w:tr>
      <w:tr w:rsidR="006F1317" w:rsidRPr="00D53CF4" w:rsidTr="002B046B">
        <w:trPr>
          <w:jc w:val="center"/>
        </w:trPr>
        <w:tc>
          <w:tcPr>
            <w:tcW w:w="3686"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c>
          <w:tcPr>
            <w:tcW w:w="3685"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r>
      <w:tr w:rsidR="006F1317" w:rsidRPr="00D53CF4" w:rsidTr="002B046B">
        <w:trPr>
          <w:jc w:val="center"/>
        </w:trPr>
        <w:tc>
          <w:tcPr>
            <w:tcW w:w="3686"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r w:rsidRPr="00D53CF4">
              <w:rPr>
                <w:rFonts w:eastAsia="Calibri"/>
                <w:b/>
                <w:spacing w:val="-4"/>
                <w:sz w:val="24"/>
                <w:szCs w:val="24"/>
                <w:lang w:val="es-MX" w:eastAsia="es-MX"/>
              </w:rPr>
              <w:t>MAGISTRADO</w:t>
            </w: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bCs w:val="0"/>
                <w:spacing w:val="-4"/>
                <w:sz w:val="24"/>
                <w:szCs w:val="24"/>
                <w:lang w:val="es-MX" w:eastAsia="es-MX"/>
              </w:rPr>
            </w:pPr>
            <w:r w:rsidRPr="00D53CF4">
              <w:rPr>
                <w:rFonts w:eastAsia="Calibri"/>
                <w:b/>
                <w:bCs w:val="0"/>
                <w:spacing w:val="-4"/>
                <w:sz w:val="24"/>
                <w:szCs w:val="24"/>
                <w:lang w:val="es-MX" w:eastAsia="es-MX"/>
              </w:rPr>
              <w:t>INDALFER INFANTE GONZALES</w:t>
            </w:r>
          </w:p>
        </w:tc>
        <w:tc>
          <w:tcPr>
            <w:tcW w:w="3685"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r w:rsidRPr="00D53CF4">
              <w:rPr>
                <w:rFonts w:eastAsia="Calibri"/>
                <w:b/>
                <w:spacing w:val="-4"/>
                <w:sz w:val="24"/>
                <w:szCs w:val="24"/>
                <w:lang w:val="es-MX" w:eastAsia="es-MX"/>
              </w:rPr>
              <w:t>MAGISTRADO</w:t>
            </w: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2B046B" w:rsidRPr="00D53CF4" w:rsidRDefault="006F1317" w:rsidP="006F1317">
            <w:pPr>
              <w:tabs>
                <w:tab w:val="clear" w:pos="1215"/>
              </w:tabs>
              <w:spacing w:before="0" w:after="0" w:line="240" w:lineRule="auto"/>
              <w:jc w:val="center"/>
              <w:rPr>
                <w:rFonts w:eastAsia="Calibri"/>
                <w:b/>
                <w:bCs w:val="0"/>
                <w:spacing w:val="-4"/>
                <w:sz w:val="24"/>
                <w:szCs w:val="24"/>
                <w:lang w:val="es-MX" w:eastAsia="es-MX"/>
              </w:rPr>
            </w:pPr>
            <w:r w:rsidRPr="00D53CF4">
              <w:rPr>
                <w:rFonts w:eastAsia="Calibri"/>
                <w:b/>
                <w:bCs w:val="0"/>
                <w:spacing w:val="-4"/>
                <w:sz w:val="24"/>
                <w:szCs w:val="24"/>
                <w:lang w:val="es-MX" w:eastAsia="es-MX"/>
              </w:rPr>
              <w:t>REYES RODRÍGUEZ</w:t>
            </w:r>
          </w:p>
          <w:p w:rsidR="006F1317" w:rsidRPr="00D53CF4" w:rsidRDefault="006F1317" w:rsidP="006F1317">
            <w:pPr>
              <w:tabs>
                <w:tab w:val="clear" w:pos="1215"/>
              </w:tabs>
              <w:spacing w:before="0" w:after="0" w:line="240" w:lineRule="auto"/>
              <w:jc w:val="center"/>
              <w:rPr>
                <w:rFonts w:eastAsia="Calibri"/>
                <w:b/>
                <w:bCs w:val="0"/>
                <w:spacing w:val="-4"/>
                <w:sz w:val="24"/>
                <w:szCs w:val="24"/>
                <w:lang w:val="es-MX" w:eastAsia="es-MX"/>
              </w:rPr>
            </w:pPr>
            <w:r w:rsidRPr="00D53CF4">
              <w:rPr>
                <w:rFonts w:eastAsia="Calibri"/>
                <w:b/>
                <w:bCs w:val="0"/>
                <w:spacing w:val="-4"/>
                <w:sz w:val="24"/>
                <w:szCs w:val="24"/>
                <w:lang w:val="es-MX" w:eastAsia="es-MX"/>
              </w:rPr>
              <w:t xml:space="preserve"> MONDRAGÓN</w:t>
            </w:r>
          </w:p>
        </w:tc>
      </w:tr>
      <w:tr w:rsidR="006F1317" w:rsidRPr="00D53CF4" w:rsidTr="002B046B">
        <w:trPr>
          <w:jc w:val="center"/>
        </w:trPr>
        <w:tc>
          <w:tcPr>
            <w:tcW w:w="3686"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c>
          <w:tcPr>
            <w:tcW w:w="3685" w:type="dxa"/>
          </w:tcPr>
          <w:p w:rsidR="006F1317" w:rsidRDefault="006F1317" w:rsidP="006F1317">
            <w:pPr>
              <w:tabs>
                <w:tab w:val="clear" w:pos="1215"/>
              </w:tabs>
              <w:spacing w:before="0" w:after="0" w:line="240" w:lineRule="auto"/>
              <w:jc w:val="center"/>
              <w:rPr>
                <w:rFonts w:eastAsia="Calibri"/>
                <w:b/>
                <w:spacing w:val="-4"/>
                <w:sz w:val="24"/>
                <w:szCs w:val="24"/>
                <w:lang w:val="es-MX" w:eastAsia="es-MX"/>
              </w:rPr>
            </w:pPr>
          </w:p>
          <w:p w:rsidR="004C1272" w:rsidRPr="00D53CF4" w:rsidRDefault="004C1272" w:rsidP="006F1317">
            <w:pPr>
              <w:tabs>
                <w:tab w:val="clear" w:pos="1215"/>
              </w:tabs>
              <w:spacing w:before="0" w:after="0" w:line="240" w:lineRule="auto"/>
              <w:jc w:val="center"/>
              <w:rPr>
                <w:rFonts w:eastAsia="Calibri"/>
                <w:b/>
                <w:spacing w:val="-4"/>
                <w:sz w:val="24"/>
                <w:szCs w:val="24"/>
                <w:lang w:val="es-MX" w:eastAsia="es-MX"/>
              </w:rPr>
            </w:pPr>
          </w:p>
        </w:tc>
      </w:tr>
      <w:tr w:rsidR="006F1317" w:rsidRPr="00D53CF4" w:rsidTr="002B046B">
        <w:trPr>
          <w:jc w:val="center"/>
        </w:trPr>
        <w:tc>
          <w:tcPr>
            <w:tcW w:w="3686"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c>
          <w:tcPr>
            <w:tcW w:w="3685"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r>
      <w:tr w:rsidR="006F1317" w:rsidRPr="00D53CF4" w:rsidTr="002B046B">
        <w:trPr>
          <w:jc w:val="center"/>
        </w:trPr>
        <w:tc>
          <w:tcPr>
            <w:tcW w:w="3686"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c>
          <w:tcPr>
            <w:tcW w:w="3685"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r>
      <w:tr w:rsidR="006F1317" w:rsidRPr="00D53CF4" w:rsidTr="002B046B">
        <w:trPr>
          <w:jc w:val="center"/>
        </w:trPr>
        <w:tc>
          <w:tcPr>
            <w:tcW w:w="3686"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r w:rsidRPr="00D53CF4">
              <w:rPr>
                <w:rFonts w:eastAsia="Calibri"/>
                <w:b/>
                <w:spacing w:val="-4"/>
                <w:sz w:val="24"/>
                <w:szCs w:val="24"/>
                <w:lang w:val="es-MX" w:eastAsia="es-MX"/>
              </w:rPr>
              <w:t>MAGISTRADA</w:t>
            </w: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r w:rsidRPr="00D53CF4">
              <w:rPr>
                <w:rFonts w:eastAsia="Calibri"/>
                <w:b/>
                <w:spacing w:val="-4"/>
                <w:sz w:val="24"/>
                <w:szCs w:val="24"/>
                <w:lang w:val="es-MX" w:eastAsia="es-MX"/>
              </w:rPr>
              <w:t>MÓNICA ARALÍ SOTO FREGOSO</w:t>
            </w:r>
          </w:p>
        </w:tc>
        <w:tc>
          <w:tcPr>
            <w:tcW w:w="3685"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r w:rsidRPr="00D53CF4">
              <w:rPr>
                <w:rFonts w:eastAsia="Calibri"/>
                <w:b/>
                <w:spacing w:val="-4"/>
                <w:sz w:val="24"/>
                <w:szCs w:val="24"/>
                <w:lang w:val="es-MX" w:eastAsia="es-MX"/>
              </w:rPr>
              <w:t>MAGISTRADO</w:t>
            </w: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2B046B" w:rsidRPr="00D53CF4" w:rsidRDefault="006F1317" w:rsidP="006F1317">
            <w:pPr>
              <w:tabs>
                <w:tab w:val="clear" w:pos="1215"/>
              </w:tabs>
              <w:spacing w:before="0" w:after="0" w:line="240" w:lineRule="auto"/>
              <w:jc w:val="center"/>
              <w:rPr>
                <w:rFonts w:eastAsia="Calibri"/>
                <w:b/>
                <w:bCs w:val="0"/>
                <w:spacing w:val="-4"/>
                <w:sz w:val="24"/>
                <w:szCs w:val="24"/>
                <w:lang w:val="es-MX" w:eastAsia="es-MX"/>
              </w:rPr>
            </w:pPr>
            <w:r w:rsidRPr="00D53CF4">
              <w:rPr>
                <w:rFonts w:eastAsia="Calibri"/>
                <w:b/>
                <w:bCs w:val="0"/>
                <w:spacing w:val="-4"/>
                <w:sz w:val="24"/>
                <w:szCs w:val="24"/>
                <w:lang w:val="es-MX" w:eastAsia="es-MX"/>
              </w:rPr>
              <w:t xml:space="preserve">JOSÉ LUIS VARGAS </w:t>
            </w:r>
          </w:p>
          <w:p w:rsidR="006F1317" w:rsidRPr="00D53CF4" w:rsidRDefault="006F1317" w:rsidP="006F1317">
            <w:pPr>
              <w:tabs>
                <w:tab w:val="clear" w:pos="1215"/>
              </w:tabs>
              <w:spacing w:before="0" w:after="0" w:line="240" w:lineRule="auto"/>
              <w:jc w:val="center"/>
              <w:rPr>
                <w:rFonts w:eastAsia="Calibri"/>
                <w:b/>
                <w:bCs w:val="0"/>
                <w:spacing w:val="-4"/>
                <w:sz w:val="24"/>
                <w:szCs w:val="24"/>
                <w:lang w:val="es-MX" w:eastAsia="es-MX"/>
              </w:rPr>
            </w:pPr>
            <w:r w:rsidRPr="00D53CF4">
              <w:rPr>
                <w:rFonts w:eastAsia="Calibri"/>
                <w:b/>
                <w:bCs w:val="0"/>
                <w:spacing w:val="-4"/>
                <w:sz w:val="24"/>
                <w:szCs w:val="24"/>
                <w:lang w:val="es-MX" w:eastAsia="es-MX"/>
              </w:rPr>
              <w:t>VALDEZ</w:t>
            </w:r>
          </w:p>
        </w:tc>
      </w:tr>
      <w:tr w:rsidR="006F1317" w:rsidRPr="00D53CF4" w:rsidTr="002B046B">
        <w:trPr>
          <w:jc w:val="center"/>
        </w:trPr>
        <w:tc>
          <w:tcPr>
            <w:tcW w:w="3686"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c>
          <w:tcPr>
            <w:tcW w:w="3685"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r>
      <w:tr w:rsidR="006F1317" w:rsidRPr="00D53CF4" w:rsidTr="002B046B">
        <w:trPr>
          <w:jc w:val="center"/>
        </w:trPr>
        <w:tc>
          <w:tcPr>
            <w:tcW w:w="3686"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c>
          <w:tcPr>
            <w:tcW w:w="3685"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r>
      <w:tr w:rsidR="006F1317" w:rsidRPr="00D53CF4" w:rsidTr="002B046B">
        <w:trPr>
          <w:jc w:val="center"/>
        </w:trPr>
        <w:tc>
          <w:tcPr>
            <w:tcW w:w="3686" w:type="dxa"/>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c>
          <w:tcPr>
            <w:tcW w:w="3685" w:type="dxa"/>
          </w:tcPr>
          <w:p w:rsidR="006F1317" w:rsidRDefault="006F1317" w:rsidP="006F1317">
            <w:pPr>
              <w:tabs>
                <w:tab w:val="clear" w:pos="1215"/>
              </w:tabs>
              <w:spacing w:before="0" w:after="0" w:line="240" w:lineRule="auto"/>
              <w:jc w:val="center"/>
              <w:rPr>
                <w:rFonts w:eastAsia="Calibri"/>
                <w:b/>
                <w:spacing w:val="-4"/>
                <w:sz w:val="24"/>
                <w:szCs w:val="24"/>
                <w:lang w:val="es-MX" w:eastAsia="es-MX"/>
              </w:rPr>
            </w:pPr>
          </w:p>
          <w:p w:rsidR="004C1272" w:rsidRPr="00D53CF4" w:rsidRDefault="004C1272" w:rsidP="006F1317">
            <w:pPr>
              <w:tabs>
                <w:tab w:val="clear" w:pos="1215"/>
              </w:tabs>
              <w:spacing w:before="0" w:after="0" w:line="240" w:lineRule="auto"/>
              <w:jc w:val="center"/>
              <w:rPr>
                <w:rFonts w:eastAsia="Calibri"/>
                <w:b/>
                <w:spacing w:val="-4"/>
                <w:sz w:val="24"/>
                <w:szCs w:val="24"/>
                <w:lang w:val="es-MX" w:eastAsia="es-MX"/>
              </w:rPr>
            </w:pPr>
          </w:p>
        </w:tc>
      </w:tr>
      <w:tr w:rsidR="006F1317" w:rsidRPr="00D53CF4" w:rsidTr="002B046B">
        <w:trPr>
          <w:jc w:val="center"/>
        </w:trPr>
        <w:tc>
          <w:tcPr>
            <w:tcW w:w="7371" w:type="dxa"/>
            <w:gridSpan w:val="2"/>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r w:rsidRPr="00D53CF4">
              <w:rPr>
                <w:rFonts w:eastAsia="Calibri"/>
                <w:b/>
                <w:spacing w:val="-4"/>
                <w:sz w:val="24"/>
                <w:szCs w:val="24"/>
                <w:lang w:val="es-MX" w:eastAsia="es-MX"/>
              </w:rPr>
              <w:t>SECRETARIA GENERAL DE ACUERDOS</w:t>
            </w: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p w:rsidR="006F1317" w:rsidRPr="00D53CF4" w:rsidRDefault="006F1317" w:rsidP="006F1317">
            <w:pPr>
              <w:tabs>
                <w:tab w:val="clear" w:pos="1215"/>
              </w:tabs>
              <w:spacing w:before="0" w:after="0" w:line="240" w:lineRule="auto"/>
              <w:jc w:val="center"/>
              <w:rPr>
                <w:rFonts w:eastAsia="Calibri"/>
                <w:b/>
                <w:bCs w:val="0"/>
                <w:spacing w:val="-4"/>
                <w:sz w:val="24"/>
                <w:szCs w:val="24"/>
                <w:lang w:val="es-MX" w:eastAsia="es-MX"/>
              </w:rPr>
            </w:pPr>
            <w:r w:rsidRPr="00D53CF4">
              <w:rPr>
                <w:rFonts w:eastAsia="Calibri"/>
                <w:b/>
                <w:spacing w:val="-4"/>
                <w:sz w:val="24"/>
                <w:szCs w:val="24"/>
                <w:lang w:val="es-MX" w:eastAsia="es-MX"/>
              </w:rPr>
              <w:t>MARÍA CECILIA SÁNCHEZ BARREIRO</w:t>
            </w:r>
          </w:p>
        </w:tc>
      </w:tr>
      <w:tr w:rsidR="006F1317" w:rsidRPr="00D53CF4" w:rsidTr="002B046B">
        <w:trPr>
          <w:jc w:val="center"/>
        </w:trPr>
        <w:tc>
          <w:tcPr>
            <w:tcW w:w="7371" w:type="dxa"/>
            <w:gridSpan w:val="2"/>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r>
      <w:tr w:rsidR="006F1317" w:rsidRPr="00D53CF4" w:rsidTr="002B046B">
        <w:trPr>
          <w:jc w:val="center"/>
        </w:trPr>
        <w:tc>
          <w:tcPr>
            <w:tcW w:w="7371" w:type="dxa"/>
            <w:gridSpan w:val="2"/>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r>
      <w:tr w:rsidR="006F1317" w:rsidRPr="00D53CF4" w:rsidTr="002B046B">
        <w:trPr>
          <w:jc w:val="center"/>
        </w:trPr>
        <w:tc>
          <w:tcPr>
            <w:tcW w:w="7371" w:type="dxa"/>
            <w:gridSpan w:val="2"/>
          </w:tcPr>
          <w:p w:rsidR="006F1317" w:rsidRPr="00D53CF4" w:rsidRDefault="006F1317" w:rsidP="006F1317">
            <w:pPr>
              <w:tabs>
                <w:tab w:val="clear" w:pos="1215"/>
              </w:tabs>
              <w:spacing w:before="0" w:after="0" w:line="240" w:lineRule="auto"/>
              <w:jc w:val="center"/>
              <w:rPr>
                <w:rFonts w:eastAsia="Calibri"/>
                <w:b/>
                <w:spacing w:val="-4"/>
                <w:sz w:val="24"/>
                <w:szCs w:val="24"/>
                <w:lang w:val="es-MX" w:eastAsia="es-MX"/>
              </w:rPr>
            </w:pPr>
          </w:p>
        </w:tc>
      </w:tr>
    </w:tbl>
    <w:p w:rsidR="00F27E87" w:rsidRDefault="00F27E87" w:rsidP="003D2B2A">
      <w:pPr>
        <w:spacing w:before="0" w:after="0"/>
        <w:rPr>
          <w:sz w:val="28"/>
          <w:lang w:eastAsia="es-MX"/>
        </w:rPr>
      </w:pPr>
    </w:p>
    <w:p w:rsidR="00390526" w:rsidRPr="00390526" w:rsidRDefault="00390526" w:rsidP="00390526">
      <w:pPr>
        <w:spacing w:before="0" w:after="0"/>
        <w:rPr>
          <w:b/>
          <w:bCs w:val="0"/>
          <w:sz w:val="26"/>
          <w:szCs w:val="26"/>
          <w:lang w:val="es-MX" w:eastAsia="es-MX"/>
        </w:rPr>
      </w:pPr>
      <w:r w:rsidRPr="00390526">
        <w:rPr>
          <w:b/>
          <w:sz w:val="26"/>
          <w:szCs w:val="26"/>
          <w:lang w:eastAsia="es-MX"/>
        </w:rPr>
        <w:lastRenderedPageBreak/>
        <w:t xml:space="preserve">VOTO PARTICULAR QUE, </w:t>
      </w:r>
      <w:r w:rsidRPr="00390526">
        <w:rPr>
          <w:b/>
          <w:sz w:val="26"/>
          <w:szCs w:val="26"/>
        </w:rPr>
        <w:t>CON FUNDAMENTO EN LOS ARTÍCULOS 187, ÚLTIMO PÁRRAFO, DE LA LEY ORGÁNICA DEL PODER JUDICIAL DE LA FEDERACIÓN Y 11 DEL REGLAMENTO INTERNO DEL TRIBUNAL ELECTORAL DEL PODER JUDICIAL DE LA FEDERACIÓN,</w:t>
      </w:r>
      <w:r w:rsidRPr="00390526">
        <w:rPr>
          <w:b/>
          <w:sz w:val="26"/>
          <w:szCs w:val="26"/>
          <w:lang w:eastAsia="es-MX"/>
        </w:rPr>
        <w:t xml:space="preserve"> EMITE LA MAGISTRADA MÓNICA ARALÍ SOTO FREGOSO, RESPECTO DE LA SENTENCIA DICTADA EN EL RECURSO DE REVISIÓN DEL PROCEDIMIENTO ESPECIAL SANCIONADOR SUP-REP-250/2018.</w:t>
      </w:r>
    </w:p>
    <w:p w:rsidR="00390526" w:rsidRPr="00390526" w:rsidRDefault="00390526" w:rsidP="00390526">
      <w:pPr>
        <w:spacing w:before="0" w:after="0"/>
        <w:rPr>
          <w:b/>
          <w:sz w:val="26"/>
          <w:szCs w:val="26"/>
          <w:lang w:eastAsia="es-MX"/>
        </w:rPr>
      </w:pPr>
    </w:p>
    <w:p w:rsidR="00390526" w:rsidRPr="00390526" w:rsidRDefault="00390526" w:rsidP="00390526">
      <w:pPr>
        <w:spacing w:before="0" w:after="0"/>
        <w:rPr>
          <w:rFonts w:eastAsiaTheme="minorHAnsi"/>
          <w:sz w:val="26"/>
          <w:szCs w:val="26"/>
          <w:lang w:eastAsia="en-US"/>
        </w:rPr>
      </w:pPr>
      <w:r w:rsidRPr="00390526">
        <w:rPr>
          <w:sz w:val="26"/>
          <w:szCs w:val="26"/>
        </w:rPr>
        <w:t xml:space="preserve">Con el respeto que me merecen la señora Magistrada y los señores Magistrados, </w:t>
      </w:r>
      <w:r w:rsidRPr="00390526">
        <w:rPr>
          <w:b/>
          <w:sz w:val="26"/>
          <w:szCs w:val="26"/>
        </w:rPr>
        <w:t>disiento</w:t>
      </w:r>
      <w:r w:rsidRPr="00390526">
        <w:rPr>
          <w:sz w:val="26"/>
          <w:szCs w:val="26"/>
        </w:rPr>
        <w:t xml:space="preserve"> de la sentencia dictada en el expediente arriba indicado por lo siguiente:</w:t>
      </w:r>
    </w:p>
    <w:p w:rsidR="00390526" w:rsidRPr="00390526" w:rsidRDefault="00390526" w:rsidP="00390526">
      <w:pPr>
        <w:spacing w:before="0" w:after="0"/>
        <w:rPr>
          <w:sz w:val="26"/>
          <w:szCs w:val="26"/>
        </w:rPr>
      </w:pPr>
    </w:p>
    <w:p w:rsidR="00390526" w:rsidRPr="00390526" w:rsidRDefault="00390526" w:rsidP="00390526">
      <w:pPr>
        <w:spacing w:before="0" w:after="0"/>
        <w:rPr>
          <w:sz w:val="26"/>
          <w:szCs w:val="26"/>
        </w:rPr>
      </w:pPr>
      <w:r w:rsidRPr="00390526">
        <w:rPr>
          <w:sz w:val="26"/>
          <w:szCs w:val="26"/>
        </w:rPr>
        <w:t>En la sentencia se confirma</w:t>
      </w:r>
      <w:r w:rsidRPr="00390526">
        <w:rPr>
          <w:b/>
          <w:sz w:val="26"/>
          <w:szCs w:val="26"/>
        </w:rPr>
        <w:t xml:space="preserve"> </w:t>
      </w:r>
      <w:r w:rsidRPr="00390526">
        <w:rPr>
          <w:bCs w:val="0"/>
          <w:sz w:val="26"/>
          <w:szCs w:val="26"/>
        </w:rPr>
        <w:t xml:space="preserve">el acuerdo emitido por la Vocal Ejecutiva y Consejera Presidenta del 12 Consejo Distrital del Instituto Nacional Electoral en Puebla, mediante el cual, determinó desechar de plano la denuncia presentada por el Partido de la Revolución Democrática y Roxana Luna </w:t>
      </w:r>
      <w:proofErr w:type="spellStart"/>
      <w:r w:rsidRPr="00390526">
        <w:rPr>
          <w:bCs w:val="0"/>
          <w:sz w:val="26"/>
          <w:szCs w:val="26"/>
        </w:rPr>
        <w:t>Porquillo</w:t>
      </w:r>
      <w:proofErr w:type="spellEnd"/>
      <w:r w:rsidRPr="00390526">
        <w:rPr>
          <w:bCs w:val="0"/>
          <w:sz w:val="26"/>
          <w:szCs w:val="26"/>
        </w:rPr>
        <w:t xml:space="preserve">, al considerar que los hechos denunciados no constituyeron una violación en materia de propaganda político- electoral, así como violencia política </w:t>
      </w:r>
      <w:proofErr w:type="gramStart"/>
      <w:r w:rsidRPr="00390526">
        <w:rPr>
          <w:bCs w:val="0"/>
          <w:sz w:val="26"/>
          <w:szCs w:val="26"/>
        </w:rPr>
        <w:t>en razón de</w:t>
      </w:r>
      <w:proofErr w:type="gramEnd"/>
      <w:r w:rsidRPr="00390526">
        <w:rPr>
          <w:bCs w:val="0"/>
          <w:sz w:val="26"/>
          <w:szCs w:val="26"/>
        </w:rPr>
        <w:t xml:space="preserve"> género.</w:t>
      </w:r>
    </w:p>
    <w:p w:rsidR="00390526" w:rsidRPr="00390526" w:rsidRDefault="00390526" w:rsidP="00390526">
      <w:pPr>
        <w:spacing w:before="0" w:after="0"/>
        <w:rPr>
          <w:bCs w:val="0"/>
          <w:sz w:val="26"/>
          <w:szCs w:val="26"/>
        </w:rPr>
      </w:pPr>
    </w:p>
    <w:p w:rsidR="00390526" w:rsidRPr="00390526" w:rsidRDefault="00390526" w:rsidP="00390526">
      <w:pPr>
        <w:spacing w:before="0" w:after="0"/>
        <w:rPr>
          <w:sz w:val="26"/>
          <w:szCs w:val="26"/>
        </w:rPr>
      </w:pPr>
      <w:r w:rsidRPr="00390526">
        <w:rPr>
          <w:sz w:val="26"/>
          <w:szCs w:val="26"/>
        </w:rPr>
        <w:t>Las consideraciones que sustentan mi discrepancia consisten en lo siguiente:</w:t>
      </w:r>
    </w:p>
    <w:p w:rsidR="00390526" w:rsidRPr="00390526" w:rsidRDefault="00390526" w:rsidP="00390526">
      <w:pPr>
        <w:spacing w:before="0" w:after="0"/>
        <w:rPr>
          <w:sz w:val="26"/>
          <w:szCs w:val="26"/>
        </w:rPr>
      </w:pPr>
    </w:p>
    <w:p w:rsidR="00390526" w:rsidRPr="00390526" w:rsidRDefault="00390526" w:rsidP="00390526">
      <w:pPr>
        <w:tabs>
          <w:tab w:val="left" w:pos="1026"/>
        </w:tabs>
        <w:spacing w:before="0" w:after="0"/>
        <w:rPr>
          <w:b/>
          <w:sz w:val="26"/>
          <w:szCs w:val="26"/>
        </w:rPr>
      </w:pPr>
      <w:r w:rsidRPr="00390526">
        <w:rPr>
          <w:b/>
          <w:sz w:val="26"/>
          <w:szCs w:val="26"/>
        </w:rPr>
        <w:t>a. Marco jurídico</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 xml:space="preserve">En lo que respecta al problema de la violencia contra la mujeres, desde el dictado de la sentencia de fondo en el denominado “Caso Campo Algodonero”, la Corte Interamericana de Derechos Humanos expuso que los Estados deben adoptar medidas integrales para cumplir con la debida diligencia en casos de violencia contra las </w:t>
      </w:r>
      <w:r w:rsidRPr="00390526">
        <w:rPr>
          <w:sz w:val="26"/>
          <w:szCs w:val="26"/>
        </w:rPr>
        <w:lastRenderedPageBreak/>
        <w:t xml:space="preserve">mujeres; y que, en este supuesto, los Estados tienen, además de las obligaciones genéricas contenidas en la Convención Americana, una obligación reforzada a partir de la Convención Belém do Pará. </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La igualdad y la no discriminación son principios que invariablemente rigen el ejercicio de cualquiera de los derechos humanos, y de manera particular, los derechos político-electorales. A este respecto, el Comité de Naciones Unidas para la Eliminación de todas las formas de Discriminación contra la Mujer (</w:t>
      </w:r>
      <w:r w:rsidRPr="00390526">
        <w:rPr>
          <w:i/>
          <w:sz w:val="26"/>
          <w:szCs w:val="26"/>
        </w:rPr>
        <w:t>Comité de la CEDAW, por sus siglas en ingles</w:t>
      </w:r>
      <w:r w:rsidRPr="00390526">
        <w:rPr>
          <w:sz w:val="26"/>
          <w:szCs w:val="26"/>
        </w:rPr>
        <w:t>), señala que la discriminación es una forma de violencia contra las mujeres; por lo que las alusiones a las mujeres con expresiones sexistas, constituyen una afrenta a los principios de igualdad y no discriminación.</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La Convención de Belém Do Pará, la Convención de los Derechos Políticos de la Mujer y la Convención sobre la Eliminación de Todas las Formas de Discriminación contra la Mujer; reconocen que las mujeres tienen derecho al acceso igualitario a las funciones públicas de su país y a participar en los asuntos públicos, incluyendo la toma de decisiones; en tanto que la Convención citada en último lugar, en su artículo 7, inciso a), dispone que los Estados deben tomar todas las “</w:t>
      </w:r>
      <w:r w:rsidRPr="00390526">
        <w:rPr>
          <w:i/>
          <w:sz w:val="26"/>
          <w:szCs w:val="26"/>
        </w:rPr>
        <w:t>medidas apropiadas para eliminar la discriminación contra la mujer en la vida política y pública del país […] garantizando, en igualdad de condiciones con los hombres el derecho a […] ser elegibles para todos los organismos cuyos miembros sean objeto de elecciones públicas</w:t>
      </w:r>
      <w:r w:rsidRPr="00390526">
        <w:rPr>
          <w:sz w:val="26"/>
          <w:szCs w:val="26"/>
        </w:rPr>
        <w:t>.” Desde luego, en condiciones libres de violencia y de discriminación.</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 xml:space="preserve">En adición, la Recomendación 23 del Comité de la CEDAW, muestra preocupación ante los factores que en algunos países entorpecen la participación de las mujeres en la vida pública o política de su </w:t>
      </w:r>
      <w:r w:rsidRPr="00390526">
        <w:rPr>
          <w:sz w:val="26"/>
          <w:szCs w:val="26"/>
        </w:rPr>
        <w:lastRenderedPageBreak/>
        <w:t>comunidad, tales como “</w:t>
      </w:r>
      <w:r w:rsidRPr="00390526">
        <w:rPr>
          <w:i/>
          <w:sz w:val="26"/>
          <w:szCs w:val="26"/>
        </w:rPr>
        <w:t>la prevalencia de actitudes negativas respecto de la participación política de la mujer, o la falta de confianza del electorado en las candidatas o de apoyo de éstas. Además, algunas mujeres consideran poco agradable meterse en política y evitan participar en campañas</w:t>
      </w:r>
      <w:r w:rsidRPr="00390526">
        <w:rPr>
          <w:sz w:val="26"/>
          <w:szCs w:val="26"/>
        </w:rPr>
        <w:t>”, debido a prácticas como las denunciadas en el presente caso.</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Además, no puede soslayarse que una de las acciones realizadas en México en 2016, por parte de diversas dependencias, para combatir la violencia contra las mujeres, fue la implementación del entonces denominado “</w:t>
      </w:r>
      <w:r w:rsidRPr="00390526">
        <w:rPr>
          <w:i/>
          <w:sz w:val="26"/>
          <w:szCs w:val="26"/>
        </w:rPr>
        <w:t>Protocolo para atender la violencia política contra las mujeres</w:t>
      </w:r>
      <w:r w:rsidRPr="00390526">
        <w:rPr>
          <w:sz w:val="26"/>
          <w:szCs w:val="26"/>
        </w:rPr>
        <w:t xml:space="preserve">”.  </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 xml:space="preserve">En 2017 se diseñó la segunda edición del protocolo, con un consenso interinstitucional en torno a la construcción, homogeneización y utilización del concepto de violencia política contra las mujeres </w:t>
      </w:r>
      <w:proofErr w:type="gramStart"/>
      <w:r w:rsidRPr="00390526">
        <w:rPr>
          <w:sz w:val="26"/>
          <w:szCs w:val="26"/>
        </w:rPr>
        <w:t>en razón de</w:t>
      </w:r>
      <w:proofErr w:type="gramEnd"/>
      <w:r w:rsidRPr="00390526">
        <w:rPr>
          <w:sz w:val="26"/>
          <w:szCs w:val="26"/>
        </w:rPr>
        <w:t xml:space="preserve"> género, a partir de la referencia normativa de origen nacional e internacional.</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Recientemente, el pasado 29 de marzo, el Comité de Derechos Económicos, Sociales y Culturales de la ONU, aprobó las “</w:t>
      </w:r>
      <w:r w:rsidRPr="00390526">
        <w:rPr>
          <w:i/>
          <w:sz w:val="26"/>
          <w:szCs w:val="26"/>
        </w:rPr>
        <w:t>Observaciones finales sobre los informes periódicos quinto y sexto combinados de México</w:t>
      </w:r>
      <w:r w:rsidRPr="00390526">
        <w:rPr>
          <w:sz w:val="26"/>
          <w:szCs w:val="26"/>
        </w:rPr>
        <w:t>”, en las cuales, hace manifiesta su preocupación de que los “</w:t>
      </w:r>
      <w:r w:rsidRPr="00390526">
        <w:rPr>
          <w:i/>
          <w:sz w:val="26"/>
          <w:szCs w:val="26"/>
        </w:rPr>
        <w:t>estereotipos de género continúen profundamente arraigados en la sociedad, lo que dificulta el pleno goce de los derechos económicos, sociales y culturales por parte de las mujeres y limita su presencia en cargos de decisión tanto la esfera pública como en la privada.</w:t>
      </w:r>
      <w:r w:rsidRPr="00390526">
        <w:rPr>
          <w:sz w:val="26"/>
          <w:szCs w:val="26"/>
        </w:rPr>
        <w:t>”; y recomienda:</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 xml:space="preserve">(a) </w:t>
      </w:r>
      <w:r w:rsidRPr="00390526">
        <w:rPr>
          <w:sz w:val="26"/>
          <w:szCs w:val="26"/>
        </w:rPr>
        <w:tab/>
        <w:t xml:space="preserve">Adoptar medidas efectivas para combatir los estereotipos de género en la familia y la sociedad, entre otras cosas, mediante </w:t>
      </w:r>
      <w:r w:rsidRPr="00390526">
        <w:rPr>
          <w:sz w:val="26"/>
          <w:szCs w:val="26"/>
        </w:rPr>
        <w:lastRenderedPageBreak/>
        <w:t>campañas de sensibilización sobre el reparto equitativo de las responsabilidades familiares entre hombres y mujeres y sobre la igualdad de oportunidades de carrera como resultado de la educación y la formación en materias distintas de aquellas en que tradicionalmente predominan uno u otro de los sexos;</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 xml:space="preserve">(b) </w:t>
      </w:r>
      <w:r w:rsidRPr="00390526">
        <w:rPr>
          <w:sz w:val="26"/>
          <w:szCs w:val="26"/>
        </w:rPr>
        <w:tab/>
        <w:t>Continuar promoviendo una mayor representación de la mujer en todos los niveles de la administración pública y en particular en cargos de decisión, así como para promover su participación en puestos directivos en el sector privado.</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Además, hace una remisión a su observación general núm. 16 (2005) sobre la igualdad de derechos del hombre y la mujer al disfrute de los derechos económicos, sociales y culturales.</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Hago referencia a todo este andamiaje jurídico, para poner en evidencia que cualquier autoridad, en cumplimiento a las obligaciones generales establecidas en el párrafo tercero del artículo 1 del Pacto Federal (promover, respetar, proteger y garantizar los derechos humanos), tiene el deber de atender con la debida diligencia cualquier afectación diferenciada que, por su condición de mujer, generan los actos de violencia concernientes a la divulgación de propaganda con un lenguaje estereotipado en perjuicio de una candidata.</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 xml:space="preserve">En este sentido, los Tribunales Electorales tenemos la obligación de atender este tipo de planteamientos juzgando con perspectiva de género y atendiendo al contexto de esta problemática, especialmente cuando se trata de cuestiones como la violencia política. </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b/>
          <w:sz w:val="26"/>
          <w:szCs w:val="26"/>
        </w:rPr>
      </w:pPr>
      <w:r w:rsidRPr="00390526">
        <w:rPr>
          <w:b/>
          <w:sz w:val="26"/>
          <w:szCs w:val="26"/>
        </w:rPr>
        <w:t>b. Contexto</w:t>
      </w:r>
    </w:p>
    <w:p w:rsidR="00390526" w:rsidRPr="00390526" w:rsidRDefault="00390526" w:rsidP="00390526">
      <w:pPr>
        <w:tabs>
          <w:tab w:val="left" w:pos="1026"/>
        </w:tabs>
        <w:spacing w:before="0" w:after="0"/>
        <w:rPr>
          <w:b/>
          <w:sz w:val="26"/>
          <w:szCs w:val="26"/>
        </w:rPr>
      </w:pPr>
    </w:p>
    <w:p w:rsidR="00390526" w:rsidRPr="00390526" w:rsidRDefault="00390526" w:rsidP="00390526">
      <w:pPr>
        <w:tabs>
          <w:tab w:val="left" w:pos="1026"/>
        </w:tabs>
        <w:spacing w:before="0" w:after="0"/>
        <w:rPr>
          <w:sz w:val="26"/>
          <w:szCs w:val="26"/>
        </w:rPr>
      </w:pPr>
      <w:r w:rsidRPr="00390526">
        <w:rPr>
          <w:sz w:val="26"/>
          <w:szCs w:val="26"/>
        </w:rPr>
        <w:lastRenderedPageBreak/>
        <w:t>La Jurisprudencia 48 de 2016 de la Sala Superior</w:t>
      </w:r>
      <w:r w:rsidRPr="00390526">
        <w:rPr>
          <w:rStyle w:val="Refdenotaalpie"/>
          <w:sz w:val="26"/>
          <w:szCs w:val="26"/>
        </w:rPr>
        <w:footnoteReference w:id="17"/>
      </w:r>
      <w:r w:rsidRPr="00390526">
        <w:rPr>
          <w:sz w:val="26"/>
          <w:szCs w:val="26"/>
        </w:rPr>
        <w:t xml:space="preserve">, establece que las autoridades electorales están obligadas a evitar la afectación de derechos políticos electorales y deben realizar un análisis de todos los hechos y agravios expuestos, a fin de hacer efectivo el acceso a la justicia y el debido proceso. </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 xml:space="preserve">Dada la complejidad e </w:t>
      </w:r>
      <w:proofErr w:type="spellStart"/>
      <w:r w:rsidRPr="00390526">
        <w:rPr>
          <w:sz w:val="26"/>
          <w:szCs w:val="26"/>
        </w:rPr>
        <w:t>invisibilización</w:t>
      </w:r>
      <w:proofErr w:type="spellEnd"/>
      <w:r w:rsidRPr="00390526">
        <w:rPr>
          <w:sz w:val="26"/>
          <w:szCs w:val="26"/>
        </w:rPr>
        <w:t xml:space="preserve"> y normalización en la que se encuentran este tipo de situaciones, es necesario que cada caso se analice de forma particular para definir si se trata o no de violencia de género. </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 xml:space="preserve">Recordemos que en esta Jurisprudencia se plantea que la violencia política contra las mujeres en razón de </w:t>
      </w:r>
      <w:proofErr w:type="gramStart"/>
      <w:r w:rsidRPr="00390526">
        <w:rPr>
          <w:sz w:val="26"/>
          <w:szCs w:val="26"/>
        </w:rPr>
        <w:t>género,</w:t>
      </w:r>
      <w:proofErr w:type="gramEnd"/>
      <w:r w:rsidRPr="00390526">
        <w:rPr>
          <w:sz w:val="26"/>
          <w:szCs w:val="26"/>
        </w:rPr>
        <w:t xml:space="preserve"> consiste en “todas aquellas acciones u omisiones de personas, servidoras o servidores públicos que se dirigen a una mujer por ser mujer, tienen un impacto diferenciado en ellas o les afectan desproporcionadamente, con el objeto o resultado de menoscabar o anular sus derechos político-electorales, incluyendo el ejercicio del cargo”.</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Retomando los estándares internacionales, también recordemos que existen dos componentes para considerar que un acto de violencia se basa en el género:</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 xml:space="preserve">1. Cuando la violencia se dirige a una mujer por ser mujer. Es decir, cuando las agresiones están especialmente planificadas y orientadas en contra de las mujeres por su condición de mujer y por lo que </w:t>
      </w:r>
      <w:r w:rsidRPr="00390526">
        <w:rPr>
          <w:sz w:val="26"/>
          <w:szCs w:val="26"/>
        </w:rPr>
        <w:lastRenderedPageBreak/>
        <w:t>representan en términos simbólicos bajo concepciones basadas en prejuicios; y</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2. Cuando la violencia tiene un impacto diferenciado en las mujeres o les afecta desproporcionadamente. Este elemento se hace cargo de aquellos hechos que afectan a las mujeres de forma diferente o en mayor proporción que a los hombres, o bien, de aquellos hechos cuyas consecuencias se agravan ante la condición ser mujer. En ello, habrá que tomar en cuenta las afectaciones que un acto de violencia puede generar en el proyecto de vida de las mujeres.</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Por otra parte, la Tesis X/2017 sobre violencia política contra las mujeres en razón de género plantea que cuando exista violencia política de género, el Tribunal Electoral debe dictar y solicitar medidas de protección que garanticen el respeto del ejercicio de los derechos humanos de las mujeres, por lo que resulta razonable que, aun cuando se tenga por cumplido el fallo, sea posible mantenerlas, hasta en tanto lo requiera la víctima o concluya el cargo para el que ha sido nombrada, a fin de salvaguardar la integridad y garantizar el derecho de las mujeres a ejercerlo.</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b/>
          <w:sz w:val="26"/>
          <w:szCs w:val="26"/>
        </w:rPr>
      </w:pPr>
      <w:r w:rsidRPr="00390526">
        <w:rPr>
          <w:b/>
          <w:sz w:val="26"/>
          <w:szCs w:val="26"/>
        </w:rPr>
        <w:t>c. Caso concreto</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b/>
          <w:sz w:val="26"/>
          <w:szCs w:val="26"/>
        </w:rPr>
      </w:pPr>
      <w:r w:rsidRPr="00390526">
        <w:rPr>
          <w:b/>
          <w:bCs w:val="0"/>
          <w:sz w:val="26"/>
          <w:szCs w:val="26"/>
        </w:rPr>
        <w:t>1.- Hechos denunciados</w:t>
      </w:r>
    </w:p>
    <w:p w:rsidR="00390526" w:rsidRPr="00390526" w:rsidRDefault="00390526" w:rsidP="00390526">
      <w:pPr>
        <w:tabs>
          <w:tab w:val="left" w:pos="1026"/>
        </w:tabs>
        <w:spacing w:before="0" w:after="0"/>
        <w:rPr>
          <w:bCs w:val="0"/>
          <w:sz w:val="26"/>
          <w:szCs w:val="26"/>
        </w:rPr>
      </w:pPr>
    </w:p>
    <w:p w:rsidR="00390526" w:rsidRPr="00390526" w:rsidRDefault="00390526" w:rsidP="00390526">
      <w:pPr>
        <w:tabs>
          <w:tab w:val="left" w:pos="1026"/>
        </w:tabs>
        <w:spacing w:before="0" w:after="0"/>
        <w:rPr>
          <w:bCs w:val="0"/>
          <w:sz w:val="26"/>
          <w:szCs w:val="26"/>
        </w:rPr>
      </w:pPr>
      <w:r w:rsidRPr="00390526">
        <w:rPr>
          <w:bCs w:val="0"/>
          <w:sz w:val="26"/>
          <w:szCs w:val="26"/>
        </w:rPr>
        <w:t xml:space="preserve">La denuncia tuvo sustento en las siguientes manifestaciones realizadas por Fernando Manzanilla Prieto, candidato a diputado federal de la coalición Juntos Haremos Historia respecto de Roxana Luna </w:t>
      </w:r>
      <w:proofErr w:type="spellStart"/>
      <w:r w:rsidRPr="00390526">
        <w:rPr>
          <w:bCs w:val="0"/>
          <w:sz w:val="26"/>
          <w:szCs w:val="26"/>
        </w:rPr>
        <w:t>Porquillo</w:t>
      </w:r>
      <w:proofErr w:type="spellEnd"/>
      <w:r w:rsidRPr="00390526">
        <w:rPr>
          <w:bCs w:val="0"/>
          <w:sz w:val="26"/>
          <w:szCs w:val="26"/>
        </w:rPr>
        <w:t>, candidata a diputada federal por el distrito 12 con cabecera en el Municipio de Puebla:</w:t>
      </w:r>
    </w:p>
    <w:p w:rsidR="00390526" w:rsidRPr="00390526" w:rsidRDefault="00390526" w:rsidP="00390526">
      <w:pPr>
        <w:tabs>
          <w:tab w:val="left" w:pos="1026"/>
        </w:tabs>
        <w:spacing w:before="0" w:after="0"/>
        <w:rPr>
          <w:bCs w:val="0"/>
          <w:sz w:val="26"/>
          <w:szCs w:val="26"/>
        </w:rPr>
      </w:pPr>
    </w:p>
    <w:p w:rsidR="00390526" w:rsidRPr="00390526" w:rsidRDefault="00390526" w:rsidP="00390526">
      <w:pPr>
        <w:tabs>
          <w:tab w:val="left" w:pos="1026"/>
        </w:tabs>
        <w:spacing w:before="0" w:after="0"/>
        <w:rPr>
          <w:bCs w:val="0"/>
          <w:sz w:val="26"/>
          <w:szCs w:val="26"/>
        </w:rPr>
      </w:pPr>
      <w:r w:rsidRPr="00390526">
        <w:rPr>
          <w:b/>
          <w:bCs w:val="0"/>
          <w:sz w:val="26"/>
          <w:szCs w:val="26"/>
        </w:rPr>
        <w:lastRenderedPageBreak/>
        <w:t>a) Reunión en el restaurante Antiguo Cazador</w:t>
      </w:r>
      <w:r w:rsidRPr="00390526">
        <w:rPr>
          <w:bCs w:val="0"/>
          <w:sz w:val="26"/>
          <w:szCs w:val="26"/>
        </w:rPr>
        <w:t xml:space="preserve">. El quince de mayo del presente año, Fernando Manzanilla Prieto, en una reunión en el restaurante mencionado, con la comunidad de la Universidad Autónoma de Puebla dijo: </w:t>
      </w:r>
      <w:r w:rsidRPr="00390526">
        <w:rPr>
          <w:bCs w:val="0"/>
          <w:i/>
          <w:sz w:val="26"/>
          <w:szCs w:val="26"/>
        </w:rPr>
        <w:t xml:space="preserve">“Yo conocí a Roxana Luna, en mi oficina, en Casa Aguayo, como Secretario General de Gobierno… </w:t>
      </w:r>
      <w:r w:rsidRPr="00390526">
        <w:rPr>
          <w:b/>
          <w:bCs w:val="0"/>
          <w:i/>
          <w:sz w:val="26"/>
          <w:szCs w:val="26"/>
        </w:rPr>
        <w:t>era otra Roxana Luna, desde la vestimenta hasta su tono aguerrido”</w:t>
      </w:r>
      <w:r w:rsidRPr="00390526">
        <w:rPr>
          <w:bCs w:val="0"/>
          <w:sz w:val="26"/>
          <w:szCs w:val="26"/>
        </w:rPr>
        <w:t xml:space="preserve">; además señaló: </w:t>
      </w:r>
      <w:r w:rsidRPr="00390526">
        <w:rPr>
          <w:bCs w:val="0"/>
          <w:i/>
          <w:sz w:val="26"/>
          <w:szCs w:val="26"/>
        </w:rPr>
        <w:t>“Yo tuve una reunión con ella cuando sacamos todo el tema del espionaje de Moreno Valle…”, “…porque ella me había dicho que quería hacer una denuncia…”, “… le dije tengo mucha información, te la dejo, (ella respondió) “no, fíjate que ya no puedo entrarle a ese tema, ya no estoy en eso”, “</w:t>
      </w:r>
      <w:r w:rsidRPr="00390526">
        <w:rPr>
          <w:b/>
          <w:bCs w:val="0"/>
          <w:i/>
          <w:sz w:val="26"/>
          <w:szCs w:val="26"/>
        </w:rPr>
        <w:t>se hizo bruta realmente</w:t>
      </w:r>
      <w:r w:rsidRPr="00390526">
        <w:rPr>
          <w:bCs w:val="0"/>
          <w:i/>
          <w:sz w:val="26"/>
          <w:szCs w:val="26"/>
        </w:rPr>
        <w:t>” y luego como si no le hubiera yo dicho nada, “oye, no te gustaría ser candidato de la alianza PAN-PRD? … es que sí va a haber coalición y pensé que tú podrías ser un gran candidato”, Yo le dije ¡Oye Roxana, ¡cómo crees que me vería yo siendo candidato, tú crees que yo podría alzarles la mano a Martha Erika?!”</w:t>
      </w:r>
      <w:r w:rsidRPr="00390526">
        <w:rPr>
          <w:bCs w:val="0"/>
          <w:sz w:val="26"/>
          <w:szCs w:val="26"/>
        </w:rPr>
        <w:t>.</w:t>
      </w:r>
    </w:p>
    <w:p w:rsidR="00390526" w:rsidRPr="00390526" w:rsidRDefault="00390526" w:rsidP="00390526">
      <w:pPr>
        <w:tabs>
          <w:tab w:val="left" w:pos="1026"/>
        </w:tabs>
        <w:spacing w:before="0" w:after="0"/>
        <w:rPr>
          <w:bCs w:val="0"/>
          <w:sz w:val="26"/>
          <w:szCs w:val="26"/>
        </w:rPr>
      </w:pPr>
    </w:p>
    <w:p w:rsidR="00390526" w:rsidRPr="00390526" w:rsidRDefault="00390526" w:rsidP="00390526">
      <w:pPr>
        <w:tabs>
          <w:tab w:val="left" w:pos="1026"/>
        </w:tabs>
        <w:spacing w:before="0" w:after="0"/>
        <w:rPr>
          <w:bCs w:val="0"/>
          <w:sz w:val="26"/>
          <w:szCs w:val="26"/>
        </w:rPr>
      </w:pPr>
      <w:r w:rsidRPr="00390526">
        <w:rPr>
          <w:b/>
          <w:bCs w:val="0"/>
          <w:sz w:val="26"/>
          <w:szCs w:val="26"/>
        </w:rPr>
        <w:t xml:space="preserve">b) Nota periodística. </w:t>
      </w:r>
      <w:r w:rsidRPr="00390526">
        <w:rPr>
          <w:bCs w:val="0"/>
          <w:sz w:val="26"/>
          <w:szCs w:val="26"/>
        </w:rPr>
        <w:t xml:space="preserve">El treinta de mayo pasado, según la nota periodística del diario “contraparte.mx”, el denunciado manifestó: </w:t>
      </w:r>
      <w:r w:rsidRPr="00390526">
        <w:rPr>
          <w:bCs w:val="0"/>
          <w:i/>
          <w:sz w:val="26"/>
          <w:szCs w:val="26"/>
        </w:rPr>
        <w:t xml:space="preserve">“Todos están aliados, son parte del mismo contubernio el PRI y el PAN (…) </w:t>
      </w:r>
      <w:r w:rsidRPr="00390526">
        <w:rPr>
          <w:b/>
          <w:bCs w:val="0"/>
          <w:i/>
          <w:sz w:val="26"/>
          <w:szCs w:val="26"/>
        </w:rPr>
        <w:t>Pobre Roxana, ya la cepillaron</w:t>
      </w:r>
      <w:r w:rsidRPr="00390526">
        <w:rPr>
          <w:bCs w:val="0"/>
          <w:i/>
          <w:sz w:val="26"/>
          <w:szCs w:val="26"/>
        </w:rPr>
        <w:t>…”</w:t>
      </w:r>
      <w:r w:rsidRPr="00390526">
        <w:rPr>
          <w:bCs w:val="0"/>
          <w:sz w:val="26"/>
          <w:szCs w:val="26"/>
        </w:rPr>
        <w:t>.</w:t>
      </w:r>
    </w:p>
    <w:p w:rsidR="00390526" w:rsidRPr="00390526" w:rsidRDefault="00390526" w:rsidP="00390526">
      <w:pPr>
        <w:tabs>
          <w:tab w:val="left" w:pos="1026"/>
        </w:tabs>
        <w:spacing w:before="0" w:after="0"/>
        <w:rPr>
          <w:bCs w:val="0"/>
          <w:sz w:val="26"/>
          <w:szCs w:val="26"/>
        </w:rPr>
      </w:pPr>
    </w:p>
    <w:p w:rsidR="00390526" w:rsidRPr="00390526" w:rsidRDefault="00390526" w:rsidP="00390526">
      <w:pPr>
        <w:tabs>
          <w:tab w:val="left" w:pos="1026"/>
        </w:tabs>
        <w:spacing w:before="0" w:after="0"/>
        <w:rPr>
          <w:bCs w:val="0"/>
          <w:sz w:val="26"/>
          <w:szCs w:val="26"/>
        </w:rPr>
      </w:pPr>
      <w:r w:rsidRPr="00390526">
        <w:rPr>
          <w:b/>
          <w:bCs w:val="0"/>
          <w:sz w:val="26"/>
          <w:szCs w:val="26"/>
        </w:rPr>
        <w:t>c) Video en Twitter</w:t>
      </w:r>
      <w:r w:rsidRPr="00390526">
        <w:rPr>
          <w:bCs w:val="0"/>
          <w:sz w:val="26"/>
          <w:szCs w:val="26"/>
        </w:rPr>
        <w:t xml:space="preserve">. En la fecha antes citada, el denunciado, a través de un video difundido en la cuenta de la red social Twitter “Bon Miller”, en una entrevista manifestó: </w:t>
      </w:r>
      <w:r w:rsidRPr="00390526">
        <w:rPr>
          <w:bCs w:val="0"/>
          <w:i/>
          <w:sz w:val="26"/>
          <w:szCs w:val="26"/>
        </w:rPr>
        <w:t xml:space="preserve">“Ósea ya lo puedo ver Moreno Valle los sienta en la mesa y los empieza a regañar y les dice eres un tal por cual tú, tú estás abajo, ha ganado no sé qué, violencia política de género es la línea salen todos bien obedientes eso es lo que he visto, la Martha Erika, </w:t>
      </w:r>
      <w:r w:rsidRPr="00390526">
        <w:rPr>
          <w:b/>
          <w:bCs w:val="0"/>
          <w:i/>
          <w:sz w:val="26"/>
          <w:szCs w:val="26"/>
        </w:rPr>
        <w:t>la Roxana</w:t>
      </w:r>
      <w:r w:rsidRPr="00390526">
        <w:rPr>
          <w:bCs w:val="0"/>
          <w:i/>
          <w:sz w:val="26"/>
          <w:szCs w:val="26"/>
        </w:rPr>
        <w:t xml:space="preserve"> (segundo 0:16) porque por cierto ya, ya digamos están todos aliados pues es parte del mismo contubernio, </w:t>
      </w:r>
      <w:r w:rsidRPr="00390526">
        <w:rPr>
          <w:bCs w:val="0"/>
          <w:i/>
          <w:sz w:val="26"/>
          <w:szCs w:val="26"/>
        </w:rPr>
        <w:lastRenderedPageBreak/>
        <w:t>PRI y el PAN no como esa que salió, cual es el tema te vaya decir es una vergüenza”</w:t>
      </w:r>
      <w:r w:rsidRPr="00390526">
        <w:rPr>
          <w:bCs w:val="0"/>
          <w:sz w:val="26"/>
          <w:szCs w:val="26"/>
        </w:rPr>
        <w:t>.</w:t>
      </w:r>
    </w:p>
    <w:p w:rsidR="00390526" w:rsidRPr="00390526" w:rsidRDefault="00390526" w:rsidP="00390526">
      <w:pPr>
        <w:tabs>
          <w:tab w:val="left" w:pos="1026"/>
        </w:tabs>
        <w:spacing w:before="0" w:after="0"/>
        <w:rPr>
          <w:b/>
          <w:bCs w:val="0"/>
          <w:sz w:val="26"/>
          <w:szCs w:val="26"/>
        </w:rPr>
      </w:pPr>
    </w:p>
    <w:p w:rsidR="00390526" w:rsidRPr="00390526" w:rsidRDefault="00390526" w:rsidP="00390526">
      <w:pPr>
        <w:tabs>
          <w:tab w:val="left" w:pos="1026"/>
        </w:tabs>
        <w:spacing w:before="0" w:after="0"/>
        <w:rPr>
          <w:b/>
          <w:sz w:val="26"/>
          <w:szCs w:val="26"/>
        </w:rPr>
      </w:pPr>
      <w:r w:rsidRPr="00390526">
        <w:rPr>
          <w:b/>
          <w:sz w:val="26"/>
          <w:szCs w:val="26"/>
        </w:rPr>
        <w:t>2.- Consideraciones del acuerdo impugnado</w:t>
      </w:r>
    </w:p>
    <w:p w:rsidR="00390526" w:rsidRPr="00390526" w:rsidRDefault="00390526" w:rsidP="00390526">
      <w:pPr>
        <w:tabs>
          <w:tab w:val="left" w:pos="1026"/>
        </w:tabs>
        <w:spacing w:before="0" w:after="0"/>
        <w:rPr>
          <w:b/>
          <w:sz w:val="26"/>
          <w:szCs w:val="26"/>
        </w:rPr>
      </w:pPr>
    </w:p>
    <w:p w:rsidR="00390526" w:rsidRPr="00390526" w:rsidRDefault="00390526" w:rsidP="00390526">
      <w:pPr>
        <w:tabs>
          <w:tab w:val="left" w:pos="1026"/>
        </w:tabs>
        <w:spacing w:before="0" w:after="0"/>
        <w:rPr>
          <w:sz w:val="26"/>
          <w:szCs w:val="26"/>
        </w:rPr>
      </w:pPr>
      <w:r w:rsidRPr="00390526">
        <w:rPr>
          <w:bCs w:val="0"/>
          <w:sz w:val="26"/>
          <w:szCs w:val="26"/>
        </w:rPr>
        <w:t>La Vocal Ejecutiva y Consejera Presidenta del Consejo Distrital, desechó de plano la denuncia, con un análisis preliminar de los hechos denunciados, donde advirtieron que no constituyeron violaciones en materia de propaganda político-electoral</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bCs w:val="0"/>
          <w:sz w:val="26"/>
          <w:szCs w:val="26"/>
        </w:rPr>
        <w:t xml:space="preserve">Señalaron que las manifestaciones realizadas por el denunciado no se encontraban basadas en algún estereotipo por razón de género o condición de mujer, por lo que no criminalizaba, humillaba o denigraba por tener esa calidad.      </w:t>
      </w:r>
    </w:p>
    <w:p w:rsidR="00390526" w:rsidRPr="00390526" w:rsidRDefault="00390526" w:rsidP="00390526">
      <w:pPr>
        <w:tabs>
          <w:tab w:val="left" w:pos="1026"/>
        </w:tabs>
        <w:spacing w:before="0" w:after="0"/>
        <w:rPr>
          <w:bCs w:val="0"/>
          <w:sz w:val="26"/>
          <w:szCs w:val="26"/>
        </w:rPr>
      </w:pPr>
    </w:p>
    <w:p w:rsidR="00390526" w:rsidRPr="00390526" w:rsidRDefault="00390526" w:rsidP="00390526">
      <w:pPr>
        <w:tabs>
          <w:tab w:val="left" w:pos="1026"/>
        </w:tabs>
        <w:spacing w:before="0" w:after="0"/>
        <w:rPr>
          <w:bCs w:val="0"/>
          <w:sz w:val="26"/>
          <w:szCs w:val="26"/>
        </w:rPr>
      </w:pPr>
      <w:r w:rsidRPr="00390526">
        <w:rPr>
          <w:bCs w:val="0"/>
          <w:sz w:val="26"/>
          <w:szCs w:val="26"/>
        </w:rPr>
        <w:t>Sostuvo que el elemento a verificar no se satisfacía, ya que, si bien existieron declaraciones en las que se aludió a la candidata, ninguna hizo referencia a su género ni condición de mujer, ni tampoco tenían connotaciones que se refirieran a las condiciones sociales de lo que significaba ser mujer, tampoco reforzaban o normalizaban estereotipos de género.</w:t>
      </w:r>
    </w:p>
    <w:p w:rsidR="00390526" w:rsidRPr="00390526" w:rsidRDefault="00390526" w:rsidP="00390526">
      <w:pPr>
        <w:tabs>
          <w:tab w:val="left" w:pos="1026"/>
        </w:tabs>
        <w:spacing w:before="0" w:after="0"/>
        <w:rPr>
          <w:bCs w:val="0"/>
          <w:sz w:val="26"/>
          <w:szCs w:val="26"/>
        </w:rPr>
      </w:pPr>
    </w:p>
    <w:p w:rsidR="00390526" w:rsidRPr="00390526" w:rsidRDefault="00390526" w:rsidP="00390526">
      <w:pPr>
        <w:tabs>
          <w:tab w:val="left" w:pos="1026"/>
        </w:tabs>
        <w:spacing w:before="0" w:after="0"/>
        <w:rPr>
          <w:bCs w:val="0"/>
          <w:sz w:val="26"/>
          <w:szCs w:val="26"/>
        </w:rPr>
      </w:pPr>
      <w:r w:rsidRPr="00390526">
        <w:rPr>
          <w:bCs w:val="0"/>
          <w:sz w:val="26"/>
          <w:szCs w:val="26"/>
        </w:rPr>
        <w:t xml:space="preserve">Por tanto, la responsable sostuvo que eran manifestaciones que no tuvieron como objeto o resultado menoscabar o anular el reconocimiento, goce y/o ejercicio de los derechos político-electorales de Roxana Luna </w:t>
      </w:r>
      <w:proofErr w:type="spellStart"/>
      <w:r w:rsidRPr="00390526">
        <w:rPr>
          <w:bCs w:val="0"/>
          <w:sz w:val="26"/>
          <w:szCs w:val="26"/>
        </w:rPr>
        <w:t>Porquillo</w:t>
      </w:r>
      <w:proofErr w:type="spellEnd"/>
      <w:r w:rsidRPr="00390526">
        <w:rPr>
          <w:bCs w:val="0"/>
          <w:sz w:val="26"/>
          <w:szCs w:val="26"/>
        </w:rPr>
        <w:t>, por no encontrarse basadas en el género de la citada candidata.</w:t>
      </w:r>
    </w:p>
    <w:p w:rsidR="00390526" w:rsidRPr="00390526" w:rsidRDefault="00390526" w:rsidP="00390526">
      <w:pPr>
        <w:tabs>
          <w:tab w:val="left" w:pos="1026"/>
        </w:tabs>
        <w:spacing w:before="0" w:after="0"/>
        <w:rPr>
          <w:bCs w:val="0"/>
          <w:sz w:val="26"/>
          <w:szCs w:val="26"/>
        </w:rPr>
      </w:pPr>
    </w:p>
    <w:p w:rsidR="00390526" w:rsidRPr="00390526" w:rsidRDefault="00390526" w:rsidP="00390526">
      <w:pPr>
        <w:tabs>
          <w:tab w:val="left" w:pos="1026"/>
        </w:tabs>
        <w:spacing w:before="0" w:after="0"/>
        <w:rPr>
          <w:bCs w:val="0"/>
          <w:sz w:val="26"/>
          <w:szCs w:val="26"/>
        </w:rPr>
      </w:pPr>
      <w:r w:rsidRPr="00390526">
        <w:rPr>
          <w:bCs w:val="0"/>
          <w:sz w:val="26"/>
          <w:szCs w:val="26"/>
        </w:rPr>
        <w:t>Por último, refirió que dichas manifestaciones no generaron violencia política a la referida candidata por el hecho de ser mujer y se realizaron dentro del contexto de un proceso electoral.</w:t>
      </w:r>
    </w:p>
    <w:p w:rsidR="00390526" w:rsidRPr="00390526" w:rsidRDefault="00390526" w:rsidP="00390526">
      <w:pPr>
        <w:tabs>
          <w:tab w:val="left" w:pos="1026"/>
        </w:tabs>
        <w:spacing w:before="0" w:after="0"/>
        <w:rPr>
          <w:bCs w:val="0"/>
          <w:sz w:val="26"/>
          <w:szCs w:val="26"/>
        </w:rPr>
      </w:pPr>
    </w:p>
    <w:p w:rsidR="00390526" w:rsidRPr="00390526" w:rsidRDefault="00390526" w:rsidP="00390526">
      <w:pPr>
        <w:tabs>
          <w:tab w:val="left" w:pos="1026"/>
        </w:tabs>
        <w:spacing w:before="0" w:after="0"/>
        <w:rPr>
          <w:b/>
          <w:bCs w:val="0"/>
          <w:sz w:val="26"/>
          <w:szCs w:val="26"/>
        </w:rPr>
      </w:pPr>
      <w:r w:rsidRPr="00390526">
        <w:rPr>
          <w:b/>
          <w:bCs w:val="0"/>
          <w:sz w:val="26"/>
          <w:szCs w:val="26"/>
        </w:rPr>
        <w:t>3. Consideraciones que sustentan la decisión mayoritaria.</w:t>
      </w:r>
    </w:p>
    <w:p w:rsidR="00390526" w:rsidRPr="00390526" w:rsidRDefault="00390526" w:rsidP="00390526">
      <w:pPr>
        <w:tabs>
          <w:tab w:val="left" w:pos="1026"/>
        </w:tabs>
        <w:spacing w:before="0" w:after="0"/>
        <w:rPr>
          <w:b/>
          <w:bCs w:val="0"/>
          <w:sz w:val="26"/>
          <w:szCs w:val="26"/>
        </w:rPr>
      </w:pPr>
    </w:p>
    <w:p w:rsidR="00390526" w:rsidRPr="00390526" w:rsidRDefault="00390526" w:rsidP="00390526">
      <w:pPr>
        <w:tabs>
          <w:tab w:val="left" w:pos="1026"/>
        </w:tabs>
        <w:spacing w:before="0" w:after="0"/>
        <w:rPr>
          <w:bCs w:val="0"/>
          <w:sz w:val="26"/>
          <w:szCs w:val="26"/>
        </w:rPr>
      </w:pPr>
      <w:r w:rsidRPr="00390526">
        <w:rPr>
          <w:bCs w:val="0"/>
          <w:sz w:val="26"/>
          <w:szCs w:val="26"/>
        </w:rPr>
        <w:t xml:space="preserve">La sentencia aprobada por la mayoría establece que, en el caso, teniendo en cuenta los hechos que motivaron la presentación de la denuncia, el análisis realizado en la resolución recurrida se considera apropiado debido a que las expresiones exteriorizadas por el sujeto </w:t>
      </w:r>
      <w:proofErr w:type="gramStart"/>
      <w:r w:rsidRPr="00390526">
        <w:rPr>
          <w:bCs w:val="0"/>
          <w:sz w:val="26"/>
          <w:szCs w:val="26"/>
        </w:rPr>
        <w:t>denunciado,</w:t>
      </w:r>
      <w:proofErr w:type="gramEnd"/>
      <w:r w:rsidRPr="00390526">
        <w:rPr>
          <w:bCs w:val="0"/>
          <w:sz w:val="26"/>
          <w:szCs w:val="26"/>
        </w:rPr>
        <w:t xml:space="preserve"> no tienen como propósito denigrar a la denunciante por ser mujer.</w:t>
      </w:r>
    </w:p>
    <w:p w:rsidR="00390526" w:rsidRPr="00390526" w:rsidRDefault="00390526" w:rsidP="00390526">
      <w:pPr>
        <w:tabs>
          <w:tab w:val="left" w:pos="1026"/>
        </w:tabs>
        <w:spacing w:before="0" w:after="0"/>
        <w:rPr>
          <w:b/>
          <w:bCs w:val="0"/>
          <w:sz w:val="26"/>
          <w:szCs w:val="26"/>
        </w:rPr>
      </w:pPr>
    </w:p>
    <w:p w:rsidR="00390526" w:rsidRPr="00390526" w:rsidRDefault="00390526" w:rsidP="00390526">
      <w:pPr>
        <w:tabs>
          <w:tab w:val="left" w:pos="1026"/>
        </w:tabs>
        <w:spacing w:before="0" w:after="0"/>
        <w:rPr>
          <w:bCs w:val="0"/>
          <w:sz w:val="26"/>
          <w:szCs w:val="26"/>
        </w:rPr>
      </w:pPr>
      <w:r w:rsidRPr="00390526">
        <w:rPr>
          <w:bCs w:val="0"/>
          <w:sz w:val="26"/>
          <w:szCs w:val="26"/>
        </w:rPr>
        <w:t>Se dice en la ejecutoria que los hechos sucedieron en el marco del ejercicio de derechos político-electorales o bien en el ejercicio de un cargo público, ya que, la denunciante y el denunciado se erigen como candidata y candidato contendientes a una diputación federal por el principio de mayoría relativa.</w:t>
      </w:r>
    </w:p>
    <w:p w:rsidR="00390526" w:rsidRPr="00390526" w:rsidRDefault="00390526" w:rsidP="00390526">
      <w:pPr>
        <w:tabs>
          <w:tab w:val="left" w:pos="1026"/>
        </w:tabs>
        <w:spacing w:before="0" w:after="0"/>
        <w:rPr>
          <w:bCs w:val="0"/>
          <w:sz w:val="26"/>
          <w:szCs w:val="26"/>
        </w:rPr>
      </w:pPr>
    </w:p>
    <w:p w:rsidR="00390526" w:rsidRPr="00390526" w:rsidRDefault="00390526" w:rsidP="00390526">
      <w:pPr>
        <w:tabs>
          <w:tab w:val="left" w:pos="1026"/>
        </w:tabs>
        <w:spacing w:before="0" w:after="0"/>
        <w:rPr>
          <w:bCs w:val="0"/>
          <w:sz w:val="26"/>
          <w:szCs w:val="26"/>
        </w:rPr>
      </w:pPr>
      <w:r w:rsidRPr="00390526">
        <w:rPr>
          <w:bCs w:val="0"/>
          <w:sz w:val="26"/>
          <w:szCs w:val="26"/>
        </w:rPr>
        <w:t>Además, señala la sentencia que las expresiones consisten en elementos verbales exteriorizados por el sujeto denunciado.</w:t>
      </w:r>
    </w:p>
    <w:p w:rsidR="00390526" w:rsidRPr="00390526" w:rsidRDefault="00390526" w:rsidP="00390526">
      <w:pPr>
        <w:tabs>
          <w:tab w:val="left" w:pos="1026"/>
        </w:tabs>
        <w:spacing w:before="0" w:after="0"/>
        <w:rPr>
          <w:bCs w:val="0"/>
          <w:sz w:val="26"/>
          <w:szCs w:val="26"/>
        </w:rPr>
      </w:pPr>
    </w:p>
    <w:p w:rsidR="00390526" w:rsidRPr="00390526" w:rsidRDefault="00390526" w:rsidP="00390526">
      <w:pPr>
        <w:tabs>
          <w:tab w:val="left" w:pos="1026"/>
        </w:tabs>
        <w:spacing w:before="0" w:after="0"/>
        <w:rPr>
          <w:bCs w:val="0"/>
          <w:sz w:val="26"/>
          <w:szCs w:val="26"/>
        </w:rPr>
      </w:pPr>
      <w:r w:rsidRPr="00390526">
        <w:rPr>
          <w:bCs w:val="0"/>
          <w:sz w:val="26"/>
          <w:szCs w:val="26"/>
        </w:rPr>
        <w:t xml:space="preserve">Es decir, sostiene que la expresión denunciada </w:t>
      </w:r>
      <w:r w:rsidRPr="00390526">
        <w:rPr>
          <w:b/>
          <w:bCs w:val="0"/>
          <w:i/>
          <w:sz w:val="26"/>
          <w:szCs w:val="26"/>
        </w:rPr>
        <w:t>“se hizo bruta realmente”</w:t>
      </w:r>
      <w:r w:rsidRPr="00390526">
        <w:rPr>
          <w:bCs w:val="0"/>
          <w:sz w:val="26"/>
          <w:szCs w:val="26"/>
        </w:rPr>
        <w:t xml:space="preserve"> se da en el </w:t>
      </w:r>
      <w:r w:rsidRPr="00390526">
        <w:rPr>
          <w:b/>
          <w:bCs w:val="0"/>
          <w:sz w:val="26"/>
          <w:szCs w:val="26"/>
        </w:rPr>
        <w:t>contexto</w:t>
      </w:r>
      <w:r w:rsidRPr="00390526">
        <w:rPr>
          <w:bCs w:val="0"/>
          <w:sz w:val="26"/>
          <w:szCs w:val="26"/>
        </w:rPr>
        <w:t xml:space="preserve"> y como </w:t>
      </w:r>
      <w:r w:rsidRPr="00390526">
        <w:rPr>
          <w:b/>
          <w:bCs w:val="0"/>
          <w:sz w:val="26"/>
          <w:szCs w:val="26"/>
        </w:rPr>
        <w:t>resultado</w:t>
      </w:r>
      <w:r w:rsidRPr="00390526">
        <w:rPr>
          <w:bCs w:val="0"/>
          <w:sz w:val="26"/>
          <w:szCs w:val="26"/>
        </w:rPr>
        <w:t xml:space="preserve"> de una conversación previa que sostuvieron los sujetos (denunciante y denunciado), derivado de que no quiso presentar una denuncia, es decir, se le reprocha una omisión o inacción; la mención de </w:t>
      </w:r>
      <w:r w:rsidRPr="00390526">
        <w:rPr>
          <w:b/>
          <w:bCs w:val="0"/>
          <w:i/>
          <w:sz w:val="26"/>
          <w:szCs w:val="26"/>
        </w:rPr>
        <w:t>“ya la cepillaron”</w:t>
      </w:r>
      <w:r w:rsidRPr="00390526">
        <w:rPr>
          <w:bCs w:val="0"/>
          <w:sz w:val="26"/>
          <w:szCs w:val="26"/>
        </w:rPr>
        <w:t xml:space="preserve"> se da en función de una nota periodística que transmite vía reportaje, la opinión del denunciado sobre los movimientos políticos que ocurren en la contienda en la que participa; y el empleo del artículo </w:t>
      </w:r>
      <w:r w:rsidRPr="00390526">
        <w:rPr>
          <w:b/>
          <w:bCs w:val="0"/>
          <w:i/>
          <w:sz w:val="26"/>
          <w:szCs w:val="26"/>
        </w:rPr>
        <w:t>“la”</w:t>
      </w:r>
      <w:r w:rsidRPr="00390526">
        <w:rPr>
          <w:bCs w:val="0"/>
          <w:sz w:val="26"/>
          <w:szCs w:val="26"/>
        </w:rPr>
        <w:t xml:space="preserve"> antes del nombre propio de la denunciante, no tiene por objeto minimizar el ejercicio de su derecho a participar en la contienda.</w:t>
      </w:r>
    </w:p>
    <w:p w:rsidR="00390526" w:rsidRPr="00390526" w:rsidRDefault="00390526" w:rsidP="00390526">
      <w:pPr>
        <w:tabs>
          <w:tab w:val="left" w:pos="1026"/>
        </w:tabs>
        <w:spacing w:before="0" w:after="0"/>
        <w:rPr>
          <w:bCs w:val="0"/>
          <w:sz w:val="26"/>
          <w:szCs w:val="26"/>
        </w:rPr>
      </w:pPr>
    </w:p>
    <w:p w:rsidR="00390526" w:rsidRPr="00390526" w:rsidRDefault="00390526" w:rsidP="00390526">
      <w:pPr>
        <w:tabs>
          <w:tab w:val="left" w:pos="1026"/>
        </w:tabs>
        <w:spacing w:before="0" w:after="0"/>
        <w:rPr>
          <w:bCs w:val="0"/>
          <w:sz w:val="26"/>
          <w:szCs w:val="26"/>
        </w:rPr>
      </w:pPr>
      <w:r w:rsidRPr="00390526">
        <w:rPr>
          <w:bCs w:val="0"/>
          <w:sz w:val="26"/>
          <w:szCs w:val="26"/>
        </w:rPr>
        <w:lastRenderedPageBreak/>
        <w:t>Por tanto, sostiene la resolución que dichas expresiones, no se dirigen a la denunciante por ser mujer, tampoco tiene un impacto diferenciado en las mujeres y por ende no afecta de manera desproporcionada a las mujeres.</w:t>
      </w:r>
    </w:p>
    <w:p w:rsidR="00390526" w:rsidRPr="00390526" w:rsidRDefault="00390526" w:rsidP="00390526">
      <w:pPr>
        <w:tabs>
          <w:tab w:val="left" w:pos="1026"/>
        </w:tabs>
        <w:spacing w:before="0" w:after="0"/>
        <w:rPr>
          <w:bCs w:val="0"/>
          <w:sz w:val="26"/>
          <w:szCs w:val="26"/>
        </w:rPr>
      </w:pPr>
    </w:p>
    <w:p w:rsidR="00390526" w:rsidRPr="00390526" w:rsidRDefault="00390526" w:rsidP="00390526">
      <w:pPr>
        <w:tabs>
          <w:tab w:val="left" w:pos="1026"/>
        </w:tabs>
        <w:spacing w:before="0" w:after="0"/>
        <w:rPr>
          <w:bCs w:val="0"/>
          <w:sz w:val="26"/>
          <w:szCs w:val="26"/>
        </w:rPr>
      </w:pPr>
      <w:r w:rsidRPr="00390526">
        <w:rPr>
          <w:bCs w:val="0"/>
          <w:sz w:val="26"/>
          <w:szCs w:val="26"/>
        </w:rPr>
        <w:t>Asimismo, expone que tampoco pueden representar un obstáculo o impedimento jurídico para que la candidata continúe ejerciendo sus derechos político-electorales, por la supuesta vulneración a su derecho a la igualdad y no discriminación; cuestión que cabe advertir, no se controvierte en la presente instancia por la recurrente, y que, por ello debe continuar rigiendo su sentido.</w:t>
      </w:r>
    </w:p>
    <w:p w:rsidR="00390526" w:rsidRPr="00390526" w:rsidRDefault="00390526" w:rsidP="00390526">
      <w:pPr>
        <w:tabs>
          <w:tab w:val="left" w:pos="1026"/>
        </w:tabs>
        <w:spacing w:before="0" w:after="0"/>
        <w:rPr>
          <w:bCs w:val="0"/>
          <w:sz w:val="26"/>
          <w:szCs w:val="26"/>
          <w:lang w:val="es-MX"/>
        </w:rPr>
      </w:pPr>
    </w:p>
    <w:p w:rsidR="00390526" w:rsidRPr="00390526" w:rsidRDefault="00390526" w:rsidP="00390526">
      <w:pPr>
        <w:tabs>
          <w:tab w:val="left" w:pos="1026"/>
        </w:tabs>
        <w:spacing w:before="0" w:after="0"/>
        <w:rPr>
          <w:sz w:val="26"/>
          <w:szCs w:val="26"/>
        </w:rPr>
      </w:pPr>
      <w:r w:rsidRPr="00390526">
        <w:rPr>
          <w:bCs w:val="0"/>
          <w:sz w:val="26"/>
          <w:szCs w:val="26"/>
        </w:rPr>
        <w:t>De ahí que señale que no resultaba necesario una valoración adicional de las pruebas aportadas, cuando no se logró advertir de todos los hechos denunciados, el indicio que se requiere para dar curso a la tramitación y resolución de fondo del procedimiento.</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Por tanto, se determina confirmar el acuerdo impugnado.</w:t>
      </w:r>
    </w:p>
    <w:p w:rsidR="00390526" w:rsidRPr="00390526" w:rsidRDefault="00390526" w:rsidP="00390526">
      <w:pPr>
        <w:tabs>
          <w:tab w:val="left" w:pos="1026"/>
        </w:tabs>
        <w:spacing w:before="0" w:after="0"/>
        <w:rPr>
          <w:sz w:val="26"/>
          <w:szCs w:val="26"/>
          <w:lang w:val="es-MX"/>
        </w:rPr>
      </w:pPr>
    </w:p>
    <w:p w:rsidR="00390526" w:rsidRPr="00390526" w:rsidRDefault="00390526" w:rsidP="00390526">
      <w:pPr>
        <w:tabs>
          <w:tab w:val="left" w:pos="1026"/>
        </w:tabs>
        <w:spacing w:before="0" w:after="0"/>
        <w:rPr>
          <w:b/>
          <w:sz w:val="26"/>
          <w:szCs w:val="26"/>
        </w:rPr>
      </w:pPr>
      <w:r w:rsidRPr="00390526">
        <w:rPr>
          <w:b/>
          <w:sz w:val="26"/>
          <w:szCs w:val="26"/>
        </w:rPr>
        <w:t>4.- Consideraciones que sustentan el sentido del voto.</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b/>
          <w:sz w:val="26"/>
          <w:szCs w:val="26"/>
        </w:rPr>
        <w:t>En el caso, no comparto el criterio asumido en la sentencia</w:t>
      </w:r>
      <w:r w:rsidRPr="00390526">
        <w:rPr>
          <w:sz w:val="26"/>
          <w:szCs w:val="26"/>
        </w:rPr>
        <w:t xml:space="preserve">, toda vez que si bien la autoridad responsable tenía facultades para emitir el desechamiento, </w:t>
      </w:r>
      <w:r w:rsidRPr="00390526">
        <w:rPr>
          <w:b/>
          <w:sz w:val="26"/>
          <w:szCs w:val="26"/>
        </w:rPr>
        <w:t>éste no debió sustentarse en consideraciones de fondo,</w:t>
      </w:r>
      <w:r w:rsidRPr="00390526">
        <w:rPr>
          <w:sz w:val="26"/>
          <w:szCs w:val="26"/>
        </w:rPr>
        <w:t xml:space="preserve"> pues con ello prejuzga sobre la decisión última, a partir de concluir que de las frases expresadas por </w:t>
      </w:r>
      <w:r w:rsidRPr="00390526">
        <w:rPr>
          <w:bCs w:val="0"/>
          <w:sz w:val="26"/>
          <w:szCs w:val="26"/>
        </w:rPr>
        <w:t xml:space="preserve">Fernando Manzanilla Prieto, no se encontraban basadas en algún estereotipo por razón de género o condición de mujer, por lo que no criminalizaba, humillaba o denigraba a Roxana Luna </w:t>
      </w:r>
      <w:proofErr w:type="spellStart"/>
      <w:r w:rsidRPr="00390526">
        <w:rPr>
          <w:bCs w:val="0"/>
          <w:sz w:val="26"/>
          <w:szCs w:val="26"/>
        </w:rPr>
        <w:t>Porquillo</w:t>
      </w:r>
      <w:proofErr w:type="spellEnd"/>
      <w:r w:rsidRPr="00390526">
        <w:rPr>
          <w:bCs w:val="0"/>
          <w:sz w:val="26"/>
          <w:szCs w:val="26"/>
        </w:rPr>
        <w:t xml:space="preserve"> por tener esa calidad y que no generaron violencia política a la referida candidata por el hecho de ser </w:t>
      </w:r>
      <w:r w:rsidRPr="00390526">
        <w:rPr>
          <w:bCs w:val="0"/>
          <w:sz w:val="26"/>
          <w:szCs w:val="26"/>
        </w:rPr>
        <w:lastRenderedPageBreak/>
        <w:t>mujer, además de que se realizaron dentro del contexto de un proceso electoral.</w:t>
      </w:r>
    </w:p>
    <w:p w:rsidR="00390526" w:rsidRPr="00390526" w:rsidRDefault="00390526" w:rsidP="00390526">
      <w:pPr>
        <w:tabs>
          <w:tab w:val="left" w:pos="1026"/>
        </w:tabs>
        <w:spacing w:before="0" w:after="0"/>
        <w:rPr>
          <w:bCs w:val="0"/>
          <w:sz w:val="26"/>
          <w:szCs w:val="26"/>
        </w:rPr>
      </w:pPr>
    </w:p>
    <w:p w:rsidR="00390526" w:rsidRPr="00390526" w:rsidRDefault="00390526" w:rsidP="00390526">
      <w:pPr>
        <w:tabs>
          <w:tab w:val="left" w:pos="1026"/>
        </w:tabs>
        <w:spacing w:before="0" w:after="0"/>
        <w:rPr>
          <w:bCs w:val="0"/>
          <w:sz w:val="26"/>
          <w:szCs w:val="26"/>
        </w:rPr>
      </w:pPr>
      <w:r w:rsidRPr="00390526">
        <w:rPr>
          <w:bCs w:val="0"/>
          <w:sz w:val="26"/>
          <w:szCs w:val="26"/>
        </w:rPr>
        <w:t xml:space="preserve">Esto es, la autoridad responsable incurrió en una indebida fundamentación, motivación y falta de exhaustividad, al no juzgar con perspectiva de género, omitiendo el estudio de la violencia política de género, en perjuicio de la candidata a la diputación federal. </w:t>
      </w:r>
    </w:p>
    <w:p w:rsidR="00390526" w:rsidRPr="00390526" w:rsidRDefault="00390526" w:rsidP="00390526">
      <w:pPr>
        <w:tabs>
          <w:tab w:val="left" w:pos="1026"/>
        </w:tabs>
        <w:spacing w:before="0" w:after="0"/>
        <w:rPr>
          <w:bCs w:val="0"/>
          <w:sz w:val="26"/>
          <w:szCs w:val="26"/>
        </w:rPr>
      </w:pPr>
    </w:p>
    <w:p w:rsidR="00390526" w:rsidRPr="00390526" w:rsidRDefault="00390526" w:rsidP="00390526">
      <w:pPr>
        <w:tabs>
          <w:tab w:val="left" w:pos="1026"/>
        </w:tabs>
        <w:spacing w:before="0" w:after="0"/>
        <w:rPr>
          <w:sz w:val="26"/>
          <w:szCs w:val="26"/>
        </w:rPr>
      </w:pPr>
      <w:r w:rsidRPr="00390526">
        <w:rPr>
          <w:sz w:val="26"/>
          <w:szCs w:val="26"/>
        </w:rPr>
        <w:t xml:space="preserve">En efecto, el 12 Consejo Distrital del Instituto Nacional Electoral de Puebla tiene facultades para desechar la denuncia en un procedimiento especial sancionador, dado que conforme a lo que establece tanto la Ley de Instituciones, en su artículo 474, párrafo 1, como lo que ha determinado esta Sala Superior, los vocales son competentes para conocer respecto de aquellas denuncias atinentes a su demarcación que no involucren propaganda en radio y televisión. </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De ahí que, también pueda desechar una denuncia en caso de considerar que se actualice alguno de los supuestos de improcedencia previstos en el artículo 471, párrafo 5, de la Ley de Instituciones.</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b/>
          <w:sz w:val="26"/>
          <w:szCs w:val="26"/>
        </w:rPr>
      </w:pPr>
      <w:r w:rsidRPr="00390526">
        <w:rPr>
          <w:sz w:val="26"/>
          <w:szCs w:val="26"/>
        </w:rPr>
        <w:t xml:space="preserve">Sin embargo, estimó que </w:t>
      </w:r>
      <w:r w:rsidRPr="00390526">
        <w:rPr>
          <w:b/>
          <w:bCs w:val="0"/>
          <w:sz w:val="26"/>
          <w:szCs w:val="26"/>
        </w:rPr>
        <w:t xml:space="preserve">le asiste razón </w:t>
      </w:r>
      <w:r w:rsidRPr="00390526">
        <w:rPr>
          <w:sz w:val="26"/>
          <w:szCs w:val="26"/>
        </w:rPr>
        <w:t xml:space="preserve">al </w:t>
      </w:r>
      <w:proofErr w:type="spellStart"/>
      <w:r w:rsidRPr="00390526">
        <w:rPr>
          <w:sz w:val="26"/>
          <w:szCs w:val="26"/>
        </w:rPr>
        <w:t>enjuiciante</w:t>
      </w:r>
      <w:proofErr w:type="spellEnd"/>
      <w:r w:rsidRPr="00390526">
        <w:rPr>
          <w:sz w:val="26"/>
          <w:szCs w:val="26"/>
        </w:rPr>
        <w:t xml:space="preserve"> y, por tanto, es suficiente para </w:t>
      </w:r>
      <w:r w:rsidRPr="00390526">
        <w:rPr>
          <w:b/>
          <w:bCs w:val="0"/>
          <w:sz w:val="26"/>
          <w:szCs w:val="26"/>
        </w:rPr>
        <w:t xml:space="preserve">revocar </w:t>
      </w:r>
      <w:r w:rsidRPr="00390526">
        <w:rPr>
          <w:sz w:val="26"/>
          <w:szCs w:val="26"/>
        </w:rPr>
        <w:t xml:space="preserve">el acuerdo combatido, pues el Vocal Ejecutivo </w:t>
      </w:r>
      <w:r w:rsidRPr="00390526">
        <w:rPr>
          <w:b/>
          <w:bCs w:val="0"/>
          <w:sz w:val="26"/>
          <w:szCs w:val="26"/>
        </w:rPr>
        <w:t xml:space="preserve">indebidamente </w:t>
      </w:r>
      <w:r w:rsidRPr="00390526">
        <w:rPr>
          <w:sz w:val="26"/>
          <w:szCs w:val="26"/>
        </w:rPr>
        <w:t xml:space="preserve">desechó su queja </w:t>
      </w:r>
      <w:r w:rsidRPr="00390526">
        <w:rPr>
          <w:b/>
          <w:bCs w:val="0"/>
          <w:sz w:val="26"/>
          <w:szCs w:val="26"/>
        </w:rPr>
        <w:t>sustentándose en consideraciones de fondo.</w:t>
      </w:r>
    </w:p>
    <w:p w:rsidR="00390526" w:rsidRPr="00390526" w:rsidRDefault="00390526" w:rsidP="00390526">
      <w:pPr>
        <w:tabs>
          <w:tab w:val="left" w:pos="1026"/>
        </w:tabs>
        <w:spacing w:before="0" w:after="0"/>
        <w:rPr>
          <w:b/>
          <w:bCs w:val="0"/>
          <w:sz w:val="26"/>
          <w:szCs w:val="26"/>
        </w:rPr>
      </w:pPr>
    </w:p>
    <w:p w:rsidR="00390526" w:rsidRPr="00390526" w:rsidRDefault="00390526" w:rsidP="00390526">
      <w:pPr>
        <w:tabs>
          <w:tab w:val="left" w:pos="1026"/>
        </w:tabs>
        <w:spacing w:before="0" w:after="0"/>
        <w:rPr>
          <w:bCs w:val="0"/>
          <w:sz w:val="26"/>
          <w:szCs w:val="26"/>
        </w:rPr>
      </w:pPr>
      <w:r w:rsidRPr="00390526">
        <w:rPr>
          <w:bCs w:val="0"/>
          <w:sz w:val="26"/>
          <w:szCs w:val="26"/>
        </w:rPr>
        <w:t xml:space="preserve">Lo anterior, pone en relieve que la autoridad administrativa incumplió con el deber reforzado de juzgar con perspectiva de género; lo cual implica para las y los juzgadores de México, que maximicemos en los asuntos de nuestra competencia el acceso de las ciudadanas mexicanas a sus derechos político-electorales. También que se </w:t>
      </w:r>
      <w:r w:rsidRPr="00390526">
        <w:rPr>
          <w:bCs w:val="0"/>
          <w:sz w:val="26"/>
          <w:szCs w:val="26"/>
        </w:rPr>
        <w:lastRenderedPageBreak/>
        <w:t>atienda, con la debida diligencia, cualquier acto de violencia cometido en agravio de una mujer.</w:t>
      </w:r>
    </w:p>
    <w:p w:rsidR="00390526" w:rsidRPr="00390526" w:rsidRDefault="00390526" w:rsidP="00390526">
      <w:pPr>
        <w:tabs>
          <w:tab w:val="left" w:pos="1026"/>
        </w:tabs>
        <w:spacing w:before="0" w:after="0"/>
        <w:rPr>
          <w:bCs w:val="0"/>
          <w:sz w:val="26"/>
          <w:szCs w:val="26"/>
        </w:rPr>
      </w:pPr>
    </w:p>
    <w:p w:rsidR="00390526" w:rsidRPr="00390526" w:rsidRDefault="00390526" w:rsidP="00390526">
      <w:pPr>
        <w:tabs>
          <w:tab w:val="left" w:pos="1026"/>
        </w:tabs>
        <w:spacing w:before="0" w:after="0"/>
        <w:rPr>
          <w:bCs w:val="0"/>
          <w:sz w:val="26"/>
          <w:szCs w:val="26"/>
        </w:rPr>
      </w:pPr>
      <w:r w:rsidRPr="00390526">
        <w:rPr>
          <w:bCs w:val="0"/>
          <w:sz w:val="26"/>
          <w:szCs w:val="26"/>
        </w:rPr>
        <w:t>Estoy convencida que, de la narración de los hechos expuestos y de su vinculación con los elementos de prueba aportados por la parte denunciante, quedaban en relieve indicios relacionados con actos de violencia política de género, y por ende, la Junta Distrital Ejecutiva debió dar trámite al procedimiento especial sancionador respectivo, de conformidad con el Protocolo para Atención de Violencia Política Contra las Mujeres en Razón de Género y la normatividad relacionada con la violencia contra las mujeres, a la que he hecho alusión anteriormente.</w:t>
      </w:r>
    </w:p>
    <w:p w:rsidR="00390526" w:rsidRPr="00390526" w:rsidRDefault="00390526" w:rsidP="00390526">
      <w:pPr>
        <w:tabs>
          <w:tab w:val="left" w:pos="1026"/>
        </w:tabs>
        <w:spacing w:before="0" w:after="0"/>
        <w:rPr>
          <w:bCs w:val="0"/>
          <w:sz w:val="26"/>
          <w:szCs w:val="26"/>
        </w:rPr>
      </w:pPr>
    </w:p>
    <w:p w:rsidR="00390526" w:rsidRPr="00390526" w:rsidRDefault="00390526" w:rsidP="00390526">
      <w:pPr>
        <w:tabs>
          <w:tab w:val="left" w:pos="1026"/>
        </w:tabs>
        <w:spacing w:before="0" w:after="0"/>
        <w:rPr>
          <w:bCs w:val="0"/>
          <w:sz w:val="26"/>
          <w:szCs w:val="26"/>
        </w:rPr>
      </w:pPr>
      <w:r w:rsidRPr="00390526">
        <w:rPr>
          <w:sz w:val="26"/>
          <w:szCs w:val="26"/>
        </w:rPr>
        <w:t>Por tanto, en mi concepto, fue indebido el actuar de la Vocal Ejecutiva y Consejera Presidenta responsable porque el análisis efectuado es propio de la Sala Regional Especializada de este Tribunal al momento de dictar sentencia en el procedimiento especial sancionador.</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 xml:space="preserve">Lo anterior, porque requiere un estudio de las frases expresadas por el sujeto denunciado aplicando los estándares sobre violencia política </w:t>
      </w:r>
      <w:proofErr w:type="gramStart"/>
      <w:r w:rsidRPr="00390526">
        <w:rPr>
          <w:sz w:val="26"/>
          <w:szCs w:val="26"/>
        </w:rPr>
        <w:t>en razón de</w:t>
      </w:r>
      <w:proofErr w:type="gramEnd"/>
      <w:r w:rsidRPr="00390526">
        <w:rPr>
          <w:sz w:val="26"/>
          <w:szCs w:val="26"/>
        </w:rPr>
        <w:t xml:space="preserve"> género, así como una valoración minuciosa, exhaustiva, conjunta y adminiculada de las probanzas allegadas al expediente, para estar en condiciones de advertir si está plenamente probada la infracción, así como la responsabilidad del sujeto denunciado y, de ser el caso, imponer la sanción correspondiente.</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Por tanto, si el deber de la Junta Distrital responsable era ponderar preliminarmente la denuncia para actualizar su procedencia o desechamiento y ésta efectuó un estudio de la queja y concluyó que la infracción era inexistente, es que se está ante un estudio de fondo, por lo que estaba impedida a hacerlo en ese momento procesal.</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 xml:space="preserve">Finalmente, desechar las quejas con argumentos de fondo, puede llegar a desalentar la cultura de la denuncia en perjuicio de las mujeres, al no encontrar una respuesta, con una causa de pedir, con los argumentos propuestos y los demás componentes de la controversia. </w:t>
      </w:r>
    </w:p>
    <w:p w:rsidR="00390526" w:rsidRPr="00390526" w:rsidRDefault="00390526" w:rsidP="00390526">
      <w:pPr>
        <w:tabs>
          <w:tab w:val="left" w:pos="1026"/>
        </w:tabs>
        <w:spacing w:before="0" w:after="0"/>
        <w:rPr>
          <w:sz w:val="26"/>
          <w:szCs w:val="26"/>
        </w:rPr>
      </w:pPr>
    </w:p>
    <w:p w:rsidR="00390526" w:rsidRPr="00390526" w:rsidRDefault="00390526" w:rsidP="00390526">
      <w:pPr>
        <w:tabs>
          <w:tab w:val="left" w:pos="1026"/>
        </w:tabs>
        <w:spacing w:before="0" w:after="0"/>
        <w:rPr>
          <w:sz w:val="26"/>
          <w:szCs w:val="26"/>
        </w:rPr>
      </w:pPr>
      <w:r w:rsidRPr="00390526">
        <w:rPr>
          <w:sz w:val="26"/>
          <w:szCs w:val="26"/>
        </w:rPr>
        <w:t xml:space="preserve">De ahí que considere que se debe </w:t>
      </w:r>
      <w:r w:rsidRPr="00390526">
        <w:rPr>
          <w:b/>
          <w:sz w:val="26"/>
          <w:szCs w:val="26"/>
        </w:rPr>
        <w:t>revocar</w:t>
      </w:r>
      <w:r w:rsidRPr="00390526">
        <w:rPr>
          <w:sz w:val="26"/>
          <w:szCs w:val="26"/>
        </w:rPr>
        <w:t xml:space="preserve"> el acuerdo impugnado. </w:t>
      </w:r>
    </w:p>
    <w:p w:rsidR="00390526" w:rsidRDefault="00390526" w:rsidP="00390526">
      <w:pPr>
        <w:spacing w:before="0" w:after="0"/>
        <w:rPr>
          <w:bCs w:val="0"/>
          <w:sz w:val="26"/>
          <w:szCs w:val="26"/>
        </w:rPr>
      </w:pPr>
      <w:r w:rsidRPr="00390526">
        <w:rPr>
          <w:bCs w:val="0"/>
          <w:sz w:val="26"/>
          <w:szCs w:val="26"/>
        </w:rPr>
        <w:t xml:space="preserve">Es por estas consideraciones que </w:t>
      </w:r>
      <w:r w:rsidRPr="00390526">
        <w:rPr>
          <w:b/>
          <w:bCs w:val="0"/>
          <w:sz w:val="26"/>
          <w:szCs w:val="26"/>
        </w:rPr>
        <w:t xml:space="preserve">disiento </w:t>
      </w:r>
      <w:r w:rsidRPr="00390526">
        <w:rPr>
          <w:bCs w:val="0"/>
          <w:sz w:val="26"/>
          <w:szCs w:val="26"/>
        </w:rPr>
        <w:t>de la decisión mayoritaria.</w:t>
      </w:r>
    </w:p>
    <w:p w:rsidR="00390526" w:rsidRDefault="00390526" w:rsidP="00390526">
      <w:pPr>
        <w:spacing w:before="0" w:after="0"/>
        <w:rPr>
          <w:bCs w:val="0"/>
          <w:sz w:val="26"/>
          <w:szCs w:val="26"/>
        </w:rPr>
      </w:pPr>
      <w:r w:rsidRPr="00390526">
        <w:rPr>
          <w:bCs w:val="0"/>
          <w:sz w:val="26"/>
          <w:szCs w:val="26"/>
        </w:rPr>
        <w:t xml:space="preserve"> </w:t>
      </w:r>
    </w:p>
    <w:p w:rsidR="00390526" w:rsidRPr="00390526" w:rsidRDefault="00390526" w:rsidP="00390526">
      <w:pPr>
        <w:spacing w:before="0" w:after="0"/>
        <w:rPr>
          <w:sz w:val="26"/>
          <w:szCs w:val="26"/>
          <w:lang w:val="es-MX"/>
        </w:rPr>
      </w:pPr>
    </w:p>
    <w:p w:rsidR="00390526" w:rsidRPr="00390526" w:rsidRDefault="00390526" w:rsidP="00390526">
      <w:pPr>
        <w:spacing w:before="0" w:after="0"/>
        <w:jc w:val="center"/>
        <w:rPr>
          <w:b/>
          <w:bCs w:val="0"/>
          <w:sz w:val="24"/>
        </w:rPr>
      </w:pPr>
      <w:r w:rsidRPr="00390526">
        <w:rPr>
          <w:b/>
          <w:bCs w:val="0"/>
          <w:sz w:val="24"/>
        </w:rPr>
        <w:t>MAGISTRADA</w:t>
      </w:r>
    </w:p>
    <w:p w:rsidR="00390526" w:rsidRPr="00390526" w:rsidRDefault="00390526" w:rsidP="00390526">
      <w:pPr>
        <w:spacing w:before="0" w:after="0"/>
        <w:jc w:val="center"/>
        <w:rPr>
          <w:bCs w:val="0"/>
          <w:sz w:val="24"/>
        </w:rPr>
      </w:pPr>
    </w:p>
    <w:p w:rsidR="00390526" w:rsidRPr="00390526" w:rsidRDefault="00390526" w:rsidP="00390526">
      <w:pPr>
        <w:spacing w:before="0" w:after="0"/>
        <w:jc w:val="center"/>
        <w:rPr>
          <w:bCs w:val="0"/>
          <w:sz w:val="24"/>
        </w:rPr>
      </w:pPr>
    </w:p>
    <w:p w:rsidR="00390526" w:rsidRPr="00390526" w:rsidRDefault="00390526" w:rsidP="00390526">
      <w:pPr>
        <w:spacing w:before="0" w:after="0"/>
        <w:jc w:val="center"/>
        <w:rPr>
          <w:b/>
          <w:bCs w:val="0"/>
          <w:sz w:val="24"/>
        </w:rPr>
      </w:pPr>
      <w:r w:rsidRPr="00390526">
        <w:rPr>
          <w:b/>
          <w:bCs w:val="0"/>
          <w:sz w:val="24"/>
        </w:rPr>
        <w:t xml:space="preserve">MÓNICA ARALÍ SOTO FREGOSO </w:t>
      </w:r>
    </w:p>
    <w:p w:rsidR="00390526" w:rsidRPr="00D53CF4" w:rsidRDefault="00390526" w:rsidP="003D2B2A">
      <w:pPr>
        <w:spacing w:before="0" w:after="0"/>
        <w:rPr>
          <w:sz w:val="28"/>
          <w:lang w:eastAsia="es-MX"/>
        </w:rPr>
      </w:pPr>
      <w:bookmarkStart w:id="5" w:name="_GoBack"/>
      <w:bookmarkEnd w:id="5"/>
    </w:p>
    <w:sectPr w:rsidR="00390526" w:rsidRPr="00D53CF4" w:rsidSect="00636A7C">
      <w:headerReference w:type="even" r:id="rId9"/>
      <w:headerReference w:type="default" r:id="rId10"/>
      <w:footerReference w:type="even" r:id="rId11"/>
      <w:footerReference w:type="default" r:id="rId12"/>
      <w:pgSz w:w="12240" w:h="18720" w:code="14"/>
      <w:pgMar w:top="3119" w:right="1418" w:bottom="1418" w:left="2835" w:header="2552" w:footer="709" w:gutter="0"/>
      <w:cols w:space="708"/>
      <w:titlePg/>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898" w:rsidRDefault="00923898" w:rsidP="00C6496B">
      <w:pPr>
        <w:spacing w:before="0" w:after="0" w:line="240" w:lineRule="auto"/>
      </w:pPr>
      <w:r>
        <w:separator/>
      </w:r>
    </w:p>
  </w:endnote>
  <w:endnote w:type="continuationSeparator" w:id="0">
    <w:p w:rsidR="00923898" w:rsidRDefault="00923898" w:rsidP="00C649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43904"/>
      <w:docPartObj>
        <w:docPartGallery w:val="Page Numbers (Bottom of Page)"/>
        <w:docPartUnique/>
      </w:docPartObj>
    </w:sdtPr>
    <w:sdtEndPr/>
    <w:sdtContent>
      <w:p w:rsidR="00923898" w:rsidRDefault="00923898">
        <w:pPr>
          <w:pStyle w:val="Piedepgina"/>
        </w:pPr>
        <w:r w:rsidRPr="000F77C1">
          <w:rPr>
            <w:rFonts w:ascii="Univers" w:hAnsi="Univers"/>
            <w:b/>
            <w:sz w:val="20"/>
            <w:szCs w:val="20"/>
          </w:rPr>
          <w:fldChar w:fldCharType="begin"/>
        </w:r>
        <w:r w:rsidRPr="000F77C1">
          <w:rPr>
            <w:rFonts w:ascii="Univers" w:hAnsi="Univers"/>
            <w:b/>
            <w:sz w:val="20"/>
            <w:szCs w:val="20"/>
          </w:rPr>
          <w:instrText>PAGE   \* MERGEFORMAT</w:instrText>
        </w:r>
        <w:r w:rsidRPr="000F77C1">
          <w:rPr>
            <w:rFonts w:ascii="Univers" w:hAnsi="Univers"/>
            <w:b/>
            <w:sz w:val="20"/>
            <w:szCs w:val="20"/>
          </w:rPr>
          <w:fldChar w:fldCharType="separate"/>
        </w:r>
        <w:r w:rsidR="00390526">
          <w:rPr>
            <w:rFonts w:ascii="Univers" w:hAnsi="Univers"/>
            <w:b/>
            <w:noProof/>
            <w:sz w:val="20"/>
            <w:szCs w:val="20"/>
          </w:rPr>
          <w:t>36</w:t>
        </w:r>
        <w:r w:rsidRPr="000F77C1">
          <w:rPr>
            <w:rFonts w:ascii="Univers" w:hAnsi="Univers"/>
            <w:b/>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Univers" w:hAnsi="Univers"/>
        <w:b/>
        <w:sz w:val="20"/>
        <w:szCs w:val="20"/>
      </w:rPr>
      <w:id w:val="1180930156"/>
      <w:docPartObj>
        <w:docPartGallery w:val="Page Numbers (Bottom of Page)"/>
        <w:docPartUnique/>
      </w:docPartObj>
    </w:sdtPr>
    <w:sdtEndPr/>
    <w:sdtContent>
      <w:p w:rsidR="00923898" w:rsidRPr="000F77C1" w:rsidRDefault="00923898" w:rsidP="000F6277">
        <w:pPr>
          <w:pStyle w:val="Piedepgina"/>
          <w:jc w:val="right"/>
          <w:rPr>
            <w:rFonts w:ascii="Univers" w:hAnsi="Univers"/>
            <w:b/>
            <w:sz w:val="20"/>
            <w:szCs w:val="20"/>
          </w:rPr>
        </w:pPr>
        <w:r w:rsidRPr="000F77C1">
          <w:rPr>
            <w:rFonts w:ascii="Univers" w:hAnsi="Univers"/>
            <w:b/>
            <w:sz w:val="20"/>
            <w:szCs w:val="20"/>
          </w:rPr>
          <w:fldChar w:fldCharType="begin"/>
        </w:r>
        <w:r w:rsidRPr="000F77C1">
          <w:rPr>
            <w:rFonts w:ascii="Univers" w:hAnsi="Univers"/>
            <w:b/>
            <w:sz w:val="20"/>
            <w:szCs w:val="20"/>
          </w:rPr>
          <w:instrText>PAGE   \* MERGEFORMAT</w:instrText>
        </w:r>
        <w:r w:rsidRPr="000F77C1">
          <w:rPr>
            <w:rFonts w:ascii="Univers" w:hAnsi="Univers"/>
            <w:b/>
            <w:sz w:val="20"/>
            <w:szCs w:val="20"/>
          </w:rPr>
          <w:fldChar w:fldCharType="separate"/>
        </w:r>
        <w:r w:rsidR="00390526">
          <w:rPr>
            <w:rFonts w:ascii="Univers" w:hAnsi="Univers"/>
            <w:b/>
            <w:noProof/>
            <w:sz w:val="20"/>
            <w:szCs w:val="20"/>
          </w:rPr>
          <w:t>37</w:t>
        </w:r>
        <w:r w:rsidRPr="000F77C1">
          <w:rPr>
            <w:rFonts w:ascii="Univers" w:hAnsi="Univers"/>
            <w:b/>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898" w:rsidRDefault="00923898" w:rsidP="00C6496B">
      <w:pPr>
        <w:spacing w:before="0" w:after="0" w:line="240" w:lineRule="auto"/>
      </w:pPr>
      <w:r>
        <w:separator/>
      </w:r>
    </w:p>
  </w:footnote>
  <w:footnote w:type="continuationSeparator" w:id="0">
    <w:p w:rsidR="00923898" w:rsidRDefault="00923898" w:rsidP="00C6496B">
      <w:pPr>
        <w:spacing w:before="0" w:after="0" w:line="240" w:lineRule="auto"/>
      </w:pPr>
      <w:r>
        <w:continuationSeparator/>
      </w:r>
    </w:p>
  </w:footnote>
  <w:footnote w:id="1">
    <w:p w:rsidR="00923898" w:rsidRPr="009D17E9" w:rsidRDefault="00923898">
      <w:pPr>
        <w:pStyle w:val="Textonotapie"/>
        <w:rPr>
          <w:sz w:val="24"/>
          <w:szCs w:val="24"/>
          <w:lang w:val="es-MX"/>
        </w:rPr>
      </w:pPr>
      <w:r w:rsidRPr="009D17E9">
        <w:rPr>
          <w:rStyle w:val="Refdenotaalpie"/>
          <w:sz w:val="24"/>
          <w:szCs w:val="24"/>
        </w:rPr>
        <w:footnoteRef/>
      </w:r>
      <w:r w:rsidRPr="009D17E9">
        <w:rPr>
          <w:sz w:val="24"/>
          <w:szCs w:val="24"/>
        </w:rPr>
        <w:t xml:space="preserve"> </w:t>
      </w:r>
      <w:r w:rsidRPr="00394BC9">
        <w:rPr>
          <w:sz w:val="18"/>
          <w:szCs w:val="18"/>
          <w:lang w:val="es-MX"/>
        </w:rPr>
        <w:t>En adelante PRD.</w:t>
      </w:r>
    </w:p>
  </w:footnote>
  <w:footnote w:id="2">
    <w:p w:rsidR="00923898" w:rsidRPr="009D17E9" w:rsidRDefault="00923898" w:rsidP="006E539A">
      <w:pPr>
        <w:pStyle w:val="Textonotapie"/>
        <w:rPr>
          <w:sz w:val="24"/>
          <w:szCs w:val="24"/>
          <w:lang w:val="es-MX"/>
        </w:rPr>
      </w:pPr>
      <w:r w:rsidRPr="009D17E9">
        <w:rPr>
          <w:rStyle w:val="Refdenotaalpie"/>
          <w:sz w:val="24"/>
          <w:szCs w:val="24"/>
        </w:rPr>
        <w:footnoteRef/>
      </w:r>
      <w:r w:rsidRPr="009D17E9">
        <w:rPr>
          <w:sz w:val="24"/>
          <w:szCs w:val="24"/>
        </w:rPr>
        <w:t xml:space="preserve"> </w:t>
      </w:r>
      <w:r w:rsidRPr="00394BC9">
        <w:rPr>
          <w:sz w:val="18"/>
          <w:szCs w:val="18"/>
          <w:lang w:val="es-MX"/>
        </w:rPr>
        <w:t>En Consejo Distrital.</w:t>
      </w:r>
      <w:r w:rsidRPr="009D17E9">
        <w:rPr>
          <w:sz w:val="24"/>
          <w:szCs w:val="24"/>
          <w:lang w:val="es-MX"/>
        </w:rPr>
        <w:t xml:space="preserve"> </w:t>
      </w:r>
    </w:p>
  </w:footnote>
  <w:footnote w:id="3">
    <w:p w:rsidR="00923898" w:rsidRPr="009D17E9" w:rsidRDefault="00923898" w:rsidP="006A0BC6">
      <w:pPr>
        <w:pStyle w:val="Textonotapie"/>
        <w:rPr>
          <w:b/>
          <w:bCs w:val="0"/>
          <w:sz w:val="24"/>
          <w:szCs w:val="24"/>
        </w:rPr>
      </w:pPr>
      <w:r w:rsidRPr="009D17E9">
        <w:rPr>
          <w:rStyle w:val="Refdenotaalpie"/>
          <w:sz w:val="24"/>
          <w:szCs w:val="24"/>
        </w:rPr>
        <w:footnoteRef/>
      </w:r>
      <w:r w:rsidRPr="009D17E9">
        <w:rPr>
          <w:sz w:val="24"/>
          <w:szCs w:val="24"/>
        </w:rPr>
        <w:t xml:space="preserve"> </w:t>
      </w:r>
      <w:r w:rsidRPr="000D6153">
        <w:rPr>
          <w:sz w:val="18"/>
          <w:szCs w:val="18"/>
          <w:lang w:val="es-MX"/>
        </w:rPr>
        <w:t xml:space="preserve">SUP-JDC-383/2016 y el </w:t>
      </w:r>
      <w:r w:rsidRPr="000D6153">
        <w:rPr>
          <w:rStyle w:val="detallearticulo1"/>
          <w:rFonts w:ascii="Arial" w:hAnsi="Arial"/>
          <w:color w:val="000000"/>
          <w:sz w:val="18"/>
          <w:szCs w:val="18"/>
        </w:rPr>
        <w:t>SUP-JDC-18/2017.</w:t>
      </w:r>
    </w:p>
  </w:footnote>
  <w:footnote w:id="4">
    <w:p w:rsidR="00923898" w:rsidRPr="009D17E9" w:rsidRDefault="00923898" w:rsidP="006A0BC6">
      <w:pPr>
        <w:pStyle w:val="Textonotapie"/>
        <w:rPr>
          <w:sz w:val="24"/>
          <w:szCs w:val="24"/>
          <w:lang w:val="es-MX"/>
        </w:rPr>
      </w:pPr>
      <w:r w:rsidRPr="009D17E9">
        <w:rPr>
          <w:rStyle w:val="Refdenotaalpie"/>
          <w:sz w:val="24"/>
          <w:szCs w:val="24"/>
        </w:rPr>
        <w:footnoteRef/>
      </w:r>
      <w:r w:rsidRPr="009D17E9">
        <w:rPr>
          <w:sz w:val="24"/>
          <w:szCs w:val="24"/>
        </w:rPr>
        <w:t xml:space="preserve"> </w:t>
      </w:r>
      <w:r w:rsidRPr="000D6153">
        <w:rPr>
          <w:sz w:val="18"/>
          <w:szCs w:val="18"/>
          <w:lang w:val="es-MX"/>
        </w:rPr>
        <w:t xml:space="preserve">Jurisprudencia </w:t>
      </w:r>
      <w:r w:rsidRPr="000D6153">
        <w:rPr>
          <w:sz w:val="18"/>
          <w:szCs w:val="18"/>
        </w:rPr>
        <w:t>1a./J. 22/2016</w:t>
      </w:r>
      <w:r w:rsidRPr="000D6153">
        <w:rPr>
          <w:sz w:val="18"/>
          <w:szCs w:val="18"/>
          <w:lang w:val="es-MX"/>
        </w:rPr>
        <w:t xml:space="preserve">. </w:t>
      </w:r>
      <w:r w:rsidRPr="000D6153">
        <w:rPr>
          <w:rStyle w:val="Textoennegrita"/>
          <w:sz w:val="18"/>
          <w:szCs w:val="18"/>
        </w:rPr>
        <w:t xml:space="preserve">Publicada en la Gaceta del Semanario Judicial de la Federación, </w:t>
      </w:r>
      <w:r w:rsidRPr="000D6153">
        <w:rPr>
          <w:color w:val="000000"/>
          <w:sz w:val="18"/>
          <w:szCs w:val="18"/>
        </w:rPr>
        <w:t>libro</w:t>
      </w:r>
      <w:r w:rsidRPr="000D6153">
        <w:rPr>
          <w:color w:val="000000"/>
          <w:sz w:val="18"/>
          <w:szCs w:val="18"/>
          <w:lang w:val="es-MX"/>
        </w:rPr>
        <w:t xml:space="preserve"> 29 de abril de 2016, tomo II, página 836, de rubro “ACCESO A LA JUSTICIA EN CONDICIONES DE IGUALDAD. ELEMENTOS PARA JUZGAR CON PERSPECTIVA DE GÉNERO”.</w:t>
      </w:r>
      <w:r w:rsidRPr="009D17E9">
        <w:rPr>
          <w:color w:val="000000"/>
          <w:sz w:val="24"/>
          <w:szCs w:val="24"/>
          <w:lang w:val="es-MX"/>
        </w:rPr>
        <w:t xml:space="preserve"> </w:t>
      </w:r>
    </w:p>
  </w:footnote>
  <w:footnote w:id="5">
    <w:p w:rsidR="00923898" w:rsidRPr="009D17E9" w:rsidRDefault="00923898" w:rsidP="0086776C">
      <w:pPr>
        <w:pStyle w:val="Textonotapie"/>
        <w:rPr>
          <w:rStyle w:val="Textoennegrita"/>
          <w:sz w:val="24"/>
          <w:szCs w:val="24"/>
        </w:rPr>
      </w:pPr>
      <w:r w:rsidRPr="009D17E9">
        <w:rPr>
          <w:rStyle w:val="Refdenotaalpie"/>
          <w:rFonts w:eastAsiaTheme="majorEastAsia"/>
          <w:sz w:val="24"/>
          <w:szCs w:val="24"/>
        </w:rPr>
        <w:footnoteRef/>
      </w:r>
      <w:r w:rsidRPr="009D17E9">
        <w:rPr>
          <w:sz w:val="24"/>
          <w:szCs w:val="24"/>
        </w:rPr>
        <w:t xml:space="preserve"> </w:t>
      </w:r>
      <w:r w:rsidRPr="000D6153">
        <w:rPr>
          <w:rStyle w:val="Textoennegrita"/>
          <w:sz w:val="18"/>
          <w:szCs w:val="18"/>
        </w:rPr>
        <w:t xml:space="preserve">Tesis P. XX/2015 (10a.). Publicada en la Gaceta del Semanario Judicial de la Federación, </w:t>
      </w:r>
      <w:r w:rsidRPr="000D6153">
        <w:rPr>
          <w:color w:val="000000"/>
          <w:sz w:val="18"/>
          <w:szCs w:val="18"/>
        </w:rPr>
        <w:t>libro 22, septiembre de 2015, tomo I, página 35, de rubro</w:t>
      </w:r>
      <w:r w:rsidRPr="000D6153">
        <w:rPr>
          <w:b/>
          <w:color w:val="000000"/>
          <w:sz w:val="18"/>
          <w:szCs w:val="18"/>
        </w:rPr>
        <w:t xml:space="preserve"> “</w:t>
      </w:r>
      <w:r w:rsidRPr="000D6153">
        <w:rPr>
          <w:rStyle w:val="detallearticulo1"/>
          <w:rFonts w:ascii="Arial" w:hAnsi="Arial"/>
          <w:b/>
          <w:color w:val="000000"/>
          <w:sz w:val="18"/>
          <w:szCs w:val="18"/>
        </w:rPr>
        <w:t>IMPARTICIÓN DE JUSTICIA CON PERSPECTIVA DE GÉNERO. OBLIGACIONES QUE DEBE CUMPLIR EL ESTADO MEXICANO EN LA MATERIA”.</w:t>
      </w:r>
      <w:r w:rsidRPr="009D17E9">
        <w:rPr>
          <w:rStyle w:val="detallearticulo1"/>
          <w:rFonts w:ascii="Arial" w:hAnsi="Arial"/>
          <w:b/>
          <w:color w:val="000000"/>
          <w:sz w:val="24"/>
          <w:szCs w:val="24"/>
        </w:rPr>
        <w:t xml:space="preserve"> </w:t>
      </w:r>
    </w:p>
  </w:footnote>
  <w:footnote w:id="6">
    <w:p w:rsidR="00923898" w:rsidRPr="000D6153" w:rsidRDefault="00923898" w:rsidP="0086776C">
      <w:pPr>
        <w:widowControl w:val="0"/>
        <w:autoSpaceDE w:val="0"/>
        <w:autoSpaceDN w:val="0"/>
        <w:adjustRightInd w:val="0"/>
        <w:spacing w:before="120" w:after="0" w:line="240" w:lineRule="auto"/>
        <w:rPr>
          <w:i/>
          <w:sz w:val="18"/>
          <w:szCs w:val="18"/>
          <w:lang w:val="es-ES_tradnl" w:eastAsia="es-ES_tradnl"/>
        </w:rPr>
      </w:pPr>
      <w:r w:rsidRPr="009D17E9">
        <w:rPr>
          <w:rStyle w:val="Refdenotaalpie"/>
          <w:rFonts w:eastAsiaTheme="majorEastAsia"/>
          <w:sz w:val="24"/>
          <w:szCs w:val="24"/>
        </w:rPr>
        <w:footnoteRef/>
      </w:r>
      <w:r w:rsidRPr="009D17E9">
        <w:rPr>
          <w:sz w:val="24"/>
          <w:szCs w:val="24"/>
        </w:rPr>
        <w:t xml:space="preserve"> </w:t>
      </w:r>
      <w:r w:rsidRPr="000D6153">
        <w:rPr>
          <w:b/>
          <w:sz w:val="18"/>
          <w:szCs w:val="18"/>
          <w:lang w:val="es-ES_tradnl" w:eastAsia="es-ES_tradnl"/>
        </w:rPr>
        <w:t>Artículo 5. “</w:t>
      </w:r>
      <w:r w:rsidRPr="000D6153">
        <w:rPr>
          <w:i/>
          <w:sz w:val="18"/>
          <w:szCs w:val="18"/>
          <w:lang w:val="es-ES_tradnl" w:eastAsia="es-ES_tradnl"/>
        </w:rPr>
        <w:t>Los Estados Partes tomarán todas las medidas apropiadas para:</w:t>
      </w:r>
    </w:p>
    <w:p w:rsidR="00923898" w:rsidRPr="000D6153" w:rsidRDefault="00923898" w:rsidP="0086776C">
      <w:pPr>
        <w:widowControl w:val="0"/>
        <w:autoSpaceDE w:val="0"/>
        <w:autoSpaceDN w:val="0"/>
        <w:adjustRightInd w:val="0"/>
        <w:spacing w:before="120" w:after="0" w:line="240" w:lineRule="auto"/>
        <w:rPr>
          <w:i/>
          <w:sz w:val="18"/>
          <w:szCs w:val="18"/>
          <w:lang w:val="es-ES_tradnl" w:eastAsia="es-ES_tradnl"/>
        </w:rPr>
      </w:pPr>
      <w:r w:rsidRPr="000D6153">
        <w:rPr>
          <w:i/>
          <w:sz w:val="18"/>
          <w:szCs w:val="18"/>
          <w:lang w:val="es-ES_tradnl" w:eastAsia="es-ES_tradnl"/>
        </w:rPr>
        <w:t>a)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w:t>
      </w:r>
    </w:p>
    <w:p w:rsidR="00923898" w:rsidRPr="009D17E9" w:rsidRDefault="00923898" w:rsidP="0086776C">
      <w:pPr>
        <w:widowControl w:val="0"/>
        <w:autoSpaceDE w:val="0"/>
        <w:autoSpaceDN w:val="0"/>
        <w:adjustRightInd w:val="0"/>
        <w:spacing w:before="120" w:after="0" w:line="240" w:lineRule="auto"/>
        <w:rPr>
          <w:i/>
          <w:sz w:val="24"/>
          <w:szCs w:val="24"/>
          <w:lang w:val="es-ES_tradnl" w:eastAsia="es-ES_tradnl"/>
        </w:rPr>
      </w:pPr>
      <w:r w:rsidRPr="000D6153">
        <w:rPr>
          <w:i/>
          <w:sz w:val="18"/>
          <w:szCs w:val="18"/>
          <w:lang w:val="es-ES_tradnl" w:eastAsia="es-ES_tradnl"/>
        </w:rPr>
        <w:t>b) Garantizar que la educación familiar incluya una comprensión adecuada de la maternidad como función social y el reconocimiento de la responsabilidad común de hombres y mujeres en cuanto a la educación y al desarrollo de sus hijos, en la inteligencia de que el interés de los hijos constituirá la consideración primordial en todos los casos”.</w:t>
      </w:r>
    </w:p>
  </w:footnote>
  <w:footnote w:id="7">
    <w:p w:rsidR="00923898" w:rsidRPr="009D17E9" w:rsidRDefault="00923898" w:rsidP="0086776C">
      <w:pPr>
        <w:pStyle w:val="Textonotapie"/>
        <w:rPr>
          <w:sz w:val="24"/>
          <w:szCs w:val="24"/>
          <w:lang w:val="es-MX"/>
        </w:rPr>
      </w:pPr>
      <w:r w:rsidRPr="009D17E9">
        <w:rPr>
          <w:rStyle w:val="Refdenotaalpie"/>
          <w:sz w:val="24"/>
          <w:szCs w:val="24"/>
        </w:rPr>
        <w:footnoteRef/>
      </w:r>
      <w:r w:rsidRPr="009D17E9">
        <w:rPr>
          <w:sz w:val="24"/>
          <w:szCs w:val="24"/>
        </w:rPr>
        <w:t xml:space="preserve"> </w:t>
      </w:r>
      <w:r w:rsidRPr="000D6153">
        <w:rPr>
          <w:sz w:val="18"/>
          <w:szCs w:val="18"/>
        </w:rPr>
        <w:t>Artículo 5, fracción IV, la</w:t>
      </w:r>
      <w:bookmarkStart w:id="1" w:name="LPHit1"/>
      <w:bookmarkEnd w:id="1"/>
      <w:r w:rsidRPr="000D6153">
        <w:rPr>
          <w:sz w:val="18"/>
          <w:szCs w:val="18"/>
        </w:rPr>
        <w:t xml:space="preserve"> Ley General de</w:t>
      </w:r>
      <w:bookmarkStart w:id="2" w:name="LPHit2"/>
      <w:bookmarkEnd w:id="2"/>
      <w:r w:rsidRPr="000D6153">
        <w:rPr>
          <w:sz w:val="18"/>
          <w:szCs w:val="18"/>
        </w:rPr>
        <w:t xml:space="preserve"> Acceso de las Mujeres a una Vida</w:t>
      </w:r>
      <w:bookmarkStart w:id="3" w:name="LPHit3"/>
      <w:bookmarkEnd w:id="3"/>
      <w:r w:rsidRPr="000D6153">
        <w:rPr>
          <w:sz w:val="18"/>
          <w:szCs w:val="18"/>
        </w:rPr>
        <w:t xml:space="preserve"> Libre de</w:t>
      </w:r>
      <w:bookmarkStart w:id="4" w:name="LPHit4"/>
      <w:bookmarkEnd w:id="4"/>
      <w:r w:rsidRPr="000D6153">
        <w:rPr>
          <w:sz w:val="18"/>
          <w:szCs w:val="18"/>
        </w:rPr>
        <w:t xml:space="preserve"> Violencia</w:t>
      </w:r>
      <w:r w:rsidRPr="000D6153">
        <w:rPr>
          <w:sz w:val="18"/>
          <w:szCs w:val="18"/>
          <w:lang w:val="es-MX"/>
        </w:rPr>
        <w:t>.</w:t>
      </w:r>
    </w:p>
  </w:footnote>
  <w:footnote w:id="8">
    <w:p w:rsidR="00923898" w:rsidRPr="009D17E9" w:rsidRDefault="00923898" w:rsidP="0086776C">
      <w:pPr>
        <w:pStyle w:val="Textonotapie"/>
        <w:rPr>
          <w:sz w:val="24"/>
          <w:szCs w:val="24"/>
          <w:lang w:val="es-MX"/>
        </w:rPr>
      </w:pPr>
      <w:r w:rsidRPr="009D17E9">
        <w:rPr>
          <w:rStyle w:val="Refdenotaalpie"/>
          <w:sz w:val="24"/>
          <w:szCs w:val="24"/>
        </w:rPr>
        <w:footnoteRef/>
      </w:r>
      <w:r w:rsidRPr="009D17E9">
        <w:rPr>
          <w:sz w:val="24"/>
          <w:szCs w:val="24"/>
        </w:rPr>
        <w:t xml:space="preserve"> </w:t>
      </w:r>
      <w:r w:rsidRPr="000D6153">
        <w:rPr>
          <w:sz w:val="18"/>
          <w:szCs w:val="18"/>
          <w:lang w:val="es-MX"/>
        </w:rPr>
        <w:t>Criterio sostenido en la tesis de jurisprudencia P. XX/2015, de rubro: IMPARTICIÓN DE JUSTICIA CON PERSPECTIVA DE GÉNERO. OBLIGACIONES DEL ESTADO MEXICANO EN LA MATERIA.”</w:t>
      </w:r>
    </w:p>
  </w:footnote>
  <w:footnote w:id="9">
    <w:p w:rsidR="00923898" w:rsidRPr="009D17E9" w:rsidRDefault="00923898" w:rsidP="0086776C">
      <w:pPr>
        <w:pStyle w:val="Textonotapie"/>
        <w:rPr>
          <w:sz w:val="24"/>
          <w:szCs w:val="24"/>
          <w:lang w:val="es-MX"/>
        </w:rPr>
      </w:pPr>
      <w:r w:rsidRPr="009D17E9">
        <w:rPr>
          <w:rStyle w:val="Refdenotaalpie"/>
          <w:sz w:val="24"/>
          <w:szCs w:val="24"/>
        </w:rPr>
        <w:footnoteRef/>
      </w:r>
      <w:r w:rsidRPr="009D17E9">
        <w:rPr>
          <w:sz w:val="24"/>
          <w:szCs w:val="24"/>
        </w:rPr>
        <w:t xml:space="preserve"> </w:t>
      </w:r>
      <w:r w:rsidRPr="000D6153">
        <w:rPr>
          <w:sz w:val="18"/>
          <w:szCs w:val="18"/>
          <w:lang w:val="es-MX"/>
        </w:rPr>
        <w:t xml:space="preserve">Tesis 1ª/J.22/2016 (10a), de rubro: </w:t>
      </w:r>
      <w:r w:rsidRPr="000D6153">
        <w:rPr>
          <w:rFonts w:eastAsiaTheme="minorHAnsi"/>
          <w:b/>
          <w:sz w:val="18"/>
          <w:szCs w:val="18"/>
        </w:rPr>
        <w:t>en la Jurisprudencia de rubro: “ACCESO A LA JUSTICIA EN CONDICIONES DE IGUALDAD. ELEMENTOS PARA JUZGAR CON PERSPECTIVA DE GÉNERO</w:t>
      </w:r>
      <w:r w:rsidRPr="000D6153">
        <w:rPr>
          <w:sz w:val="18"/>
          <w:szCs w:val="18"/>
          <w:lang w:val="es-MX"/>
        </w:rPr>
        <w:t>.”</w:t>
      </w:r>
    </w:p>
  </w:footnote>
  <w:footnote w:id="10">
    <w:p w:rsidR="00923898" w:rsidRPr="009D17E9" w:rsidRDefault="00923898" w:rsidP="0086776C">
      <w:pPr>
        <w:pStyle w:val="Textonotapie"/>
        <w:rPr>
          <w:sz w:val="24"/>
          <w:szCs w:val="24"/>
          <w:lang w:val="es-MX"/>
        </w:rPr>
      </w:pPr>
      <w:r w:rsidRPr="009D17E9">
        <w:rPr>
          <w:rStyle w:val="Refdenotaalpie"/>
          <w:sz w:val="24"/>
          <w:szCs w:val="24"/>
        </w:rPr>
        <w:footnoteRef/>
      </w:r>
      <w:r w:rsidRPr="009D17E9">
        <w:rPr>
          <w:sz w:val="24"/>
          <w:szCs w:val="24"/>
        </w:rPr>
        <w:t xml:space="preserve"> </w:t>
      </w:r>
      <w:r w:rsidRPr="000D6153">
        <w:rPr>
          <w:sz w:val="18"/>
          <w:szCs w:val="18"/>
          <w:lang w:val="es-MX"/>
        </w:rPr>
        <w:t xml:space="preserve">Tesis 1ª. XXVII/2017, de rubro: </w:t>
      </w:r>
      <w:r w:rsidRPr="000D6153">
        <w:rPr>
          <w:rFonts w:eastAsiaTheme="minorHAnsi"/>
          <w:b/>
          <w:sz w:val="18"/>
          <w:szCs w:val="18"/>
        </w:rPr>
        <w:t>“JUZGAR CON PERSPECTIVA DE GÉNERO. CONCEPTO, APLICABILIDAD Y METODOLOGÍA PARA CUMPLIR DICHA OBLIGACIÓN</w:t>
      </w:r>
      <w:r w:rsidRPr="000D6153">
        <w:rPr>
          <w:rFonts w:eastAsiaTheme="minorHAnsi"/>
          <w:sz w:val="18"/>
          <w:szCs w:val="18"/>
        </w:rPr>
        <w:t>.”</w:t>
      </w:r>
    </w:p>
  </w:footnote>
  <w:footnote w:id="11">
    <w:p w:rsidR="00923898" w:rsidRPr="009D17E9" w:rsidRDefault="00923898">
      <w:pPr>
        <w:pStyle w:val="Textonotapie"/>
        <w:rPr>
          <w:sz w:val="24"/>
          <w:szCs w:val="24"/>
          <w:lang w:val="es-MX"/>
        </w:rPr>
      </w:pPr>
      <w:r w:rsidRPr="009D17E9">
        <w:rPr>
          <w:rStyle w:val="Refdenotaalpie"/>
          <w:sz w:val="24"/>
          <w:szCs w:val="24"/>
        </w:rPr>
        <w:footnoteRef/>
      </w:r>
      <w:r w:rsidRPr="009D17E9">
        <w:rPr>
          <w:sz w:val="24"/>
          <w:szCs w:val="24"/>
        </w:rPr>
        <w:t xml:space="preserve"> </w:t>
      </w:r>
      <w:r w:rsidRPr="000D6153">
        <w:rPr>
          <w:sz w:val="18"/>
          <w:szCs w:val="18"/>
          <w:lang w:val="es-MX"/>
        </w:rPr>
        <w:t>SUP-JDC-383/2017.</w:t>
      </w:r>
    </w:p>
  </w:footnote>
  <w:footnote w:id="12">
    <w:p w:rsidR="00EA6FE3" w:rsidRPr="000C0F4B" w:rsidRDefault="00EA6FE3">
      <w:pPr>
        <w:pStyle w:val="Textonotapie"/>
        <w:rPr>
          <w:sz w:val="18"/>
          <w:szCs w:val="18"/>
          <w:lang w:val="es-MX"/>
        </w:rPr>
      </w:pPr>
      <w:r>
        <w:rPr>
          <w:rStyle w:val="Refdenotaalpie"/>
        </w:rPr>
        <w:footnoteRef/>
      </w:r>
      <w:r>
        <w:t xml:space="preserve">  </w:t>
      </w:r>
      <w:r w:rsidR="00B72782" w:rsidRPr="000C0F4B">
        <w:rPr>
          <w:sz w:val="18"/>
          <w:szCs w:val="18"/>
        </w:rPr>
        <w:t>“</w:t>
      </w:r>
      <w:r w:rsidR="00B72782" w:rsidRPr="000C0F4B">
        <w:rPr>
          <w:b/>
          <w:bCs w:val="0"/>
          <w:color w:val="000000"/>
          <w:sz w:val="18"/>
          <w:szCs w:val="18"/>
          <w:shd w:val="clear" w:color="auto" w:fill="FFFFFF"/>
        </w:rPr>
        <w:t>QUEJA. PARA DETERMINAR SU IMPROCEDENCIA SE DEBE REALIZAR UN ANÁLISIS PRELIMINAR DE LOS HECHOS PARA ADVERTIR LA INEXISTENCIA DE UNA VIOLACIÓN EN MATERIA DE PROPAGANDA POLÍTICO-ELECTORAL. y</w:t>
      </w:r>
      <w:r w:rsidRPr="000C0F4B">
        <w:rPr>
          <w:sz w:val="18"/>
          <w:szCs w:val="18"/>
        </w:rPr>
        <w:t xml:space="preserve"> </w:t>
      </w:r>
      <w:r w:rsidR="00B72782" w:rsidRPr="000C0F4B">
        <w:rPr>
          <w:sz w:val="18"/>
          <w:szCs w:val="18"/>
        </w:rPr>
        <w:t>“</w:t>
      </w:r>
      <w:r w:rsidRPr="000C0F4B">
        <w:rPr>
          <w:b/>
          <w:bCs w:val="0"/>
          <w:color w:val="000000"/>
          <w:sz w:val="18"/>
          <w:szCs w:val="18"/>
          <w:shd w:val="clear" w:color="auto" w:fill="FFFFFF"/>
        </w:rPr>
        <w:t>QUEJA. PARA DETERMINAR SU IMPROCEDENCIA SE DEBE REALIZAR UN ANÁLISIS PRELIMINAR DE LOS HECHOS PARA ADVERTIR LA INEXISTENCIA DE UNA VIOLACIÓN EN MATERIA DE PROPAGANDA POLÍTICO-ELECTORAL</w:t>
      </w:r>
      <w:r w:rsidR="00B72782" w:rsidRPr="000C0F4B">
        <w:rPr>
          <w:b/>
          <w:bCs w:val="0"/>
          <w:color w:val="000000"/>
          <w:sz w:val="18"/>
          <w:szCs w:val="18"/>
          <w:shd w:val="clear" w:color="auto" w:fill="FFFFFF"/>
        </w:rPr>
        <w:t>”</w:t>
      </w:r>
      <w:r w:rsidRPr="000C0F4B">
        <w:rPr>
          <w:b/>
          <w:bCs w:val="0"/>
          <w:color w:val="000000"/>
          <w:sz w:val="18"/>
          <w:szCs w:val="18"/>
          <w:shd w:val="clear" w:color="auto" w:fill="FFFFFF"/>
        </w:rPr>
        <w:t>.</w:t>
      </w:r>
    </w:p>
  </w:footnote>
  <w:footnote w:id="13">
    <w:p w:rsidR="00923898" w:rsidRPr="000D6153" w:rsidRDefault="00923898" w:rsidP="0086776C">
      <w:pPr>
        <w:pStyle w:val="Textonotapie"/>
        <w:rPr>
          <w:sz w:val="18"/>
          <w:szCs w:val="18"/>
        </w:rPr>
      </w:pPr>
      <w:r w:rsidRPr="009D17E9">
        <w:rPr>
          <w:rStyle w:val="Refdenotaalpie"/>
          <w:sz w:val="24"/>
          <w:szCs w:val="24"/>
        </w:rPr>
        <w:footnoteRef/>
      </w:r>
      <w:r w:rsidRPr="009D17E9">
        <w:rPr>
          <w:sz w:val="24"/>
          <w:szCs w:val="24"/>
        </w:rPr>
        <w:t xml:space="preserve"> </w:t>
      </w:r>
      <w:r w:rsidRPr="000D6153">
        <w:rPr>
          <w:b/>
          <w:sz w:val="18"/>
          <w:szCs w:val="18"/>
        </w:rPr>
        <w:t>Artículo 41.</w:t>
      </w:r>
      <w:r w:rsidRPr="000D6153">
        <w:rPr>
          <w:sz w:val="18"/>
          <w:szCs w:val="18"/>
        </w:rPr>
        <w:t xml:space="preserve"> 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w:t>
      </w:r>
    </w:p>
    <w:p w:rsidR="00923898" w:rsidRPr="000D6153" w:rsidRDefault="00923898" w:rsidP="0086776C">
      <w:pPr>
        <w:pStyle w:val="Textonotapie"/>
        <w:rPr>
          <w:sz w:val="18"/>
          <w:szCs w:val="18"/>
        </w:rPr>
      </w:pPr>
      <w:r w:rsidRPr="000D6153">
        <w:rPr>
          <w:sz w:val="18"/>
          <w:szCs w:val="18"/>
        </w:rPr>
        <w:t>[…]</w:t>
      </w:r>
    </w:p>
    <w:p w:rsidR="00923898" w:rsidRPr="000D6153" w:rsidRDefault="00923898" w:rsidP="0086776C">
      <w:pPr>
        <w:pStyle w:val="Textonotapie"/>
        <w:rPr>
          <w:sz w:val="18"/>
          <w:szCs w:val="18"/>
        </w:rPr>
      </w:pPr>
      <w:r w:rsidRPr="000D6153">
        <w:rPr>
          <w:b/>
          <w:sz w:val="18"/>
          <w:szCs w:val="18"/>
        </w:rPr>
        <w:t>Apartado A.</w:t>
      </w:r>
      <w:r w:rsidRPr="000D6153">
        <w:rPr>
          <w:sz w:val="18"/>
          <w:szCs w:val="18"/>
        </w:rPr>
        <w:t xml:space="preserve"> El Instituto Nacional Electoral es un organismo público autónomo dotado de personalidad jurídica y patrimonio propios, en cuya integración participan el Poder Legislativo de la Unión, los partidos políticos nacionales y los ciudadanos, en los términos que ordene la ley. En el ejercicio de esta función estatal, la certeza, legalidad, independencia, imparcialidad, máxima publicidad y objetividad serán principios rectores.</w:t>
      </w:r>
    </w:p>
    <w:p w:rsidR="00923898" w:rsidRPr="009D17E9" w:rsidRDefault="00923898" w:rsidP="0086776C">
      <w:pPr>
        <w:pStyle w:val="Textonotapie"/>
        <w:rPr>
          <w:sz w:val="24"/>
          <w:szCs w:val="24"/>
          <w:lang w:val="es-419"/>
        </w:rPr>
      </w:pPr>
      <w:r w:rsidRPr="000D6153">
        <w:rPr>
          <w:sz w:val="18"/>
          <w:szCs w:val="18"/>
        </w:rPr>
        <w:t>[…]</w:t>
      </w:r>
    </w:p>
  </w:footnote>
  <w:footnote w:id="14">
    <w:p w:rsidR="00923898" w:rsidRPr="009D17E9" w:rsidRDefault="00923898" w:rsidP="0086776C">
      <w:pPr>
        <w:pStyle w:val="Textonotapie"/>
        <w:rPr>
          <w:sz w:val="24"/>
          <w:szCs w:val="24"/>
          <w:lang w:val="es-MX"/>
        </w:rPr>
      </w:pPr>
      <w:r w:rsidRPr="009D17E9">
        <w:rPr>
          <w:rStyle w:val="Refdenotaalpie"/>
          <w:sz w:val="24"/>
          <w:szCs w:val="24"/>
        </w:rPr>
        <w:footnoteRef/>
      </w:r>
      <w:r w:rsidRPr="009D17E9">
        <w:rPr>
          <w:sz w:val="24"/>
          <w:szCs w:val="24"/>
        </w:rPr>
        <w:t xml:space="preserve"> </w:t>
      </w:r>
      <w:r w:rsidRPr="000D6153">
        <w:rPr>
          <w:bCs w:val="0"/>
          <w:sz w:val="18"/>
          <w:szCs w:val="18"/>
        </w:rPr>
        <w:t>Gaceta de Jurisprudencia y Tesis en materia electoral, Tribunal Electoral del Poder Judicial de la Federación, Año 9, Número 19, 2016, páginas 35 y 36.</w:t>
      </w:r>
    </w:p>
  </w:footnote>
  <w:footnote w:id="15">
    <w:p w:rsidR="00923898" w:rsidRPr="009D17E9" w:rsidRDefault="00923898" w:rsidP="0086776C">
      <w:pPr>
        <w:pStyle w:val="Textonotapie"/>
        <w:rPr>
          <w:sz w:val="24"/>
          <w:szCs w:val="24"/>
          <w:lang w:val="es-MX"/>
        </w:rPr>
      </w:pPr>
      <w:r w:rsidRPr="009D17E9">
        <w:rPr>
          <w:rStyle w:val="Refdenotaalpie"/>
          <w:sz w:val="24"/>
          <w:szCs w:val="24"/>
        </w:rPr>
        <w:footnoteRef/>
      </w:r>
      <w:r w:rsidRPr="009D17E9">
        <w:rPr>
          <w:sz w:val="24"/>
          <w:szCs w:val="24"/>
        </w:rPr>
        <w:t xml:space="preserve"> </w:t>
      </w:r>
      <w:r w:rsidRPr="000D6153">
        <w:rPr>
          <w:bCs w:val="0"/>
          <w:sz w:val="18"/>
          <w:szCs w:val="18"/>
        </w:rPr>
        <w:t>Gaceta de Jurisprudencia y Tesis en materia electoral, Tribunal Electoral del Poder Judicial de la Federación, Año 3, Número 5, 2010, páginas 39 y 40.</w:t>
      </w:r>
    </w:p>
  </w:footnote>
  <w:footnote w:id="16">
    <w:p w:rsidR="00180FE3" w:rsidRPr="009D17E9" w:rsidRDefault="00180FE3">
      <w:pPr>
        <w:pStyle w:val="Textonotapie"/>
        <w:rPr>
          <w:sz w:val="24"/>
          <w:szCs w:val="24"/>
          <w:lang w:val="es-MX"/>
        </w:rPr>
      </w:pPr>
      <w:r w:rsidRPr="009D17E9">
        <w:rPr>
          <w:rStyle w:val="Refdenotaalpie"/>
          <w:sz w:val="24"/>
          <w:szCs w:val="24"/>
        </w:rPr>
        <w:footnoteRef/>
      </w:r>
      <w:r w:rsidRPr="009D17E9">
        <w:rPr>
          <w:sz w:val="24"/>
          <w:szCs w:val="24"/>
        </w:rPr>
        <w:t xml:space="preserve"> </w:t>
      </w:r>
      <w:r w:rsidRPr="000D6153">
        <w:rPr>
          <w:sz w:val="18"/>
          <w:szCs w:val="18"/>
          <w:lang w:val="es-MX"/>
        </w:rPr>
        <w:t xml:space="preserve">Suprema Corte de Justicia de la Nación, </w:t>
      </w:r>
      <w:r w:rsidRPr="000D6153">
        <w:rPr>
          <w:i/>
          <w:sz w:val="18"/>
          <w:szCs w:val="18"/>
          <w:lang w:val="es-MX"/>
        </w:rPr>
        <w:t>Protocolo para Juzgar con Perspectiva de Género</w:t>
      </w:r>
      <w:r w:rsidRPr="000D6153">
        <w:rPr>
          <w:sz w:val="18"/>
          <w:szCs w:val="18"/>
          <w:lang w:val="es-MX"/>
        </w:rPr>
        <w:t>, México, 2013, páginas 48 y 49.</w:t>
      </w:r>
    </w:p>
  </w:footnote>
  <w:footnote w:id="17">
    <w:p w:rsidR="00390526" w:rsidRDefault="00390526" w:rsidP="00390526">
      <w:pPr>
        <w:pStyle w:val="Textonotapie"/>
        <w:rPr>
          <w:rFonts w:asciiTheme="minorHAnsi" w:hAnsiTheme="minorHAnsi" w:cstheme="minorBidi"/>
          <w:bCs w:val="0"/>
          <w:sz w:val="20"/>
          <w:szCs w:val="20"/>
          <w:lang w:val="es-MX"/>
        </w:rPr>
      </w:pPr>
      <w:r>
        <w:rPr>
          <w:rStyle w:val="Refdenotaalpie"/>
        </w:rPr>
        <w:footnoteRef/>
      </w:r>
      <w:r>
        <w:t xml:space="preserve"> De rubro: “</w:t>
      </w:r>
      <w:r>
        <w:rPr>
          <w:bCs w:val="0"/>
        </w:rPr>
        <w:t xml:space="preserve">VIOLENCIA POLÍTICA POR RAZONES DE GÉNERO. LAS AUTORIDADES ELECTORALES ESTÁN OBLIGADAS A EVITAR LA AFECTACIÓN DE DERECHOS POLÍTICOS ELECTORALES”, consultable en </w:t>
      </w:r>
      <w:r>
        <w:rPr>
          <w:bCs w:val="0"/>
          <w:i/>
        </w:rPr>
        <w:t>Gaceta de Jurisprudencia y Tesis en materia electoral</w:t>
      </w:r>
      <w:r>
        <w:rPr>
          <w:bCs w:val="0"/>
        </w:rPr>
        <w:t>, Tribunal Electoral del Poder Judicial de la Federación, Año 9, Número 19, 2016, páginas 47, 48 y 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898" w:rsidRDefault="00923898" w:rsidP="000F77C1">
    <w:pPr>
      <w:pStyle w:val="Encabezado"/>
      <w:jc w:val="left"/>
      <w:rPr>
        <w:rFonts w:ascii="Univers" w:hAnsi="Univers"/>
        <w:b/>
        <w:sz w:val="24"/>
        <w:szCs w:val="24"/>
      </w:rPr>
    </w:pPr>
    <w:r w:rsidRPr="000F6277">
      <w:rPr>
        <w:rFonts w:ascii="Univers" w:hAnsi="Univers"/>
        <w:b/>
        <w:sz w:val="24"/>
        <w:szCs w:val="24"/>
      </w:rPr>
      <w:t>SUP-REP-</w:t>
    </w:r>
    <w:r>
      <w:rPr>
        <w:rFonts w:ascii="Univers" w:hAnsi="Univers"/>
        <w:b/>
        <w:sz w:val="24"/>
        <w:szCs w:val="24"/>
      </w:rPr>
      <w:t>250/2018</w:t>
    </w:r>
  </w:p>
  <w:p w:rsidR="00923898" w:rsidRDefault="00923898" w:rsidP="000F77C1">
    <w:pPr>
      <w:pStyle w:val="Encabezado"/>
      <w:jc w:val="left"/>
      <w:rPr>
        <w:rFonts w:ascii="Univers" w:hAnsi="Univers"/>
        <w:b/>
        <w:sz w:val="24"/>
        <w:szCs w:val="24"/>
      </w:rPr>
    </w:pPr>
  </w:p>
  <w:p w:rsidR="00923898" w:rsidRPr="000F6277" w:rsidRDefault="00923898" w:rsidP="000F77C1">
    <w:pPr>
      <w:pStyle w:val="Encabezado"/>
      <w:jc w:val="left"/>
      <w:rPr>
        <w:rFonts w:ascii="Univers" w:hAnsi="Univers"/>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898" w:rsidRDefault="00923898" w:rsidP="000F6277">
    <w:pPr>
      <w:pStyle w:val="Encabezado"/>
      <w:jc w:val="right"/>
      <w:rPr>
        <w:rFonts w:ascii="Univers" w:hAnsi="Univers"/>
        <w:b/>
        <w:sz w:val="24"/>
        <w:szCs w:val="24"/>
      </w:rPr>
    </w:pPr>
    <w:r w:rsidRPr="000F6277">
      <w:rPr>
        <w:rFonts w:ascii="Univers" w:hAnsi="Univers"/>
        <w:b/>
        <w:sz w:val="24"/>
        <w:szCs w:val="24"/>
      </w:rPr>
      <w:t>SUP-REP-</w:t>
    </w:r>
    <w:r>
      <w:rPr>
        <w:rFonts w:ascii="Univers" w:hAnsi="Univers"/>
        <w:b/>
        <w:sz w:val="24"/>
        <w:szCs w:val="24"/>
      </w:rPr>
      <w:t>250</w:t>
    </w:r>
    <w:r w:rsidRPr="000F6277">
      <w:rPr>
        <w:rFonts w:ascii="Univers" w:hAnsi="Univers"/>
        <w:b/>
        <w:sz w:val="24"/>
        <w:szCs w:val="24"/>
      </w:rPr>
      <w:t>/2</w:t>
    </w:r>
    <w:r>
      <w:rPr>
        <w:rFonts w:ascii="Univers" w:hAnsi="Univers"/>
        <w:b/>
        <w:sz w:val="24"/>
        <w:szCs w:val="24"/>
      </w:rPr>
      <w:t>018</w:t>
    </w:r>
  </w:p>
  <w:p w:rsidR="00923898" w:rsidRDefault="00923898" w:rsidP="000F6277">
    <w:pPr>
      <w:pStyle w:val="Encabezado"/>
      <w:jc w:val="right"/>
      <w:rPr>
        <w:rFonts w:ascii="Univers" w:hAnsi="Univers"/>
        <w:b/>
        <w:sz w:val="24"/>
        <w:szCs w:val="24"/>
      </w:rPr>
    </w:pPr>
  </w:p>
  <w:p w:rsidR="00923898" w:rsidRPr="000F6277" w:rsidRDefault="00923898" w:rsidP="000F6277">
    <w:pPr>
      <w:pStyle w:val="Encabezado"/>
      <w:jc w:val="right"/>
      <w:rPr>
        <w:rFonts w:ascii="Univers" w:hAnsi="Univers"/>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A84107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A72CC8"/>
    <w:multiLevelType w:val="hybridMultilevel"/>
    <w:tmpl w:val="86F28540"/>
    <w:lvl w:ilvl="0" w:tplc="3DA8C9A0">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A12B50"/>
    <w:multiLevelType w:val="multilevel"/>
    <w:tmpl w:val="0E2E4554"/>
    <w:lvl w:ilvl="0">
      <w:start w:val="1"/>
      <w:numFmt w:val="bullet"/>
      <w:lvlText w:val=""/>
      <w:lvlJc w:val="left"/>
      <w:pPr>
        <w:ind w:left="1068" w:hanging="360"/>
      </w:pPr>
      <w:rPr>
        <w:rFonts w:ascii="Symbol" w:hAnsi="Symbol" w:hint="default"/>
      </w:rPr>
    </w:lvl>
    <w:lvl w:ilvl="1">
      <w:start w:val="1"/>
      <w:numFmt w:val="bullet"/>
      <w:lvlText w:val="o"/>
      <w:lvlJc w:val="left"/>
      <w:pPr>
        <w:ind w:left="1482" w:hanging="51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 w15:restartNumberingAfterBreak="0">
    <w:nsid w:val="08235F44"/>
    <w:multiLevelType w:val="hybridMultilevel"/>
    <w:tmpl w:val="21366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7B6CAD"/>
    <w:multiLevelType w:val="multilevel"/>
    <w:tmpl w:val="25CED3A6"/>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A9C4111"/>
    <w:multiLevelType w:val="hybridMultilevel"/>
    <w:tmpl w:val="3788B73E"/>
    <w:lvl w:ilvl="0" w:tplc="08EA3D3A">
      <w:start w:val="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0E2A9C"/>
    <w:multiLevelType w:val="multilevel"/>
    <w:tmpl w:val="D34A638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FF479D4"/>
    <w:multiLevelType w:val="multilevel"/>
    <w:tmpl w:val="28F800E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04A7BCE"/>
    <w:multiLevelType w:val="hybridMultilevel"/>
    <w:tmpl w:val="2D929E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380C92"/>
    <w:multiLevelType w:val="hybridMultilevel"/>
    <w:tmpl w:val="D9A4F1C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0" w15:restartNumberingAfterBreak="0">
    <w:nsid w:val="21B30A53"/>
    <w:multiLevelType w:val="multilevel"/>
    <w:tmpl w:val="0E2E4554"/>
    <w:lvl w:ilvl="0">
      <w:start w:val="1"/>
      <w:numFmt w:val="bullet"/>
      <w:lvlText w:val=""/>
      <w:lvlJc w:val="left"/>
      <w:pPr>
        <w:ind w:left="1068" w:hanging="360"/>
      </w:pPr>
      <w:rPr>
        <w:rFonts w:ascii="Symbol" w:hAnsi="Symbol" w:hint="default"/>
      </w:rPr>
    </w:lvl>
    <w:lvl w:ilvl="1">
      <w:start w:val="1"/>
      <w:numFmt w:val="bullet"/>
      <w:lvlText w:val="o"/>
      <w:lvlJc w:val="left"/>
      <w:pPr>
        <w:ind w:left="1482" w:hanging="51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1" w15:restartNumberingAfterBreak="0">
    <w:nsid w:val="26890277"/>
    <w:multiLevelType w:val="hybridMultilevel"/>
    <w:tmpl w:val="26620478"/>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12" w15:restartNumberingAfterBreak="0">
    <w:nsid w:val="2CA14792"/>
    <w:multiLevelType w:val="hybridMultilevel"/>
    <w:tmpl w:val="EBCA3C16"/>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310B2C0D"/>
    <w:multiLevelType w:val="multilevel"/>
    <w:tmpl w:val="5AA6035A"/>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7045735"/>
    <w:multiLevelType w:val="hybridMultilevel"/>
    <w:tmpl w:val="24CAB0C6"/>
    <w:lvl w:ilvl="0" w:tplc="D6B69614">
      <w:start w:val="2"/>
      <w:numFmt w:val="bullet"/>
      <w:lvlText w:val="•"/>
      <w:lvlJc w:val="left"/>
      <w:pPr>
        <w:ind w:left="1219" w:hanging="510"/>
      </w:pPr>
      <w:rPr>
        <w:rFonts w:ascii="Univers" w:eastAsia="Times New Roman" w:hAnsi="Univers"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5" w15:restartNumberingAfterBreak="0">
    <w:nsid w:val="375E51C4"/>
    <w:multiLevelType w:val="hybridMultilevel"/>
    <w:tmpl w:val="3D461D34"/>
    <w:lvl w:ilvl="0" w:tplc="2BC22BA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8D75078"/>
    <w:multiLevelType w:val="hybridMultilevel"/>
    <w:tmpl w:val="7EA04976"/>
    <w:lvl w:ilvl="0" w:tplc="7D0E0A7C">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8606CE"/>
    <w:multiLevelType w:val="hybridMultilevel"/>
    <w:tmpl w:val="9F807A6A"/>
    <w:lvl w:ilvl="0" w:tplc="9384A6DA">
      <w:start w:val="2"/>
      <w:numFmt w:val="lowerLetter"/>
      <w:lvlText w:val="%1)"/>
      <w:lvlJc w:val="left"/>
      <w:pPr>
        <w:ind w:left="177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A86873"/>
    <w:multiLevelType w:val="hybridMultilevel"/>
    <w:tmpl w:val="49A801A0"/>
    <w:lvl w:ilvl="0" w:tplc="DCC4FE08">
      <w:start w:val="3"/>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3F1F45FA"/>
    <w:multiLevelType w:val="hybridMultilevel"/>
    <w:tmpl w:val="0F20B464"/>
    <w:lvl w:ilvl="0" w:tplc="E55A6382">
      <w:start w:val="6"/>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0" w15:restartNumberingAfterBreak="0">
    <w:nsid w:val="409D0811"/>
    <w:multiLevelType w:val="hybridMultilevel"/>
    <w:tmpl w:val="465EE056"/>
    <w:lvl w:ilvl="0" w:tplc="A78AD98A">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CD5961"/>
    <w:multiLevelType w:val="hybridMultilevel"/>
    <w:tmpl w:val="53FA1E4E"/>
    <w:lvl w:ilvl="0" w:tplc="080A0017">
      <w:start w:val="1"/>
      <w:numFmt w:val="lowerLetter"/>
      <w:lvlText w:val="%1)"/>
      <w:lvlJc w:val="left"/>
      <w:pPr>
        <w:ind w:left="720" w:hanging="360"/>
      </w:pPr>
      <w:rPr>
        <w:rFonts w:hint="default"/>
        <w:b/>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C47C25"/>
    <w:multiLevelType w:val="hybridMultilevel"/>
    <w:tmpl w:val="436286BC"/>
    <w:lvl w:ilvl="0" w:tplc="F97EFF7E">
      <w:start w:val="3"/>
      <w:numFmt w:val="bullet"/>
      <w:lvlText w:val="-"/>
      <w:lvlJc w:val="left"/>
      <w:pPr>
        <w:ind w:left="720" w:hanging="360"/>
      </w:pPr>
      <w:rPr>
        <w:rFonts w:ascii="Univers" w:eastAsia="Times New Roman" w:hAnsi="Univer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C63ED9"/>
    <w:multiLevelType w:val="hybridMultilevel"/>
    <w:tmpl w:val="BBE6E5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3B4B6B"/>
    <w:multiLevelType w:val="hybridMultilevel"/>
    <w:tmpl w:val="EA86BF38"/>
    <w:lvl w:ilvl="0" w:tplc="DCB83D16">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B11918"/>
    <w:multiLevelType w:val="hybridMultilevel"/>
    <w:tmpl w:val="D5AA930A"/>
    <w:lvl w:ilvl="0" w:tplc="2B4AFEC0">
      <w:start w:val="5"/>
      <w:numFmt w:val="bullet"/>
      <w:lvlText w:val=""/>
      <w:lvlJc w:val="left"/>
      <w:pPr>
        <w:ind w:left="1778" w:hanging="360"/>
      </w:pPr>
      <w:rPr>
        <w:rFonts w:ascii="Symbol" w:eastAsia="Times New Roman" w:hAnsi="Symbol" w:cs="Aria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6" w15:restartNumberingAfterBreak="0">
    <w:nsid w:val="4F0949E0"/>
    <w:multiLevelType w:val="hybridMultilevel"/>
    <w:tmpl w:val="494663D4"/>
    <w:lvl w:ilvl="0" w:tplc="6A941EC2">
      <w:start w:val="7"/>
      <w:numFmt w:val="bullet"/>
      <w:lvlText w:val=""/>
      <w:lvlJc w:val="left"/>
      <w:pPr>
        <w:ind w:left="1778" w:hanging="360"/>
      </w:pPr>
      <w:rPr>
        <w:rFonts w:ascii="Symbol" w:eastAsia="Times New Roman" w:hAnsi="Symbol" w:cs="Aria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7" w15:restartNumberingAfterBreak="0">
    <w:nsid w:val="4F9A1B64"/>
    <w:multiLevelType w:val="hybridMultilevel"/>
    <w:tmpl w:val="546C4D6A"/>
    <w:lvl w:ilvl="0" w:tplc="019069F8">
      <w:start w:val="1"/>
      <w:numFmt w:val="decimal"/>
      <w:lvlText w:val="%1."/>
      <w:lvlJc w:val="left"/>
      <w:pPr>
        <w:ind w:left="2771" w:hanging="360"/>
      </w:pPr>
      <w:rPr>
        <w:rFonts w:ascii="Arial" w:hAnsi="Arial" w:cs="Arial" w:hint="default"/>
        <w:b w:val="0"/>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F10D03"/>
    <w:multiLevelType w:val="hybridMultilevel"/>
    <w:tmpl w:val="D96825F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2DC0F76"/>
    <w:multiLevelType w:val="multilevel"/>
    <w:tmpl w:val="0E2E4554"/>
    <w:lvl w:ilvl="0">
      <w:start w:val="1"/>
      <w:numFmt w:val="bullet"/>
      <w:lvlText w:val=""/>
      <w:lvlJc w:val="left"/>
      <w:pPr>
        <w:ind w:left="720" w:hanging="360"/>
      </w:pPr>
      <w:rPr>
        <w:rFonts w:ascii="Symbol" w:hAnsi="Symbol" w:hint="default"/>
      </w:rPr>
    </w:lvl>
    <w:lvl w:ilvl="1">
      <w:start w:val="1"/>
      <w:numFmt w:val="bullet"/>
      <w:lvlText w:val="o"/>
      <w:lvlJc w:val="left"/>
      <w:pPr>
        <w:ind w:left="1134" w:hanging="51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EF6150"/>
    <w:multiLevelType w:val="hybridMultilevel"/>
    <w:tmpl w:val="0756EA7A"/>
    <w:lvl w:ilvl="0" w:tplc="5A3657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A06B5F"/>
    <w:multiLevelType w:val="hybridMultilevel"/>
    <w:tmpl w:val="61FA1ADA"/>
    <w:lvl w:ilvl="0" w:tplc="080A0013">
      <w:start w:val="1"/>
      <w:numFmt w:val="upperRoman"/>
      <w:lvlText w:val="%1."/>
      <w:lvlJc w:val="right"/>
      <w:pPr>
        <w:ind w:left="720" w:hanging="360"/>
      </w:pPr>
      <w:rPr>
        <w:b/>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E73D65"/>
    <w:multiLevelType w:val="multilevel"/>
    <w:tmpl w:val="0E2E4554"/>
    <w:lvl w:ilvl="0">
      <w:start w:val="1"/>
      <w:numFmt w:val="bullet"/>
      <w:lvlText w:val=""/>
      <w:lvlJc w:val="left"/>
      <w:pPr>
        <w:ind w:left="720" w:hanging="360"/>
      </w:pPr>
      <w:rPr>
        <w:rFonts w:ascii="Symbol" w:hAnsi="Symbol" w:hint="default"/>
      </w:rPr>
    </w:lvl>
    <w:lvl w:ilvl="1">
      <w:start w:val="1"/>
      <w:numFmt w:val="bullet"/>
      <w:lvlText w:val="o"/>
      <w:lvlJc w:val="left"/>
      <w:pPr>
        <w:ind w:left="1134" w:hanging="51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921AA3"/>
    <w:multiLevelType w:val="hybridMultilevel"/>
    <w:tmpl w:val="314CA92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15:restartNumberingAfterBreak="0">
    <w:nsid w:val="5DEB5BCC"/>
    <w:multiLevelType w:val="hybridMultilevel"/>
    <w:tmpl w:val="C340F2EE"/>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5" w15:restartNumberingAfterBreak="0">
    <w:nsid w:val="64445025"/>
    <w:multiLevelType w:val="hybridMultilevel"/>
    <w:tmpl w:val="C544577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9A246D"/>
    <w:multiLevelType w:val="hybridMultilevel"/>
    <w:tmpl w:val="3AF40208"/>
    <w:lvl w:ilvl="0" w:tplc="DB6EBDE6">
      <w:start w:val="2"/>
      <w:numFmt w:val="lowerLetter"/>
      <w:lvlText w:val="%1)"/>
      <w:lvlJc w:val="left"/>
      <w:pPr>
        <w:ind w:left="177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B721DF"/>
    <w:multiLevelType w:val="hybridMultilevel"/>
    <w:tmpl w:val="5CBAAC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E91EAB"/>
    <w:multiLevelType w:val="hybridMultilevel"/>
    <w:tmpl w:val="F9A6DEA6"/>
    <w:lvl w:ilvl="0" w:tplc="CC382BC0">
      <w:start w:val="1"/>
      <w:numFmt w:val="lowerLetter"/>
      <w:lvlText w:val="%1)"/>
      <w:lvlJc w:val="left"/>
      <w:pPr>
        <w:ind w:left="1778" w:hanging="360"/>
      </w:pPr>
      <w:rPr>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9" w15:restartNumberingAfterBreak="0">
    <w:nsid w:val="72A908A3"/>
    <w:multiLevelType w:val="hybridMultilevel"/>
    <w:tmpl w:val="BF02614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90304E"/>
    <w:multiLevelType w:val="hybridMultilevel"/>
    <w:tmpl w:val="14D47258"/>
    <w:lvl w:ilvl="0" w:tplc="FE5839A6">
      <w:start w:val="1"/>
      <w:numFmt w:val="lowerRoman"/>
      <w:lvlText w:val="%1)"/>
      <w:lvlJc w:val="left"/>
      <w:pPr>
        <w:ind w:left="644" w:hanging="360"/>
      </w:pPr>
      <w:rPr>
        <w:rFonts w:hint="default"/>
        <w:b/>
        <w:i/>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1" w15:restartNumberingAfterBreak="0">
    <w:nsid w:val="7A0E4FDA"/>
    <w:multiLevelType w:val="hybridMultilevel"/>
    <w:tmpl w:val="47D63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294A1C"/>
    <w:multiLevelType w:val="hybridMultilevel"/>
    <w:tmpl w:val="D7627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B3093E"/>
    <w:multiLevelType w:val="hybridMultilevel"/>
    <w:tmpl w:val="12E67BEA"/>
    <w:lvl w:ilvl="0" w:tplc="BFA6FEB6">
      <w:start w:val="5"/>
      <w:numFmt w:val="bullet"/>
      <w:lvlText w:val="-"/>
      <w:lvlJc w:val="left"/>
      <w:pPr>
        <w:ind w:left="1211" w:hanging="360"/>
      </w:pPr>
      <w:rPr>
        <w:rFonts w:ascii="Arial" w:eastAsia="Times New Roman" w:hAnsi="Aria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44" w15:restartNumberingAfterBreak="0">
    <w:nsid w:val="7F9126FB"/>
    <w:multiLevelType w:val="hybridMultilevel"/>
    <w:tmpl w:val="DEB8D4EA"/>
    <w:lvl w:ilvl="0" w:tplc="FB70BA9E">
      <w:start w:val="5"/>
      <w:numFmt w:val="bullet"/>
      <w:lvlText w:val=""/>
      <w:lvlJc w:val="left"/>
      <w:pPr>
        <w:ind w:left="1778" w:hanging="360"/>
      </w:pPr>
      <w:rPr>
        <w:rFonts w:ascii="Symbol" w:eastAsia="Times New Roman" w:hAnsi="Symbol" w:cs="Aria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num w:numId="1">
    <w:abstractNumId w:val="38"/>
  </w:num>
  <w:num w:numId="2">
    <w:abstractNumId w:val="15"/>
  </w:num>
  <w:num w:numId="3">
    <w:abstractNumId w:val="12"/>
  </w:num>
  <w:num w:numId="4">
    <w:abstractNumId w:val="14"/>
  </w:num>
  <w:num w:numId="5">
    <w:abstractNumId w:val="19"/>
  </w:num>
  <w:num w:numId="6">
    <w:abstractNumId w:val="11"/>
  </w:num>
  <w:num w:numId="7">
    <w:abstractNumId w:val="36"/>
  </w:num>
  <w:num w:numId="8">
    <w:abstractNumId w:val="17"/>
  </w:num>
  <w:num w:numId="9">
    <w:abstractNumId w:val="26"/>
  </w:num>
  <w:num w:numId="10">
    <w:abstractNumId w:val="32"/>
  </w:num>
  <w:num w:numId="11">
    <w:abstractNumId w:val="31"/>
  </w:num>
  <w:num w:numId="12">
    <w:abstractNumId w:val="21"/>
  </w:num>
  <w:num w:numId="13">
    <w:abstractNumId w:val="27"/>
  </w:num>
  <w:num w:numId="14">
    <w:abstractNumId w:val="42"/>
  </w:num>
  <w:num w:numId="15">
    <w:abstractNumId w:val="8"/>
  </w:num>
  <w:num w:numId="16">
    <w:abstractNumId w:val="37"/>
  </w:num>
  <w:num w:numId="17">
    <w:abstractNumId w:val="39"/>
  </w:num>
  <w:num w:numId="18">
    <w:abstractNumId w:val="24"/>
  </w:num>
  <w:num w:numId="19">
    <w:abstractNumId w:val="41"/>
  </w:num>
  <w:num w:numId="20">
    <w:abstractNumId w:val="5"/>
  </w:num>
  <w:num w:numId="21">
    <w:abstractNumId w:val="0"/>
  </w:num>
  <w:num w:numId="22">
    <w:abstractNumId w:val="24"/>
  </w:num>
  <w:num w:numId="23">
    <w:abstractNumId w:val="30"/>
  </w:num>
  <w:num w:numId="24">
    <w:abstractNumId w:val="6"/>
  </w:num>
  <w:num w:numId="25">
    <w:abstractNumId w:val="1"/>
  </w:num>
  <w:num w:numId="26">
    <w:abstractNumId w:val="22"/>
  </w:num>
  <w:num w:numId="27">
    <w:abstractNumId w:val="20"/>
  </w:num>
  <w:num w:numId="28">
    <w:abstractNumId w:val="4"/>
  </w:num>
  <w:num w:numId="29">
    <w:abstractNumId w:val="9"/>
  </w:num>
  <w:num w:numId="30">
    <w:abstractNumId w:val="34"/>
  </w:num>
  <w:num w:numId="31">
    <w:abstractNumId w:val="13"/>
  </w:num>
  <w:num w:numId="32">
    <w:abstractNumId w:val="16"/>
  </w:num>
  <w:num w:numId="33">
    <w:abstractNumId w:val="7"/>
  </w:num>
  <w:num w:numId="34">
    <w:abstractNumId w:val="28"/>
  </w:num>
  <w:num w:numId="35">
    <w:abstractNumId w:val="18"/>
  </w:num>
  <w:num w:numId="36">
    <w:abstractNumId w:val="25"/>
  </w:num>
  <w:num w:numId="37">
    <w:abstractNumId w:val="44"/>
  </w:num>
  <w:num w:numId="38">
    <w:abstractNumId w:val="3"/>
  </w:num>
  <w:num w:numId="39">
    <w:abstractNumId w:val="40"/>
  </w:num>
  <w:num w:numId="40">
    <w:abstractNumId w:val="10"/>
  </w:num>
  <w:num w:numId="41">
    <w:abstractNumId w:val="33"/>
  </w:num>
  <w:num w:numId="42">
    <w:abstractNumId w:val="2"/>
  </w:num>
  <w:num w:numId="43">
    <w:abstractNumId w:val="29"/>
  </w:num>
  <w:num w:numId="44">
    <w:abstractNumId w:val="43"/>
  </w:num>
  <w:num w:numId="45">
    <w:abstractNumId w:val="35"/>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96B"/>
    <w:rsid w:val="00000A9C"/>
    <w:rsid w:val="00003582"/>
    <w:rsid w:val="000036E3"/>
    <w:rsid w:val="0001108C"/>
    <w:rsid w:val="0001111E"/>
    <w:rsid w:val="000118C9"/>
    <w:rsid w:val="00012BA6"/>
    <w:rsid w:val="00015436"/>
    <w:rsid w:val="000201CD"/>
    <w:rsid w:val="000221A1"/>
    <w:rsid w:val="000226FB"/>
    <w:rsid w:val="000250A8"/>
    <w:rsid w:val="00026231"/>
    <w:rsid w:val="00026817"/>
    <w:rsid w:val="00026B2A"/>
    <w:rsid w:val="00036C6F"/>
    <w:rsid w:val="000402D1"/>
    <w:rsid w:val="00045472"/>
    <w:rsid w:val="000457E8"/>
    <w:rsid w:val="0004647E"/>
    <w:rsid w:val="000476EA"/>
    <w:rsid w:val="000517AC"/>
    <w:rsid w:val="00051FAD"/>
    <w:rsid w:val="00052618"/>
    <w:rsid w:val="00052A72"/>
    <w:rsid w:val="00052F56"/>
    <w:rsid w:val="00055C7C"/>
    <w:rsid w:val="00057BFC"/>
    <w:rsid w:val="0006004E"/>
    <w:rsid w:val="000603A9"/>
    <w:rsid w:val="00063BD4"/>
    <w:rsid w:val="0006683A"/>
    <w:rsid w:val="000720C1"/>
    <w:rsid w:val="00073800"/>
    <w:rsid w:val="00074EF6"/>
    <w:rsid w:val="000767FF"/>
    <w:rsid w:val="00084021"/>
    <w:rsid w:val="00084B1B"/>
    <w:rsid w:val="00086F32"/>
    <w:rsid w:val="0009645D"/>
    <w:rsid w:val="000A133B"/>
    <w:rsid w:val="000B2406"/>
    <w:rsid w:val="000B73CE"/>
    <w:rsid w:val="000C0494"/>
    <w:rsid w:val="000C0F4B"/>
    <w:rsid w:val="000C2AF1"/>
    <w:rsid w:val="000C47A8"/>
    <w:rsid w:val="000C5688"/>
    <w:rsid w:val="000C5B6C"/>
    <w:rsid w:val="000C6FB1"/>
    <w:rsid w:val="000C7D2D"/>
    <w:rsid w:val="000D1C36"/>
    <w:rsid w:val="000D31EF"/>
    <w:rsid w:val="000D3356"/>
    <w:rsid w:val="000D4032"/>
    <w:rsid w:val="000D41DE"/>
    <w:rsid w:val="000D6153"/>
    <w:rsid w:val="000D63B7"/>
    <w:rsid w:val="000E4CB9"/>
    <w:rsid w:val="000E5904"/>
    <w:rsid w:val="000E5B25"/>
    <w:rsid w:val="000E6304"/>
    <w:rsid w:val="000F0A44"/>
    <w:rsid w:val="000F6212"/>
    <w:rsid w:val="000F6277"/>
    <w:rsid w:val="000F69B2"/>
    <w:rsid w:val="000F77C1"/>
    <w:rsid w:val="001041F0"/>
    <w:rsid w:val="001042A4"/>
    <w:rsid w:val="001053BC"/>
    <w:rsid w:val="0010582B"/>
    <w:rsid w:val="00105ECD"/>
    <w:rsid w:val="00111307"/>
    <w:rsid w:val="00112D3E"/>
    <w:rsid w:val="00115E67"/>
    <w:rsid w:val="001177BB"/>
    <w:rsid w:val="00120A30"/>
    <w:rsid w:val="00121A95"/>
    <w:rsid w:val="00121EBB"/>
    <w:rsid w:val="001242D1"/>
    <w:rsid w:val="00126A61"/>
    <w:rsid w:val="001309F0"/>
    <w:rsid w:val="00132728"/>
    <w:rsid w:val="00133A9C"/>
    <w:rsid w:val="001340A9"/>
    <w:rsid w:val="00135513"/>
    <w:rsid w:val="00135875"/>
    <w:rsid w:val="00135F7C"/>
    <w:rsid w:val="00137006"/>
    <w:rsid w:val="001375AA"/>
    <w:rsid w:val="00140A4C"/>
    <w:rsid w:val="00144F7D"/>
    <w:rsid w:val="0014542D"/>
    <w:rsid w:val="001470F9"/>
    <w:rsid w:val="00147DF2"/>
    <w:rsid w:val="00151265"/>
    <w:rsid w:val="00155060"/>
    <w:rsid w:val="00155C42"/>
    <w:rsid w:val="00155D4E"/>
    <w:rsid w:val="0015734C"/>
    <w:rsid w:val="00165DE5"/>
    <w:rsid w:val="00166A04"/>
    <w:rsid w:val="00167212"/>
    <w:rsid w:val="001712F6"/>
    <w:rsid w:val="001728AE"/>
    <w:rsid w:val="00172CE3"/>
    <w:rsid w:val="00174B9F"/>
    <w:rsid w:val="00175001"/>
    <w:rsid w:val="001776DE"/>
    <w:rsid w:val="00177F95"/>
    <w:rsid w:val="00180BA6"/>
    <w:rsid w:val="00180FE3"/>
    <w:rsid w:val="0018212C"/>
    <w:rsid w:val="0018693F"/>
    <w:rsid w:val="00187315"/>
    <w:rsid w:val="0018755F"/>
    <w:rsid w:val="00190488"/>
    <w:rsid w:val="00191EF0"/>
    <w:rsid w:val="00192232"/>
    <w:rsid w:val="00193DB0"/>
    <w:rsid w:val="001A449E"/>
    <w:rsid w:val="001A6779"/>
    <w:rsid w:val="001B153F"/>
    <w:rsid w:val="001B3DF0"/>
    <w:rsid w:val="001B4A27"/>
    <w:rsid w:val="001B50B1"/>
    <w:rsid w:val="001C171A"/>
    <w:rsid w:val="001C1F27"/>
    <w:rsid w:val="001C2041"/>
    <w:rsid w:val="001C2D97"/>
    <w:rsid w:val="001C4651"/>
    <w:rsid w:val="001C4C26"/>
    <w:rsid w:val="001D09FF"/>
    <w:rsid w:val="001D13A9"/>
    <w:rsid w:val="001D1D39"/>
    <w:rsid w:val="001D566D"/>
    <w:rsid w:val="001E309F"/>
    <w:rsid w:val="001E38E3"/>
    <w:rsid w:val="001E4505"/>
    <w:rsid w:val="001F30EB"/>
    <w:rsid w:val="001F4756"/>
    <w:rsid w:val="00200B84"/>
    <w:rsid w:val="00202C76"/>
    <w:rsid w:val="00204947"/>
    <w:rsid w:val="00207C86"/>
    <w:rsid w:val="00210A80"/>
    <w:rsid w:val="00211023"/>
    <w:rsid w:val="00212AEA"/>
    <w:rsid w:val="00213925"/>
    <w:rsid w:val="00214495"/>
    <w:rsid w:val="00215251"/>
    <w:rsid w:val="00215F9A"/>
    <w:rsid w:val="00217360"/>
    <w:rsid w:val="00220FD1"/>
    <w:rsid w:val="002262E4"/>
    <w:rsid w:val="0022666C"/>
    <w:rsid w:val="00230043"/>
    <w:rsid w:val="00232FC3"/>
    <w:rsid w:val="00235C2E"/>
    <w:rsid w:val="00236F8A"/>
    <w:rsid w:val="0023784A"/>
    <w:rsid w:val="00247E4F"/>
    <w:rsid w:val="00252368"/>
    <w:rsid w:val="0025640A"/>
    <w:rsid w:val="002619C0"/>
    <w:rsid w:val="0026612D"/>
    <w:rsid w:val="00267498"/>
    <w:rsid w:val="00267806"/>
    <w:rsid w:val="002737F9"/>
    <w:rsid w:val="0027384B"/>
    <w:rsid w:val="00273A4A"/>
    <w:rsid w:val="00273EF7"/>
    <w:rsid w:val="00274675"/>
    <w:rsid w:val="00274EC2"/>
    <w:rsid w:val="00281BED"/>
    <w:rsid w:val="0028242C"/>
    <w:rsid w:val="002827D4"/>
    <w:rsid w:val="00286A17"/>
    <w:rsid w:val="00292C6B"/>
    <w:rsid w:val="00294F55"/>
    <w:rsid w:val="002A3536"/>
    <w:rsid w:val="002A39D7"/>
    <w:rsid w:val="002A4908"/>
    <w:rsid w:val="002B046B"/>
    <w:rsid w:val="002B0B5C"/>
    <w:rsid w:val="002B21A6"/>
    <w:rsid w:val="002B32BB"/>
    <w:rsid w:val="002B6E8B"/>
    <w:rsid w:val="002B75CF"/>
    <w:rsid w:val="002C0C75"/>
    <w:rsid w:val="002C246D"/>
    <w:rsid w:val="002C2605"/>
    <w:rsid w:val="002C47AD"/>
    <w:rsid w:val="002C61CC"/>
    <w:rsid w:val="002C677C"/>
    <w:rsid w:val="002D079C"/>
    <w:rsid w:val="002D50DC"/>
    <w:rsid w:val="002D718D"/>
    <w:rsid w:val="002D7A06"/>
    <w:rsid w:val="002E12BC"/>
    <w:rsid w:val="002E1776"/>
    <w:rsid w:val="002E21DA"/>
    <w:rsid w:val="002E2596"/>
    <w:rsid w:val="002E665F"/>
    <w:rsid w:val="002E759E"/>
    <w:rsid w:val="002F1AF8"/>
    <w:rsid w:val="002F28B6"/>
    <w:rsid w:val="002F2B41"/>
    <w:rsid w:val="002F2CD7"/>
    <w:rsid w:val="002F34A0"/>
    <w:rsid w:val="002F5478"/>
    <w:rsid w:val="002F5B77"/>
    <w:rsid w:val="002F789E"/>
    <w:rsid w:val="003002A0"/>
    <w:rsid w:val="00302841"/>
    <w:rsid w:val="00304464"/>
    <w:rsid w:val="00311396"/>
    <w:rsid w:val="00311F38"/>
    <w:rsid w:val="0031360C"/>
    <w:rsid w:val="00313842"/>
    <w:rsid w:val="003142CD"/>
    <w:rsid w:val="00314A24"/>
    <w:rsid w:val="003153DC"/>
    <w:rsid w:val="00317236"/>
    <w:rsid w:val="00323285"/>
    <w:rsid w:val="00326E29"/>
    <w:rsid w:val="00327563"/>
    <w:rsid w:val="00335459"/>
    <w:rsid w:val="00337597"/>
    <w:rsid w:val="0034031B"/>
    <w:rsid w:val="00340B5A"/>
    <w:rsid w:val="0036036E"/>
    <w:rsid w:val="00360567"/>
    <w:rsid w:val="0036154C"/>
    <w:rsid w:val="00364AE7"/>
    <w:rsid w:val="00367C1C"/>
    <w:rsid w:val="00370FB1"/>
    <w:rsid w:val="00371631"/>
    <w:rsid w:val="00372282"/>
    <w:rsid w:val="00373124"/>
    <w:rsid w:val="00375A06"/>
    <w:rsid w:val="0037733D"/>
    <w:rsid w:val="00377593"/>
    <w:rsid w:val="00380981"/>
    <w:rsid w:val="00390526"/>
    <w:rsid w:val="00391571"/>
    <w:rsid w:val="00391DDC"/>
    <w:rsid w:val="00393068"/>
    <w:rsid w:val="00394BC9"/>
    <w:rsid w:val="003952BE"/>
    <w:rsid w:val="003967AE"/>
    <w:rsid w:val="00396E45"/>
    <w:rsid w:val="003974ED"/>
    <w:rsid w:val="003A26DB"/>
    <w:rsid w:val="003A5674"/>
    <w:rsid w:val="003A5FA7"/>
    <w:rsid w:val="003A7D2D"/>
    <w:rsid w:val="003B44F6"/>
    <w:rsid w:val="003B468A"/>
    <w:rsid w:val="003B695E"/>
    <w:rsid w:val="003B79AC"/>
    <w:rsid w:val="003C195C"/>
    <w:rsid w:val="003C2D6A"/>
    <w:rsid w:val="003C4DB7"/>
    <w:rsid w:val="003C4FD6"/>
    <w:rsid w:val="003C53BF"/>
    <w:rsid w:val="003D0E42"/>
    <w:rsid w:val="003D0F07"/>
    <w:rsid w:val="003D2B2A"/>
    <w:rsid w:val="003D35FA"/>
    <w:rsid w:val="003D4148"/>
    <w:rsid w:val="003D4864"/>
    <w:rsid w:val="003E130C"/>
    <w:rsid w:val="003E3686"/>
    <w:rsid w:val="003F0028"/>
    <w:rsid w:val="003F3E90"/>
    <w:rsid w:val="003F587B"/>
    <w:rsid w:val="003F5D47"/>
    <w:rsid w:val="003F7111"/>
    <w:rsid w:val="003F724C"/>
    <w:rsid w:val="003F7AA9"/>
    <w:rsid w:val="004010B1"/>
    <w:rsid w:val="00406B16"/>
    <w:rsid w:val="00411AEE"/>
    <w:rsid w:val="00415B81"/>
    <w:rsid w:val="00415BD0"/>
    <w:rsid w:val="00415CFB"/>
    <w:rsid w:val="00422690"/>
    <w:rsid w:val="00422B21"/>
    <w:rsid w:val="00423F98"/>
    <w:rsid w:val="004240BF"/>
    <w:rsid w:val="00424D2F"/>
    <w:rsid w:val="004254BF"/>
    <w:rsid w:val="004254CD"/>
    <w:rsid w:val="00431DC7"/>
    <w:rsid w:val="00432408"/>
    <w:rsid w:val="004324B3"/>
    <w:rsid w:val="00433F05"/>
    <w:rsid w:val="004347E3"/>
    <w:rsid w:val="0043500A"/>
    <w:rsid w:val="004451FA"/>
    <w:rsid w:val="00445F8D"/>
    <w:rsid w:val="00447E17"/>
    <w:rsid w:val="00450D5A"/>
    <w:rsid w:val="004535A1"/>
    <w:rsid w:val="00454552"/>
    <w:rsid w:val="004549A3"/>
    <w:rsid w:val="004558D2"/>
    <w:rsid w:val="00455906"/>
    <w:rsid w:val="0045623A"/>
    <w:rsid w:val="0045758D"/>
    <w:rsid w:val="00460315"/>
    <w:rsid w:val="004609A0"/>
    <w:rsid w:val="004643F2"/>
    <w:rsid w:val="00472937"/>
    <w:rsid w:val="00473FAD"/>
    <w:rsid w:val="00475122"/>
    <w:rsid w:val="00477946"/>
    <w:rsid w:val="004814D9"/>
    <w:rsid w:val="0048369A"/>
    <w:rsid w:val="00483C03"/>
    <w:rsid w:val="0048477C"/>
    <w:rsid w:val="004852FB"/>
    <w:rsid w:val="00490298"/>
    <w:rsid w:val="00493928"/>
    <w:rsid w:val="0049503B"/>
    <w:rsid w:val="00495833"/>
    <w:rsid w:val="004A052B"/>
    <w:rsid w:val="004A130E"/>
    <w:rsid w:val="004A1621"/>
    <w:rsid w:val="004A20D5"/>
    <w:rsid w:val="004A50B6"/>
    <w:rsid w:val="004A627B"/>
    <w:rsid w:val="004A73FD"/>
    <w:rsid w:val="004B1ABD"/>
    <w:rsid w:val="004B32E3"/>
    <w:rsid w:val="004B700A"/>
    <w:rsid w:val="004C0D43"/>
    <w:rsid w:val="004C1272"/>
    <w:rsid w:val="004C317E"/>
    <w:rsid w:val="004C3CC3"/>
    <w:rsid w:val="004C5665"/>
    <w:rsid w:val="004C5956"/>
    <w:rsid w:val="004C5C1E"/>
    <w:rsid w:val="004D0502"/>
    <w:rsid w:val="004D12C4"/>
    <w:rsid w:val="004D1CD9"/>
    <w:rsid w:val="004D4453"/>
    <w:rsid w:val="004D4C5A"/>
    <w:rsid w:val="004D6527"/>
    <w:rsid w:val="004E617C"/>
    <w:rsid w:val="004E6936"/>
    <w:rsid w:val="004E69AF"/>
    <w:rsid w:val="004F438D"/>
    <w:rsid w:val="004F4C6A"/>
    <w:rsid w:val="004F53DF"/>
    <w:rsid w:val="004F6814"/>
    <w:rsid w:val="004F755A"/>
    <w:rsid w:val="004F7910"/>
    <w:rsid w:val="00503326"/>
    <w:rsid w:val="00503A42"/>
    <w:rsid w:val="00505748"/>
    <w:rsid w:val="0051155E"/>
    <w:rsid w:val="00511735"/>
    <w:rsid w:val="00512132"/>
    <w:rsid w:val="005127BB"/>
    <w:rsid w:val="00514EB4"/>
    <w:rsid w:val="005206D2"/>
    <w:rsid w:val="00521546"/>
    <w:rsid w:val="00523428"/>
    <w:rsid w:val="005241E0"/>
    <w:rsid w:val="00530BE2"/>
    <w:rsid w:val="00533057"/>
    <w:rsid w:val="00534358"/>
    <w:rsid w:val="0053671A"/>
    <w:rsid w:val="00536986"/>
    <w:rsid w:val="0054161C"/>
    <w:rsid w:val="00541D19"/>
    <w:rsid w:val="0054293F"/>
    <w:rsid w:val="0054302C"/>
    <w:rsid w:val="00543FE0"/>
    <w:rsid w:val="005455C2"/>
    <w:rsid w:val="00546015"/>
    <w:rsid w:val="0055150A"/>
    <w:rsid w:val="00551565"/>
    <w:rsid w:val="00552932"/>
    <w:rsid w:val="00552B62"/>
    <w:rsid w:val="0055327E"/>
    <w:rsid w:val="005547E0"/>
    <w:rsid w:val="005567D8"/>
    <w:rsid w:val="00562482"/>
    <w:rsid w:val="00567D75"/>
    <w:rsid w:val="005703BE"/>
    <w:rsid w:val="005723E9"/>
    <w:rsid w:val="00572C98"/>
    <w:rsid w:val="00581692"/>
    <w:rsid w:val="00587D5F"/>
    <w:rsid w:val="00591544"/>
    <w:rsid w:val="0059204E"/>
    <w:rsid w:val="00592A79"/>
    <w:rsid w:val="00592D66"/>
    <w:rsid w:val="00596357"/>
    <w:rsid w:val="005971AA"/>
    <w:rsid w:val="005A3BD5"/>
    <w:rsid w:val="005A426A"/>
    <w:rsid w:val="005A51AA"/>
    <w:rsid w:val="005A72D8"/>
    <w:rsid w:val="005B1E31"/>
    <w:rsid w:val="005B240D"/>
    <w:rsid w:val="005B4BC7"/>
    <w:rsid w:val="005B5ADB"/>
    <w:rsid w:val="005C0642"/>
    <w:rsid w:val="005C0FEE"/>
    <w:rsid w:val="005C1B54"/>
    <w:rsid w:val="005C1FF0"/>
    <w:rsid w:val="005C4849"/>
    <w:rsid w:val="005C487F"/>
    <w:rsid w:val="005C7779"/>
    <w:rsid w:val="005C7B06"/>
    <w:rsid w:val="005D15BC"/>
    <w:rsid w:val="005D2C26"/>
    <w:rsid w:val="005D40DA"/>
    <w:rsid w:val="005D694D"/>
    <w:rsid w:val="005E188D"/>
    <w:rsid w:val="005E18D3"/>
    <w:rsid w:val="005E2FD2"/>
    <w:rsid w:val="005F320B"/>
    <w:rsid w:val="005F3D1A"/>
    <w:rsid w:val="005F42C9"/>
    <w:rsid w:val="005F4457"/>
    <w:rsid w:val="005F528D"/>
    <w:rsid w:val="005F5747"/>
    <w:rsid w:val="005F6049"/>
    <w:rsid w:val="00600BBD"/>
    <w:rsid w:val="00603225"/>
    <w:rsid w:val="00605757"/>
    <w:rsid w:val="006112A2"/>
    <w:rsid w:val="006114E8"/>
    <w:rsid w:val="00614BCF"/>
    <w:rsid w:val="006163AA"/>
    <w:rsid w:val="0061640E"/>
    <w:rsid w:val="00616EB2"/>
    <w:rsid w:val="00620939"/>
    <w:rsid w:val="0062306A"/>
    <w:rsid w:val="00625F5D"/>
    <w:rsid w:val="006274F1"/>
    <w:rsid w:val="00630298"/>
    <w:rsid w:val="00632A14"/>
    <w:rsid w:val="00636A7C"/>
    <w:rsid w:val="0064161E"/>
    <w:rsid w:val="006456B9"/>
    <w:rsid w:val="0065464B"/>
    <w:rsid w:val="0066039D"/>
    <w:rsid w:val="00662598"/>
    <w:rsid w:val="00663DE4"/>
    <w:rsid w:val="00665EEF"/>
    <w:rsid w:val="006739AF"/>
    <w:rsid w:val="00676380"/>
    <w:rsid w:val="00680259"/>
    <w:rsid w:val="0068414E"/>
    <w:rsid w:val="00685ED2"/>
    <w:rsid w:val="00686DC7"/>
    <w:rsid w:val="006919AA"/>
    <w:rsid w:val="00692756"/>
    <w:rsid w:val="00695628"/>
    <w:rsid w:val="00695865"/>
    <w:rsid w:val="0069681D"/>
    <w:rsid w:val="0069710E"/>
    <w:rsid w:val="006974FC"/>
    <w:rsid w:val="006A0BC6"/>
    <w:rsid w:val="006A2D2C"/>
    <w:rsid w:val="006A3876"/>
    <w:rsid w:val="006A42AF"/>
    <w:rsid w:val="006A47E1"/>
    <w:rsid w:val="006A5CCE"/>
    <w:rsid w:val="006A636E"/>
    <w:rsid w:val="006A6B94"/>
    <w:rsid w:val="006A7716"/>
    <w:rsid w:val="006A77F5"/>
    <w:rsid w:val="006B2540"/>
    <w:rsid w:val="006B3E68"/>
    <w:rsid w:val="006B5F7E"/>
    <w:rsid w:val="006B7340"/>
    <w:rsid w:val="006C699B"/>
    <w:rsid w:val="006D25D1"/>
    <w:rsid w:val="006D282F"/>
    <w:rsid w:val="006D397D"/>
    <w:rsid w:val="006D50AB"/>
    <w:rsid w:val="006D5C1D"/>
    <w:rsid w:val="006E0059"/>
    <w:rsid w:val="006E1005"/>
    <w:rsid w:val="006E539A"/>
    <w:rsid w:val="006E7695"/>
    <w:rsid w:val="006E79E9"/>
    <w:rsid w:val="006E7BF0"/>
    <w:rsid w:val="006F1317"/>
    <w:rsid w:val="006F3BC2"/>
    <w:rsid w:val="006F4506"/>
    <w:rsid w:val="006F6691"/>
    <w:rsid w:val="006F6FC0"/>
    <w:rsid w:val="00701B90"/>
    <w:rsid w:val="007027DD"/>
    <w:rsid w:val="0070333F"/>
    <w:rsid w:val="00704932"/>
    <w:rsid w:val="00705516"/>
    <w:rsid w:val="007060B3"/>
    <w:rsid w:val="00707470"/>
    <w:rsid w:val="00710EAF"/>
    <w:rsid w:val="007117ED"/>
    <w:rsid w:val="00712E31"/>
    <w:rsid w:val="00714F2C"/>
    <w:rsid w:val="00721CA9"/>
    <w:rsid w:val="0072317C"/>
    <w:rsid w:val="00724560"/>
    <w:rsid w:val="007301DE"/>
    <w:rsid w:val="00735CFA"/>
    <w:rsid w:val="0073686A"/>
    <w:rsid w:val="007376C8"/>
    <w:rsid w:val="00744DDC"/>
    <w:rsid w:val="007454FF"/>
    <w:rsid w:val="007500F7"/>
    <w:rsid w:val="0075213A"/>
    <w:rsid w:val="00765A94"/>
    <w:rsid w:val="00773F86"/>
    <w:rsid w:val="0077610C"/>
    <w:rsid w:val="007769B6"/>
    <w:rsid w:val="0079184F"/>
    <w:rsid w:val="00792077"/>
    <w:rsid w:val="00795766"/>
    <w:rsid w:val="00797864"/>
    <w:rsid w:val="007979DD"/>
    <w:rsid w:val="007A43A3"/>
    <w:rsid w:val="007A45E2"/>
    <w:rsid w:val="007A4EA8"/>
    <w:rsid w:val="007A56FE"/>
    <w:rsid w:val="007A7452"/>
    <w:rsid w:val="007A7790"/>
    <w:rsid w:val="007B2304"/>
    <w:rsid w:val="007B3E2B"/>
    <w:rsid w:val="007B5634"/>
    <w:rsid w:val="007B677F"/>
    <w:rsid w:val="007B72B4"/>
    <w:rsid w:val="007B7767"/>
    <w:rsid w:val="007C4D7E"/>
    <w:rsid w:val="007C6826"/>
    <w:rsid w:val="007D055F"/>
    <w:rsid w:val="007D17CC"/>
    <w:rsid w:val="007D1B1B"/>
    <w:rsid w:val="007D48B6"/>
    <w:rsid w:val="007D68C1"/>
    <w:rsid w:val="007D7E5A"/>
    <w:rsid w:val="007E081D"/>
    <w:rsid w:val="007E12AF"/>
    <w:rsid w:val="007E182F"/>
    <w:rsid w:val="007E2D21"/>
    <w:rsid w:val="007E4D76"/>
    <w:rsid w:val="007E5D2D"/>
    <w:rsid w:val="007F0709"/>
    <w:rsid w:val="007F152F"/>
    <w:rsid w:val="007F1C94"/>
    <w:rsid w:val="007F53F9"/>
    <w:rsid w:val="007F73EA"/>
    <w:rsid w:val="0080222A"/>
    <w:rsid w:val="00803975"/>
    <w:rsid w:val="0080613F"/>
    <w:rsid w:val="00812759"/>
    <w:rsid w:val="00815C0E"/>
    <w:rsid w:val="008201F8"/>
    <w:rsid w:val="00820F23"/>
    <w:rsid w:val="008256D8"/>
    <w:rsid w:val="00826234"/>
    <w:rsid w:val="0082707E"/>
    <w:rsid w:val="00827276"/>
    <w:rsid w:val="008318D9"/>
    <w:rsid w:val="00831A45"/>
    <w:rsid w:val="00832519"/>
    <w:rsid w:val="00832EB4"/>
    <w:rsid w:val="00834024"/>
    <w:rsid w:val="008358BF"/>
    <w:rsid w:val="00835F33"/>
    <w:rsid w:val="00836CF1"/>
    <w:rsid w:val="00837950"/>
    <w:rsid w:val="00842977"/>
    <w:rsid w:val="0084557A"/>
    <w:rsid w:val="00845E02"/>
    <w:rsid w:val="00850F2F"/>
    <w:rsid w:val="008546FC"/>
    <w:rsid w:val="0085486B"/>
    <w:rsid w:val="0085566B"/>
    <w:rsid w:val="0086018B"/>
    <w:rsid w:val="00860B69"/>
    <w:rsid w:val="008619A5"/>
    <w:rsid w:val="008640CE"/>
    <w:rsid w:val="008653D7"/>
    <w:rsid w:val="00867027"/>
    <w:rsid w:val="0086776C"/>
    <w:rsid w:val="00870699"/>
    <w:rsid w:val="008713FB"/>
    <w:rsid w:val="008728F3"/>
    <w:rsid w:val="00872C1F"/>
    <w:rsid w:val="0087676D"/>
    <w:rsid w:val="00882D72"/>
    <w:rsid w:val="00883D17"/>
    <w:rsid w:val="0088595F"/>
    <w:rsid w:val="00887689"/>
    <w:rsid w:val="00893185"/>
    <w:rsid w:val="00893B56"/>
    <w:rsid w:val="00893D52"/>
    <w:rsid w:val="00894593"/>
    <w:rsid w:val="008957F3"/>
    <w:rsid w:val="008A4AE0"/>
    <w:rsid w:val="008A5215"/>
    <w:rsid w:val="008A76FB"/>
    <w:rsid w:val="008B0635"/>
    <w:rsid w:val="008B06F7"/>
    <w:rsid w:val="008B35DD"/>
    <w:rsid w:val="008B728D"/>
    <w:rsid w:val="008C1910"/>
    <w:rsid w:val="008C21A7"/>
    <w:rsid w:val="008C4AE9"/>
    <w:rsid w:val="008C6227"/>
    <w:rsid w:val="008C78CE"/>
    <w:rsid w:val="008C7E03"/>
    <w:rsid w:val="008D0714"/>
    <w:rsid w:val="008D2819"/>
    <w:rsid w:val="008D7578"/>
    <w:rsid w:val="008D7763"/>
    <w:rsid w:val="008E45E0"/>
    <w:rsid w:val="008E4A83"/>
    <w:rsid w:val="008F1030"/>
    <w:rsid w:val="008F6EC9"/>
    <w:rsid w:val="00900CF0"/>
    <w:rsid w:val="00900ED3"/>
    <w:rsid w:val="009061D8"/>
    <w:rsid w:val="009074E1"/>
    <w:rsid w:val="0091117C"/>
    <w:rsid w:val="0091174E"/>
    <w:rsid w:val="00912330"/>
    <w:rsid w:val="009129EE"/>
    <w:rsid w:val="00916125"/>
    <w:rsid w:val="00920979"/>
    <w:rsid w:val="009210C4"/>
    <w:rsid w:val="00921A05"/>
    <w:rsid w:val="00922C30"/>
    <w:rsid w:val="009231B5"/>
    <w:rsid w:val="00923898"/>
    <w:rsid w:val="0092433D"/>
    <w:rsid w:val="00927873"/>
    <w:rsid w:val="009306DD"/>
    <w:rsid w:val="00931020"/>
    <w:rsid w:val="009318EB"/>
    <w:rsid w:val="00932365"/>
    <w:rsid w:val="00932ABD"/>
    <w:rsid w:val="0093329F"/>
    <w:rsid w:val="009356A4"/>
    <w:rsid w:val="00936032"/>
    <w:rsid w:val="009405A7"/>
    <w:rsid w:val="00943D24"/>
    <w:rsid w:val="00943E6E"/>
    <w:rsid w:val="009451F9"/>
    <w:rsid w:val="00946DB7"/>
    <w:rsid w:val="009522AD"/>
    <w:rsid w:val="00953F5E"/>
    <w:rsid w:val="00954BB5"/>
    <w:rsid w:val="00957D7A"/>
    <w:rsid w:val="00962FD7"/>
    <w:rsid w:val="0096309E"/>
    <w:rsid w:val="00965C52"/>
    <w:rsid w:val="00965E41"/>
    <w:rsid w:val="00970E8C"/>
    <w:rsid w:val="00973FAA"/>
    <w:rsid w:val="009740B9"/>
    <w:rsid w:val="00974708"/>
    <w:rsid w:val="00975FD8"/>
    <w:rsid w:val="00977A1A"/>
    <w:rsid w:val="0098652A"/>
    <w:rsid w:val="00987CD2"/>
    <w:rsid w:val="009902D2"/>
    <w:rsid w:val="00990A4E"/>
    <w:rsid w:val="00992D89"/>
    <w:rsid w:val="00992E63"/>
    <w:rsid w:val="009941FC"/>
    <w:rsid w:val="00995560"/>
    <w:rsid w:val="009962ED"/>
    <w:rsid w:val="009967E8"/>
    <w:rsid w:val="00996BED"/>
    <w:rsid w:val="009A137D"/>
    <w:rsid w:val="009A2EFF"/>
    <w:rsid w:val="009A3F6A"/>
    <w:rsid w:val="009B0135"/>
    <w:rsid w:val="009B23CA"/>
    <w:rsid w:val="009B3FCE"/>
    <w:rsid w:val="009C0BC9"/>
    <w:rsid w:val="009C1D99"/>
    <w:rsid w:val="009D0622"/>
    <w:rsid w:val="009D06B7"/>
    <w:rsid w:val="009D17E9"/>
    <w:rsid w:val="009D3006"/>
    <w:rsid w:val="009D35F6"/>
    <w:rsid w:val="009D4626"/>
    <w:rsid w:val="009D46C0"/>
    <w:rsid w:val="009E0958"/>
    <w:rsid w:val="009E2D36"/>
    <w:rsid w:val="009E3DB5"/>
    <w:rsid w:val="009E6E70"/>
    <w:rsid w:val="009F437E"/>
    <w:rsid w:val="00A03C0E"/>
    <w:rsid w:val="00A1105A"/>
    <w:rsid w:val="00A122B9"/>
    <w:rsid w:val="00A123BC"/>
    <w:rsid w:val="00A1501F"/>
    <w:rsid w:val="00A160D6"/>
    <w:rsid w:val="00A25AFC"/>
    <w:rsid w:val="00A25B96"/>
    <w:rsid w:val="00A26BE2"/>
    <w:rsid w:val="00A30662"/>
    <w:rsid w:val="00A3130A"/>
    <w:rsid w:val="00A323A9"/>
    <w:rsid w:val="00A33BB0"/>
    <w:rsid w:val="00A374F2"/>
    <w:rsid w:val="00A37907"/>
    <w:rsid w:val="00A404BC"/>
    <w:rsid w:val="00A41188"/>
    <w:rsid w:val="00A42F3A"/>
    <w:rsid w:val="00A455E5"/>
    <w:rsid w:val="00A46620"/>
    <w:rsid w:val="00A47909"/>
    <w:rsid w:val="00A51183"/>
    <w:rsid w:val="00A519A6"/>
    <w:rsid w:val="00A525F7"/>
    <w:rsid w:val="00A54AB5"/>
    <w:rsid w:val="00A552E6"/>
    <w:rsid w:val="00A62AF3"/>
    <w:rsid w:val="00A63CDE"/>
    <w:rsid w:val="00A66CD0"/>
    <w:rsid w:val="00A67A27"/>
    <w:rsid w:val="00A71CD9"/>
    <w:rsid w:val="00A747C7"/>
    <w:rsid w:val="00A749E3"/>
    <w:rsid w:val="00A76A0B"/>
    <w:rsid w:val="00A81648"/>
    <w:rsid w:val="00A830B7"/>
    <w:rsid w:val="00A87A85"/>
    <w:rsid w:val="00A97656"/>
    <w:rsid w:val="00AA50B8"/>
    <w:rsid w:val="00AB1E6D"/>
    <w:rsid w:val="00AB27E5"/>
    <w:rsid w:val="00AB598B"/>
    <w:rsid w:val="00AB7514"/>
    <w:rsid w:val="00AB7A99"/>
    <w:rsid w:val="00AC1748"/>
    <w:rsid w:val="00AC66E3"/>
    <w:rsid w:val="00AC7A14"/>
    <w:rsid w:val="00AD01AC"/>
    <w:rsid w:val="00AD563F"/>
    <w:rsid w:val="00AD68BD"/>
    <w:rsid w:val="00AE00FC"/>
    <w:rsid w:val="00AE1F5F"/>
    <w:rsid w:val="00AE2882"/>
    <w:rsid w:val="00AE2DDB"/>
    <w:rsid w:val="00AE352C"/>
    <w:rsid w:val="00AE4405"/>
    <w:rsid w:val="00AE5D3B"/>
    <w:rsid w:val="00AE6DD4"/>
    <w:rsid w:val="00AF0BCB"/>
    <w:rsid w:val="00AF2E8B"/>
    <w:rsid w:val="00AF3FD4"/>
    <w:rsid w:val="00AF494A"/>
    <w:rsid w:val="00AF5678"/>
    <w:rsid w:val="00AF65ED"/>
    <w:rsid w:val="00AF7EA0"/>
    <w:rsid w:val="00B01D09"/>
    <w:rsid w:val="00B060E0"/>
    <w:rsid w:val="00B11014"/>
    <w:rsid w:val="00B11660"/>
    <w:rsid w:val="00B119F7"/>
    <w:rsid w:val="00B21033"/>
    <w:rsid w:val="00B223DA"/>
    <w:rsid w:val="00B24F25"/>
    <w:rsid w:val="00B25E2D"/>
    <w:rsid w:val="00B267DA"/>
    <w:rsid w:val="00B31C5E"/>
    <w:rsid w:val="00B334EA"/>
    <w:rsid w:val="00B356E9"/>
    <w:rsid w:val="00B37FFD"/>
    <w:rsid w:val="00B40F4C"/>
    <w:rsid w:val="00B4526A"/>
    <w:rsid w:val="00B47AFF"/>
    <w:rsid w:val="00B515AD"/>
    <w:rsid w:val="00B51CCB"/>
    <w:rsid w:val="00B52B6F"/>
    <w:rsid w:val="00B62092"/>
    <w:rsid w:val="00B63399"/>
    <w:rsid w:val="00B645B2"/>
    <w:rsid w:val="00B647B9"/>
    <w:rsid w:val="00B67993"/>
    <w:rsid w:val="00B67DF2"/>
    <w:rsid w:val="00B704E6"/>
    <w:rsid w:val="00B7052E"/>
    <w:rsid w:val="00B719D4"/>
    <w:rsid w:val="00B725C5"/>
    <w:rsid w:val="00B72782"/>
    <w:rsid w:val="00B73469"/>
    <w:rsid w:val="00B74761"/>
    <w:rsid w:val="00B776C5"/>
    <w:rsid w:val="00B82EDA"/>
    <w:rsid w:val="00B832D5"/>
    <w:rsid w:val="00B83CA9"/>
    <w:rsid w:val="00B83FEA"/>
    <w:rsid w:val="00B862E2"/>
    <w:rsid w:val="00B8758A"/>
    <w:rsid w:val="00B9066C"/>
    <w:rsid w:val="00B92268"/>
    <w:rsid w:val="00B94528"/>
    <w:rsid w:val="00B94BCB"/>
    <w:rsid w:val="00B95298"/>
    <w:rsid w:val="00B9548E"/>
    <w:rsid w:val="00B9592B"/>
    <w:rsid w:val="00BA30B4"/>
    <w:rsid w:val="00BA4E2C"/>
    <w:rsid w:val="00BA5256"/>
    <w:rsid w:val="00BB3329"/>
    <w:rsid w:val="00BB3D7D"/>
    <w:rsid w:val="00BB549D"/>
    <w:rsid w:val="00BC3ECD"/>
    <w:rsid w:val="00BC6B5C"/>
    <w:rsid w:val="00BD09BF"/>
    <w:rsid w:val="00BD1EAE"/>
    <w:rsid w:val="00BE0D35"/>
    <w:rsid w:val="00BE212F"/>
    <w:rsid w:val="00BE2D46"/>
    <w:rsid w:val="00BE4BA2"/>
    <w:rsid w:val="00BE4D7E"/>
    <w:rsid w:val="00BE71CD"/>
    <w:rsid w:val="00BF2E32"/>
    <w:rsid w:val="00BF37D5"/>
    <w:rsid w:val="00BF3C3B"/>
    <w:rsid w:val="00BF47A7"/>
    <w:rsid w:val="00C01CEB"/>
    <w:rsid w:val="00C03A07"/>
    <w:rsid w:val="00C04107"/>
    <w:rsid w:val="00C04C31"/>
    <w:rsid w:val="00C04D90"/>
    <w:rsid w:val="00C07702"/>
    <w:rsid w:val="00C10037"/>
    <w:rsid w:val="00C13197"/>
    <w:rsid w:val="00C15D79"/>
    <w:rsid w:val="00C15E73"/>
    <w:rsid w:val="00C1638A"/>
    <w:rsid w:val="00C1693D"/>
    <w:rsid w:val="00C200DF"/>
    <w:rsid w:val="00C207FB"/>
    <w:rsid w:val="00C20A07"/>
    <w:rsid w:val="00C21508"/>
    <w:rsid w:val="00C22DE4"/>
    <w:rsid w:val="00C23F23"/>
    <w:rsid w:val="00C2457A"/>
    <w:rsid w:val="00C2484C"/>
    <w:rsid w:val="00C25274"/>
    <w:rsid w:val="00C27E5B"/>
    <w:rsid w:val="00C30DB2"/>
    <w:rsid w:val="00C335B0"/>
    <w:rsid w:val="00C3458E"/>
    <w:rsid w:val="00C3736B"/>
    <w:rsid w:val="00C37E27"/>
    <w:rsid w:val="00C40746"/>
    <w:rsid w:val="00C4117F"/>
    <w:rsid w:val="00C41565"/>
    <w:rsid w:val="00C5172A"/>
    <w:rsid w:val="00C54995"/>
    <w:rsid w:val="00C55115"/>
    <w:rsid w:val="00C55E3E"/>
    <w:rsid w:val="00C5643D"/>
    <w:rsid w:val="00C57BCA"/>
    <w:rsid w:val="00C6357D"/>
    <w:rsid w:val="00C6496B"/>
    <w:rsid w:val="00C70961"/>
    <w:rsid w:val="00C71408"/>
    <w:rsid w:val="00C719B9"/>
    <w:rsid w:val="00C758CD"/>
    <w:rsid w:val="00C76920"/>
    <w:rsid w:val="00C76C50"/>
    <w:rsid w:val="00C80B93"/>
    <w:rsid w:val="00C82530"/>
    <w:rsid w:val="00C84402"/>
    <w:rsid w:val="00C93519"/>
    <w:rsid w:val="00C96C02"/>
    <w:rsid w:val="00CA00C0"/>
    <w:rsid w:val="00CA3143"/>
    <w:rsid w:val="00CA3966"/>
    <w:rsid w:val="00CA533B"/>
    <w:rsid w:val="00CB22E2"/>
    <w:rsid w:val="00CB7F20"/>
    <w:rsid w:val="00CC0448"/>
    <w:rsid w:val="00CC1588"/>
    <w:rsid w:val="00CC21DE"/>
    <w:rsid w:val="00CC2256"/>
    <w:rsid w:val="00CC2F5A"/>
    <w:rsid w:val="00CC6B72"/>
    <w:rsid w:val="00CD16FE"/>
    <w:rsid w:val="00CD293A"/>
    <w:rsid w:val="00CD361A"/>
    <w:rsid w:val="00CD5F8B"/>
    <w:rsid w:val="00CD658B"/>
    <w:rsid w:val="00CD6849"/>
    <w:rsid w:val="00CE0E35"/>
    <w:rsid w:val="00CE261F"/>
    <w:rsid w:val="00CE39CD"/>
    <w:rsid w:val="00CF0AB8"/>
    <w:rsid w:val="00CF389E"/>
    <w:rsid w:val="00D01C8A"/>
    <w:rsid w:val="00D01D8D"/>
    <w:rsid w:val="00D03EA4"/>
    <w:rsid w:val="00D05FE4"/>
    <w:rsid w:val="00D06765"/>
    <w:rsid w:val="00D10274"/>
    <w:rsid w:val="00D10770"/>
    <w:rsid w:val="00D1541E"/>
    <w:rsid w:val="00D200B1"/>
    <w:rsid w:val="00D2084F"/>
    <w:rsid w:val="00D21FC0"/>
    <w:rsid w:val="00D227EC"/>
    <w:rsid w:val="00D22B6D"/>
    <w:rsid w:val="00D23D2B"/>
    <w:rsid w:val="00D24F95"/>
    <w:rsid w:val="00D26B4F"/>
    <w:rsid w:val="00D27D89"/>
    <w:rsid w:val="00D33C2C"/>
    <w:rsid w:val="00D34B64"/>
    <w:rsid w:val="00D358E1"/>
    <w:rsid w:val="00D3649B"/>
    <w:rsid w:val="00D3696D"/>
    <w:rsid w:val="00D4187B"/>
    <w:rsid w:val="00D43CCC"/>
    <w:rsid w:val="00D46120"/>
    <w:rsid w:val="00D465CA"/>
    <w:rsid w:val="00D52C36"/>
    <w:rsid w:val="00D53CF4"/>
    <w:rsid w:val="00D55CDD"/>
    <w:rsid w:val="00D57B00"/>
    <w:rsid w:val="00D60177"/>
    <w:rsid w:val="00D60C18"/>
    <w:rsid w:val="00D647B1"/>
    <w:rsid w:val="00D65292"/>
    <w:rsid w:val="00D655ED"/>
    <w:rsid w:val="00D74D8C"/>
    <w:rsid w:val="00D74F96"/>
    <w:rsid w:val="00D75531"/>
    <w:rsid w:val="00D81EAE"/>
    <w:rsid w:val="00D8308A"/>
    <w:rsid w:val="00D83EAC"/>
    <w:rsid w:val="00D85F2F"/>
    <w:rsid w:val="00D924AE"/>
    <w:rsid w:val="00D97AF9"/>
    <w:rsid w:val="00DA1828"/>
    <w:rsid w:val="00DA2F19"/>
    <w:rsid w:val="00DA3C6B"/>
    <w:rsid w:val="00DB09D6"/>
    <w:rsid w:val="00DB127A"/>
    <w:rsid w:val="00DB6818"/>
    <w:rsid w:val="00DC0023"/>
    <w:rsid w:val="00DC1686"/>
    <w:rsid w:val="00DC4B8C"/>
    <w:rsid w:val="00DC5456"/>
    <w:rsid w:val="00DC753A"/>
    <w:rsid w:val="00DD24EC"/>
    <w:rsid w:val="00DD2A16"/>
    <w:rsid w:val="00DD7C52"/>
    <w:rsid w:val="00DE01C3"/>
    <w:rsid w:val="00DE1D5A"/>
    <w:rsid w:val="00DE2E36"/>
    <w:rsid w:val="00DE3E60"/>
    <w:rsid w:val="00DE6E80"/>
    <w:rsid w:val="00DF0247"/>
    <w:rsid w:val="00DF13D8"/>
    <w:rsid w:val="00DF22E8"/>
    <w:rsid w:val="00DF4001"/>
    <w:rsid w:val="00DF497A"/>
    <w:rsid w:val="00E004A0"/>
    <w:rsid w:val="00E008D6"/>
    <w:rsid w:val="00E03E13"/>
    <w:rsid w:val="00E04DF1"/>
    <w:rsid w:val="00E06867"/>
    <w:rsid w:val="00E06DAF"/>
    <w:rsid w:val="00E11FEC"/>
    <w:rsid w:val="00E12247"/>
    <w:rsid w:val="00E14E22"/>
    <w:rsid w:val="00E15B6E"/>
    <w:rsid w:val="00E1738C"/>
    <w:rsid w:val="00E17FF4"/>
    <w:rsid w:val="00E20073"/>
    <w:rsid w:val="00E20265"/>
    <w:rsid w:val="00E23292"/>
    <w:rsid w:val="00E2381A"/>
    <w:rsid w:val="00E3003B"/>
    <w:rsid w:val="00E32322"/>
    <w:rsid w:val="00E342EC"/>
    <w:rsid w:val="00E35DAD"/>
    <w:rsid w:val="00E37C97"/>
    <w:rsid w:val="00E439A6"/>
    <w:rsid w:val="00E44EC5"/>
    <w:rsid w:val="00E45978"/>
    <w:rsid w:val="00E45F43"/>
    <w:rsid w:val="00E50C92"/>
    <w:rsid w:val="00E51864"/>
    <w:rsid w:val="00E51B36"/>
    <w:rsid w:val="00E538D4"/>
    <w:rsid w:val="00E56966"/>
    <w:rsid w:val="00E57094"/>
    <w:rsid w:val="00E61EE0"/>
    <w:rsid w:val="00E63DAB"/>
    <w:rsid w:val="00E66DC7"/>
    <w:rsid w:val="00E7022B"/>
    <w:rsid w:val="00E70E7B"/>
    <w:rsid w:val="00E73956"/>
    <w:rsid w:val="00E768F6"/>
    <w:rsid w:val="00E822C2"/>
    <w:rsid w:val="00E831C4"/>
    <w:rsid w:val="00E8336C"/>
    <w:rsid w:val="00E84C88"/>
    <w:rsid w:val="00E85734"/>
    <w:rsid w:val="00E8782A"/>
    <w:rsid w:val="00E963A8"/>
    <w:rsid w:val="00E97221"/>
    <w:rsid w:val="00E97EB9"/>
    <w:rsid w:val="00EA6FE3"/>
    <w:rsid w:val="00EB05A5"/>
    <w:rsid w:val="00EB1392"/>
    <w:rsid w:val="00EC00D0"/>
    <w:rsid w:val="00EC0A29"/>
    <w:rsid w:val="00EC1B65"/>
    <w:rsid w:val="00EC5999"/>
    <w:rsid w:val="00EC5ED1"/>
    <w:rsid w:val="00EC7420"/>
    <w:rsid w:val="00ED034A"/>
    <w:rsid w:val="00ED294C"/>
    <w:rsid w:val="00ED2E04"/>
    <w:rsid w:val="00ED348E"/>
    <w:rsid w:val="00ED38B6"/>
    <w:rsid w:val="00ED71A6"/>
    <w:rsid w:val="00ED73B2"/>
    <w:rsid w:val="00ED7630"/>
    <w:rsid w:val="00EF6280"/>
    <w:rsid w:val="00EF62B2"/>
    <w:rsid w:val="00EF7A5B"/>
    <w:rsid w:val="00F01D86"/>
    <w:rsid w:val="00F03AE1"/>
    <w:rsid w:val="00F04F16"/>
    <w:rsid w:val="00F05BBD"/>
    <w:rsid w:val="00F071E8"/>
    <w:rsid w:val="00F0752C"/>
    <w:rsid w:val="00F12319"/>
    <w:rsid w:val="00F125F1"/>
    <w:rsid w:val="00F12EAA"/>
    <w:rsid w:val="00F12F4F"/>
    <w:rsid w:val="00F13463"/>
    <w:rsid w:val="00F15654"/>
    <w:rsid w:val="00F215F0"/>
    <w:rsid w:val="00F22504"/>
    <w:rsid w:val="00F2299F"/>
    <w:rsid w:val="00F23783"/>
    <w:rsid w:val="00F23BA4"/>
    <w:rsid w:val="00F277FC"/>
    <w:rsid w:val="00F27A63"/>
    <w:rsid w:val="00F27BFE"/>
    <w:rsid w:val="00F27E87"/>
    <w:rsid w:val="00F30A80"/>
    <w:rsid w:val="00F318EF"/>
    <w:rsid w:val="00F31B45"/>
    <w:rsid w:val="00F3314E"/>
    <w:rsid w:val="00F3640A"/>
    <w:rsid w:val="00F3656F"/>
    <w:rsid w:val="00F416F7"/>
    <w:rsid w:val="00F50800"/>
    <w:rsid w:val="00F61B23"/>
    <w:rsid w:val="00F621D8"/>
    <w:rsid w:val="00F65E44"/>
    <w:rsid w:val="00F667A4"/>
    <w:rsid w:val="00F710CB"/>
    <w:rsid w:val="00F736A9"/>
    <w:rsid w:val="00F7560E"/>
    <w:rsid w:val="00F77423"/>
    <w:rsid w:val="00F77F76"/>
    <w:rsid w:val="00F81271"/>
    <w:rsid w:val="00F81DEF"/>
    <w:rsid w:val="00F81F83"/>
    <w:rsid w:val="00F86058"/>
    <w:rsid w:val="00F867D7"/>
    <w:rsid w:val="00F92AB0"/>
    <w:rsid w:val="00F92B29"/>
    <w:rsid w:val="00F93047"/>
    <w:rsid w:val="00F95D80"/>
    <w:rsid w:val="00FA0B4B"/>
    <w:rsid w:val="00FA2670"/>
    <w:rsid w:val="00FA2BC4"/>
    <w:rsid w:val="00FA5DF7"/>
    <w:rsid w:val="00FB06A0"/>
    <w:rsid w:val="00FB0868"/>
    <w:rsid w:val="00FB1EBD"/>
    <w:rsid w:val="00FB2E90"/>
    <w:rsid w:val="00FC0F17"/>
    <w:rsid w:val="00FC1971"/>
    <w:rsid w:val="00FC47EF"/>
    <w:rsid w:val="00FD37A9"/>
    <w:rsid w:val="00FD4DE5"/>
    <w:rsid w:val="00FE32D2"/>
    <w:rsid w:val="00FE3327"/>
    <w:rsid w:val="00FF2192"/>
    <w:rsid w:val="00FF300A"/>
    <w:rsid w:val="00FF3957"/>
    <w:rsid w:val="00FF4D62"/>
    <w:rsid w:val="00FF75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BA5F4F"/>
  <w15:chartTrackingRefBased/>
  <w15:docId w15:val="{02D4699B-E009-427A-8BB0-089EEA64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757"/>
    <w:pPr>
      <w:tabs>
        <w:tab w:val="left" w:pos="1215"/>
      </w:tabs>
      <w:spacing w:before="480" w:after="480" w:line="360" w:lineRule="auto"/>
      <w:jc w:val="both"/>
    </w:pPr>
    <w:rPr>
      <w:rFonts w:ascii="Arial" w:eastAsia="Times New Roman" w:hAnsi="Arial" w:cs="Arial"/>
      <w:bCs/>
      <w:sz w:val="27"/>
      <w:szCs w:val="28"/>
      <w:lang w:val="es-ES" w:eastAsia="es-ES"/>
    </w:rPr>
  </w:style>
  <w:style w:type="paragraph" w:styleId="Ttulo1">
    <w:name w:val="heading 1"/>
    <w:basedOn w:val="Normal"/>
    <w:next w:val="Normal"/>
    <w:link w:val="Ttulo1Car"/>
    <w:uiPriority w:val="9"/>
    <w:qFormat/>
    <w:rsid w:val="00F621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621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621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292C6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292C6B"/>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292C6B"/>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292C6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370FB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370FB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1,FA Fu?notente"/>
    <w:basedOn w:val="Normal"/>
    <w:link w:val="TextonotapieCar"/>
    <w:uiPriority w:val="99"/>
    <w:qFormat/>
    <w:rsid w:val="00C6496B"/>
    <w:pPr>
      <w:spacing w:before="120" w:after="0" w:line="240" w:lineRule="auto"/>
    </w:pPr>
    <w:rPr>
      <w:sz w:val="22"/>
      <w:szCs w:val="22"/>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6496B"/>
    <w:rPr>
      <w:rFonts w:ascii="Arial" w:eastAsia="Times New Roman" w:hAnsi="Arial" w:cs="Arial"/>
      <w:bCs/>
      <w:lang w:val="es-ES" w:eastAsia="es-ES"/>
    </w:rPr>
  </w:style>
  <w:style w:type="paragraph" w:customStyle="1" w:styleId="Apartadosentencia">
    <w:name w:val="Apartado sentencia"/>
    <w:basedOn w:val="Normal"/>
    <w:qFormat/>
    <w:rsid w:val="00C6496B"/>
    <w:pPr>
      <w:jc w:val="center"/>
    </w:pPr>
    <w:rPr>
      <w:b/>
      <w:sz w:val="24"/>
      <w:szCs w:val="22"/>
    </w:rPr>
  </w:style>
  <w:style w:type="paragraph" w:customStyle="1" w:styleId="Rubro">
    <w:name w:val="Rubro"/>
    <w:basedOn w:val="Normal"/>
    <w:qFormat/>
    <w:rsid w:val="00C6496B"/>
    <w:pPr>
      <w:spacing w:before="240" w:after="120" w:line="240" w:lineRule="auto"/>
      <w:ind w:left="4394"/>
    </w:pPr>
    <w:rPr>
      <w:b/>
      <w:caps/>
      <w:sz w:val="24"/>
      <w:szCs w:val="24"/>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ftref,julio,Ref"/>
    <w:basedOn w:val="Fuentedeprrafopredeter"/>
    <w:link w:val="4GChar"/>
    <w:uiPriority w:val="99"/>
    <w:qFormat/>
    <w:rsid w:val="00C6496B"/>
    <w:rPr>
      <w:vertAlign w:val="superscript"/>
    </w:rPr>
  </w:style>
  <w:style w:type="paragraph" w:styleId="NormalWeb">
    <w:name w:val="Normal (Web)"/>
    <w:aliases w:val="Normal (Web) Car1,Normal (Web) Car Car,Normal (Web) Car1 Car Car,Normal (Web) Car Car Car Car Car Car Car Car Car Car,Normal (Web) Car Car Car Car Car Car,Normal (Web) Car Car Car Car, Car Car Car Car, Car Car Car, Car,Car,Car Car, C, Car C"/>
    <w:basedOn w:val="Normal"/>
    <w:link w:val="NormalWebCar"/>
    <w:uiPriority w:val="99"/>
    <w:qFormat/>
    <w:rsid w:val="00C6496B"/>
    <w:pPr>
      <w:spacing w:before="100" w:beforeAutospacing="1" w:after="100" w:afterAutospacing="1" w:line="240" w:lineRule="auto"/>
      <w:jc w:val="left"/>
    </w:pPr>
    <w:rPr>
      <w:rFonts w:ascii="Times New Roman" w:hAnsi="Times New Roman"/>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 C Car"/>
    <w:basedOn w:val="Fuentedeprrafopredeter"/>
    <w:link w:val="NormalWeb"/>
    <w:uiPriority w:val="99"/>
    <w:rsid w:val="00C6496B"/>
    <w:rPr>
      <w:rFonts w:ascii="Times New Roman" w:eastAsia="Times New Roman" w:hAnsi="Times New Roman" w:cs="Arial"/>
      <w:bCs/>
      <w:sz w:val="27"/>
      <w:szCs w:val="28"/>
      <w:lang w:val="es-ES" w:eastAsia="es-ES"/>
    </w:rPr>
  </w:style>
  <w:style w:type="paragraph" w:styleId="Prrafodelista">
    <w:name w:val="List Paragraph"/>
    <w:aliases w:val="CNBV Parrafo1,Parrafo 1,Lista multicolor - Énfasis 11,Lista vistosa - Énfasis 11,Cuadrícula media 1 - Énfasis 21,Cita texto,Párrafo de lista1"/>
    <w:basedOn w:val="Normal"/>
    <w:link w:val="PrrafodelistaCar"/>
    <w:uiPriority w:val="34"/>
    <w:qFormat/>
    <w:rsid w:val="007F152F"/>
    <w:pPr>
      <w:ind w:left="720"/>
      <w:contextualSpacing/>
    </w:pPr>
  </w:style>
  <w:style w:type="paragraph" w:styleId="Textodeglobo">
    <w:name w:val="Balloon Text"/>
    <w:basedOn w:val="Normal"/>
    <w:link w:val="TextodegloboCar"/>
    <w:uiPriority w:val="99"/>
    <w:semiHidden/>
    <w:unhideWhenUsed/>
    <w:rsid w:val="00C30DB2"/>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0DB2"/>
    <w:rPr>
      <w:rFonts w:ascii="Segoe UI" w:eastAsia="Times New Roman" w:hAnsi="Segoe UI" w:cs="Segoe UI"/>
      <w:bCs/>
      <w:sz w:val="18"/>
      <w:szCs w:val="18"/>
      <w:lang w:val="es-ES" w:eastAsia="es-ES"/>
    </w:rPr>
  </w:style>
  <w:style w:type="paragraph" w:styleId="Encabezado">
    <w:name w:val="header"/>
    <w:basedOn w:val="Normal"/>
    <w:link w:val="EncabezadoCar"/>
    <w:uiPriority w:val="99"/>
    <w:unhideWhenUsed/>
    <w:rsid w:val="000F6277"/>
    <w:pPr>
      <w:tabs>
        <w:tab w:val="clear" w:pos="1215"/>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0F6277"/>
    <w:rPr>
      <w:rFonts w:ascii="Arial" w:eastAsia="Times New Roman" w:hAnsi="Arial" w:cs="Arial"/>
      <w:bCs/>
      <w:sz w:val="27"/>
      <w:szCs w:val="28"/>
      <w:lang w:val="es-ES" w:eastAsia="es-ES"/>
    </w:rPr>
  </w:style>
  <w:style w:type="paragraph" w:styleId="Piedepgina">
    <w:name w:val="footer"/>
    <w:basedOn w:val="Normal"/>
    <w:link w:val="PiedepginaCar"/>
    <w:uiPriority w:val="99"/>
    <w:unhideWhenUsed/>
    <w:rsid w:val="000F6277"/>
    <w:pPr>
      <w:tabs>
        <w:tab w:val="clear" w:pos="1215"/>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0F6277"/>
    <w:rPr>
      <w:rFonts w:ascii="Arial" w:eastAsia="Times New Roman" w:hAnsi="Arial" w:cs="Arial"/>
      <w:bCs/>
      <w:sz w:val="27"/>
      <w:szCs w:val="28"/>
      <w:lang w:val="es-ES" w:eastAsia="es-ES"/>
    </w:rPr>
  </w:style>
  <w:style w:type="table" w:styleId="Tablaconcuadrcula">
    <w:name w:val="Table Grid"/>
    <w:basedOn w:val="Tablanormal"/>
    <w:uiPriority w:val="59"/>
    <w:rsid w:val="00C2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433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00ED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500F7"/>
    <w:pPr>
      <w:tabs>
        <w:tab w:val="clear" w:pos="1215"/>
      </w:tabs>
      <w:spacing w:before="0" w:after="0" w:line="240" w:lineRule="auto"/>
    </w:pPr>
    <w:rPr>
      <w:rFonts w:asciiTheme="minorHAnsi" w:eastAsiaTheme="minorHAnsi" w:hAnsiTheme="minorHAnsi" w:cstheme="minorBidi"/>
      <w:bCs w:val="0"/>
      <w:sz w:val="22"/>
      <w:szCs w:val="22"/>
      <w:vertAlign w:val="superscript"/>
      <w:lang w:val="es-MX" w:eastAsia="en-US"/>
    </w:rPr>
  </w:style>
  <w:style w:type="character" w:customStyle="1" w:styleId="PrrafodelistaCar">
    <w:name w:val="Párrafo de lista Car"/>
    <w:aliases w:val="CNBV Parrafo1 Car,Parrafo 1 Car,Lista multicolor - Énfasis 11 Car,Lista vistosa - Énfasis 11 Car,Cuadrícula media 1 - Énfasis 21 Car,Cita texto Car,Párrafo de lista1 Car"/>
    <w:link w:val="Prrafodelista"/>
    <w:uiPriority w:val="34"/>
    <w:locked/>
    <w:rsid w:val="00FC0F17"/>
    <w:rPr>
      <w:rFonts w:ascii="Arial" w:eastAsia="Times New Roman" w:hAnsi="Arial" w:cs="Arial"/>
      <w:bCs/>
      <w:sz w:val="27"/>
      <w:szCs w:val="28"/>
      <w:lang w:val="es-ES" w:eastAsia="es-ES"/>
    </w:rPr>
  </w:style>
  <w:style w:type="character" w:customStyle="1" w:styleId="detallearticulo1">
    <w:name w:val="detallearticulo1"/>
    <w:basedOn w:val="Fuentedeprrafopredeter"/>
    <w:rsid w:val="00F86058"/>
    <w:rPr>
      <w:rFonts w:ascii="Calibri" w:hAnsi="Calibri" w:hint="default"/>
    </w:rPr>
  </w:style>
  <w:style w:type="character" w:customStyle="1" w:styleId="Ttulo1Car">
    <w:name w:val="Título 1 Car"/>
    <w:basedOn w:val="Fuentedeprrafopredeter"/>
    <w:link w:val="Ttulo1"/>
    <w:uiPriority w:val="9"/>
    <w:rsid w:val="00F621D8"/>
    <w:rPr>
      <w:rFonts w:asciiTheme="majorHAnsi" w:eastAsiaTheme="majorEastAsia" w:hAnsiTheme="majorHAnsi" w:cstheme="majorBidi"/>
      <w:bCs/>
      <w:color w:val="2E74B5" w:themeColor="accent1" w:themeShade="BF"/>
      <w:sz w:val="32"/>
      <w:szCs w:val="32"/>
      <w:lang w:val="es-ES" w:eastAsia="es-ES"/>
    </w:rPr>
  </w:style>
  <w:style w:type="paragraph" w:styleId="TtuloTDC">
    <w:name w:val="TOC Heading"/>
    <w:basedOn w:val="Ttulo1"/>
    <w:next w:val="Normal"/>
    <w:uiPriority w:val="39"/>
    <w:unhideWhenUsed/>
    <w:qFormat/>
    <w:rsid w:val="00F621D8"/>
    <w:pPr>
      <w:tabs>
        <w:tab w:val="clear" w:pos="1215"/>
      </w:tabs>
      <w:spacing w:line="259" w:lineRule="auto"/>
      <w:jc w:val="left"/>
      <w:outlineLvl w:val="9"/>
    </w:pPr>
    <w:rPr>
      <w:bCs w:val="0"/>
      <w:lang w:val="es-MX" w:eastAsia="es-MX"/>
    </w:rPr>
  </w:style>
  <w:style w:type="paragraph" w:styleId="TDC2">
    <w:name w:val="toc 2"/>
    <w:basedOn w:val="Normal"/>
    <w:next w:val="Normal"/>
    <w:autoRedefine/>
    <w:uiPriority w:val="39"/>
    <w:unhideWhenUsed/>
    <w:rsid w:val="00F621D8"/>
    <w:pPr>
      <w:tabs>
        <w:tab w:val="clear" w:pos="1215"/>
      </w:tabs>
      <w:spacing w:before="0" w:after="100" w:line="259" w:lineRule="auto"/>
      <w:ind w:left="220"/>
      <w:jc w:val="left"/>
    </w:pPr>
    <w:rPr>
      <w:rFonts w:asciiTheme="minorHAnsi" w:eastAsiaTheme="minorEastAsia" w:hAnsiTheme="minorHAnsi" w:cs="Times New Roman"/>
      <w:bCs w:val="0"/>
      <w:sz w:val="22"/>
      <w:szCs w:val="22"/>
      <w:lang w:val="es-MX" w:eastAsia="es-MX"/>
    </w:rPr>
  </w:style>
  <w:style w:type="paragraph" w:styleId="TDC1">
    <w:name w:val="toc 1"/>
    <w:basedOn w:val="Normal"/>
    <w:next w:val="Normal"/>
    <w:autoRedefine/>
    <w:uiPriority w:val="39"/>
    <w:unhideWhenUsed/>
    <w:rsid w:val="00F621D8"/>
    <w:pPr>
      <w:tabs>
        <w:tab w:val="clear" w:pos="1215"/>
      </w:tabs>
      <w:spacing w:before="0" w:after="100" w:line="259" w:lineRule="auto"/>
      <w:jc w:val="left"/>
    </w:pPr>
    <w:rPr>
      <w:rFonts w:asciiTheme="minorHAnsi" w:eastAsiaTheme="minorEastAsia" w:hAnsiTheme="minorHAnsi" w:cs="Times New Roman"/>
      <w:bCs w:val="0"/>
      <w:sz w:val="22"/>
      <w:szCs w:val="22"/>
      <w:lang w:val="es-MX" w:eastAsia="es-MX"/>
    </w:rPr>
  </w:style>
  <w:style w:type="paragraph" w:styleId="TDC3">
    <w:name w:val="toc 3"/>
    <w:basedOn w:val="Normal"/>
    <w:next w:val="Normal"/>
    <w:autoRedefine/>
    <w:uiPriority w:val="39"/>
    <w:unhideWhenUsed/>
    <w:rsid w:val="00F621D8"/>
    <w:pPr>
      <w:tabs>
        <w:tab w:val="clear" w:pos="1215"/>
      </w:tabs>
      <w:spacing w:before="0" w:after="100" w:line="259" w:lineRule="auto"/>
      <w:ind w:left="440"/>
      <w:jc w:val="left"/>
    </w:pPr>
    <w:rPr>
      <w:rFonts w:asciiTheme="minorHAnsi" w:eastAsiaTheme="minorEastAsia" w:hAnsiTheme="minorHAnsi" w:cs="Times New Roman"/>
      <w:bCs w:val="0"/>
      <w:sz w:val="22"/>
      <w:szCs w:val="22"/>
      <w:lang w:val="es-MX" w:eastAsia="es-MX"/>
    </w:rPr>
  </w:style>
  <w:style w:type="character" w:customStyle="1" w:styleId="Ttulo2Car">
    <w:name w:val="Título 2 Car"/>
    <w:basedOn w:val="Fuentedeprrafopredeter"/>
    <w:link w:val="Ttulo2"/>
    <w:uiPriority w:val="9"/>
    <w:rsid w:val="00F621D8"/>
    <w:rPr>
      <w:rFonts w:asciiTheme="majorHAnsi" w:eastAsiaTheme="majorEastAsia" w:hAnsiTheme="majorHAnsi" w:cstheme="majorBidi"/>
      <w:bCs/>
      <w:color w:val="2E74B5" w:themeColor="accent1" w:themeShade="BF"/>
      <w:sz w:val="26"/>
      <w:szCs w:val="26"/>
      <w:lang w:val="es-ES" w:eastAsia="es-ES"/>
    </w:rPr>
  </w:style>
  <w:style w:type="character" w:customStyle="1" w:styleId="Ttulo3Car">
    <w:name w:val="Título 3 Car"/>
    <w:basedOn w:val="Fuentedeprrafopredeter"/>
    <w:link w:val="Ttulo3"/>
    <w:uiPriority w:val="9"/>
    <w:rsid w:val="00F621D8"/>
    <w:rPr>
      <w:rFonts w:asciiTheme="majorHAnsi" w:eastAsiaTheme="majorEastAsia" w:hAnsiTheme="majorHAnsi" w:cstheme="majorBidi"/>
      <w:bCs/>
      <w:color w:val="1F4D78" w:themeColor="accent1" w:themeShade="7F"/>
      <w:sz w:val="24"/>
      <w:szCs w:val="24"/>
      <w:lang w:val="es-ES" w:eastAsia="es-ES"/>
    </w:rPr>
  </w:style>
  <w:style w:type="character" w:styleId="Refdecomentario">
    <w:name w:val="annotation reference"/>
    <w:basedOn w:val="Fuentedeprrafopredeter"/>
    <w:uiPriority w:val="99"/>
    <w:semiHidden/>
    <w:unhideWhenUsed/>
    <w:rsid w:val="00AE00FC"/>
    <w:rPr>
      <w:sz w:val="16"/>
      <w:szCs w:val="16"/>
    </w:rPr>
  </w:style>
  <w:style w:type="paragraph" w:styleId="Textocomentario">
    <w:name w:val="annotation text"/>
    <w:basedOn w:val="Normal"/>
    <w:link w:val="TextocomentarioCar"/>
    <w:uiPriority w:val="99"/>
    <w:semiHidden/>
    <w:unhideWhenUsed/>
    <w:rsid w:val="00AE00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00FC"/>
    <w:rPr>
      <w:rFonts w:ascii="Arial" w:eastAsia="Times New Roman" w:hAnsi="Arial" w:cs="Arial"/>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E00FC"/>
    <w:rPr>
      <w:b/>
    </w:rPr>
  </w:style>
  <w:style w:type="character" w:customStyle="1" w:styleId="AsuntodelcomentarioCar">
    <w:name w:val="Asunto del comentario Car"/>
    <w:basedOn w:val="TextocomentarioCar"/>
    <w:link w:val="Asuntodelcomentario"/>
    <w:uiPriority w:val="99"/>
    <w:semiHidden/>
    <w:rsid w:val="00AE00FC"/>
    <w:rPr>
      <w:rFonts w:ascii="Arial" w:eastAsia="Times New Roman" w:hAnsi="Arial" w:cs="Arial"/>
      <w:b/>
      <w:bCs/>
      <w:sz w:val="20"/>
      <w:szCs w:val="20"/>
      <w:lang w:val="es-ES" w:eastAsia="es-ES"/>
    </w:rPr>
  </w:style>
  <w:style w:type="table" w:customStyle="1" w:styleId="Tablaconcuadrcula3">
    <w:name w:val="Tabla con cuadrícula3"/>
    <w:basedOn w:val="Tablanormal"/>
    <w:next w:val="Tablaconcuadrcula"/>
    <w:uiPriority w:val="59"/>
    <w:rsid w:val="003F5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3F5D4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292C6B"/>
    <w:rPr>
      <w:rFonts w:asciiTheme="majorHAnsi" w:eastAsiaTheme="majorEastAsia" w:hAnsiTheme="majorHAnsi" w:cstheme="majorBidi"/>
      <w:bCs/>
      <w:i/>
      <w:iCs/>
      <w:color w:val="2E74B5" w:themeColor="accent1" w:themeShade="BF"/>
      <w:sz w:val="27"/>
      <w:szCs w:val="28"/>
      <w:lang w:val="es-ES" w:eastAsia="es-ES"/>
    </w:rPr>
  </w:style>
  <w:style w:type="character" w:customStyle="1" w:styleId="Ttulo5Car">
    <w:name w:val="Título 5 Car"/>
    <w:basedOn w:val="Fuentedeprrafopredeter"/>
    <w:link w:val="Ttulo5"/>
    <w:uiPriority w:val="9"/>
    <w:rsid w:val="00292C6B"/>
    <w:rPr>
      <w:rFonts w:asciiTheme="majorHAnsi" w:eastAsiaTheme="majorEastAsia" w:hAnsiTheme="majorHAnsi" w:cstheme="majorBidi"/>
      <w:bCs/>
      <w:color w:val="2E74B5" w:themeColor="accent1" w:themeShade="BF"/>
      <w:sz w:val="27"/>
      <w:szCs w:val="28"/>
      <w:lang w:val="es-ES" w:eastAsia="es-ES"/>
    </w:rPr>
  </w:style>
  <w:style w:type="character" w:customStyle="1" w:styleId="Ttulo6Car">
    <w:name w:val="Título 6 Car"/>
    <w:basedOn w:val="Fuentedeprrafopredeter"/>
    <w:link w:val="Ttulo6"/>
    <w:uiPriority w:val="9"/>
    <w:rsid w:val="00292C6B"/>
    <w:rPr>
      <w:rFonts w:asciiTheme="majorHAnsi" w:eastAsiaTheme="majorEastAsia" w:hAnsiTheme="majorHAnsi" w:cstheme="majorBidi"/>
      <w:bCs/>
      <w:color w:val="1F4D78" w:themeColor="accent1" w:themeShade="7F"/>
      <w:sz w:val="27"/>
      <w:szCs w:val="28"/>
      <w:lang w:val="es-ES" w:eastAsia="es-ES"/>
    </w:rPr>
  </w:style>
  <w:style w:type="character" w:customStyle="1" w:styleId="Ttulo7Car">
    <w:name w:val="Título 7 Car"/>
    <w:basedOn w:val="Fuentedeprrafopredeter"/>
    <w:link w:val="Ttulo7"/>
    <w:uiPriority w:val="9"/>
    <w:rsid w:val="00292C6B"/>
    <w:rPr>
      <w:rFonts w:asciiTheme="majorHAnsi" w:eastAsiaTheme="majorEastAsia" w:hAnsiTheme="majorHAnsi" w:cstheme="majorBidi"/>
      <w:bCs/>
      <w:i/>
      <w:iCs/>
      <w:color w:val="1F4D78" w:themeColor="accent1" w:themeShade="7F"/>
      <w:sz w:val="27"/>
      <w:szCs w:val="28"/>
      <w:lang w:val="es-ES" w:eastAsia="es-ES"/>
    </w:rPr>
  </w:style>
  <w:style w:type="character" w:customStyle="1" w:styleId="Ttulo8Car">
    <w:name w:val="Título 8 Car"/>
    <w:basedOn w:val="Fuentedeprrafopredeter"/>
    <w:link w:val="Ttulo8"/>
    <w:uiPriority w:val="9"/>
    <w:rsid w:val="00370FB1"/>
    <w:rPr>
      <w:rFonts w:asciiTheme="majorHAnsi" w:eastAsiaTheme="majorEastAsia" w:hAnsiTheme="majorHAnsi" w:cstheme="majorBidi"/>
      <w:bCs/>
      <w:color w:val="272727" w:themeColor="text1" w:themeTint="D8"/>
      <w:sz w:val="21"/>
      <w:szCs w:val="21"/>
      <w:lang w:val="es-ES" w:eastAsia="es-ES"/>
    </w:rPr>
  </w:style>
  <w:style w:type="character" w:customStyle="1" w:styleId="Ttulo9Car">
    <w:name w:val="Título 9 Car"/>
    <w:basedOn w:val="Fuentedeprrafopredeter"/>
    <w:link w:val="Ttulo9"/>
    <w:uiPriority w:val="9"/>
    <w:rsid w:val="00370FB1"/>
    <w:rPr>
      <w:rFonts w:asciiTheme="majorHAnsi" w:eastAsiaTheme="majorEastAsia" w:hAnsiTheme="majorHAnsi" w:cstheme="majorBidi"/>
      <w:bCs/>
      <w:i/>
      <w:iCs/>
      <w:color w:val="272727" w:themeColor="text1" w:themeTint="D8"/>
      <w:sz w:val="21"/>
      <w:szCs w:val="21"/>
      <w:lang w:val="es-ES" w:eastAsia="es-ES"/>
    </w:rPr>
  </w:style>
  <w:style w:type="paragraph" w:styleId="Lista">
    <w:name w:val="List"/>
    <w:basedOn w:val="Normal"/>
    <w:uiPriority w:val="99"/>
    <w:unhideWhenUsed/>
    <w:rsid w:val="004B32E3"/>
    <w:pPr>
      <w:ind w:left="283" w:hanging="283"/>
      <w:contextualSpacing/>
    </w:pPr>
  </w:style>
  <w:style w:type="paragraph" w:styleId="Lista2">
    <w:name w:val="List 2"/>
    <w:basedOn w:val="Normal"/>
    <w:uiPriority w:val="99"/>
    <w:unhideWhenUsed/>
    <w:rsid w:val="004B32E3"/>
    <w:pPr>
      <w:ind w:left="566" w:hanging="283"/>
      <w:contextualSpacing/>
    </w:pPr>
  </w:style>
  <w:style w:type="paragraph" w:styleId="Listaconvietas2">
    <w:name w:val="List Bullet 2"/>
    <w:basedOn w:val="Normal"/>
    <w:uiPriority w:val="99"/>
    <w:unhideWhenUsed/>
    <w:rsid w:val="004B32E3"/>
    <w:pPr>
      <w:numPr>
        <w:numId w:val="21"/>
      </w:numPr>
      <w:contextualSpacing/>
    </w:pPr>
  </w:style>
  <w:style w:type="paragraph" w:styleId="Continuarlista">
    <w:name w:val="List Continue"/>
    <w:basedOn w:val="Normal"/>
    <w:uiPriority w:val="99"/>
    <w:unhideWhenUsed/>
    <w:rsid w:val="004B32E3"/>
    <w:pPr>
      <w:spacing w:after="120"/>
      <w:ind w:left="283"/>
      <w:contextualSpacing/>
    </w:pPr>
  </w:style>
  <w:style w:type="paragraph" w:styleId="Descripcin">
    <w:name w:val="caption"/>
    <w:basedOn w:val="Normal"/>
    <w:next w:val="Normal"/>
    <w:uiPriority w:val="35"/>
    <w:unhideWhenUsed/>
    <w:qFormat/>
    <w:rsid w:val="004B32E3"/>
    <w:pPr>
      <w:spacing w:before="0" w:after="200" w:line="240" w:lineRule="auto"/>
    </w:pPr>
    <w:rPr>
      <w:i/>
      <w:iCs/>
      <w:color w:val="44546A" w:themeColor="text2"/>
      <w:sz w:val="18"/>
      <w:szCs w:val="18"/>
    </w:rPr>
  </w:style>
  <w:style w:type="paragraph" w:styleId="Ttulo">
    <w:name w:val="Title"/>
    <w:basedOn w:val="Normal"/>
    <w:next w:val="Normal"/>
    <w:link w:val="TtuloCar"/>
    <w:uiPriority w:val="10"/>
    <w:qFormat/>
    <w:rsid w:val="004B32E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2E3"/>
    <w:rPr>
      <w:rFonts w:asciiTheme="majorHAnsi" w:eastAsiaTheme="majorEastAsia" w:hAnsiTheme="majorHAnsi" w:cstheme="majorBidi"/>
      <w:bCs/>
      <w:spacing w:val="-10"/>
      <w:kern w:val="28"/>
      <w:sz w:val="56"/>
      <w:szCs w:val="56"/>
      <w:lang w:val="es-ES" w:eastAsia="es-ES"/>
    </w:rPr>
  </w:style>
  <w:style w:type="paragraph" w:styleId="Textoindependiente">
    <w:name w:val="Body Text"/>
    <w:basedOn w:val="Normal"/>
    <w:link w:val="TextoindependienteCar"/>
    <w:uiPriority w:val="99"/>
    <w:unhideWhenUsed/>
    <w:rsid w:val="004B32E3"/>
    <w:pPr>
      <w:spacing w:after="120"/>
    </w:pPr>
  </w:style>
  <w:style w:type="character" w:customStyle="1" w:styleId="TextoindependienteCar">
    <w:name w:val="Texto independiente Car"/>
    <w:basedOn w:val="Fuentedeprrafopredeter"/>
    <w:link w:val="Textoindependiente"/>
    <w:uiPriority w:val="99"/>
    <w:rsid w:val="004B32E3"/>
    <w:rPr>
      <w:rFonts w:ascii="Arial" w:eastAsia="Times New Roman" w:hAnsi="Arial" w:cs="Arial"/>
      <w:bCs/>
      <w:sz w:val="27"/>
      <w:szCs w:val="28"/>
      <w:lang w:val="es-ES" w:eastAsia="es-ES"/>
    </w:rPr>
  </w:style>
  <w:style w:type="paragraph" w:styleId="Sangradetextonormal">
    <w:name w:val="Body Text Indent"/>
    <w:basedOn w:val="Normal"/>
    <w:link w:val="SangradetextonormalCar"/>
    <w:uiPriority w:val="99"/>
    <w:semiHidden/>
    <w:unhideWhenUsed/>
    <w:rsid w:val="004B32E3"/>
    <w:pPr>
      <w:spacing w:after="120"/>
      <w:ind w:left="283"/>
    </w:pPr>
  </w:style>
  <w:style w:type="character" w:customStyle="1" w:styleId="SangradetextonormalCar">
    <w:name w:val="Sangría de texto normal Car"/>
    <w:basedOn w:val="Fuentedeprrafopredeter"/>
    <w:link w:val="Sangradetextonormal"/>
    <w:uiPriority w:val="99"/>
    <w:semiHidden/>
    <w:rsid w:val="004B32E3"/>
    <w:rPr>
      <w:rFonts w:ascii="Arial" w:eastAsia="Times New Roman" w:hAnsi="Arial" w:cs="Arial"/>
      <w:bCs/>
      <w:sz w:val="27"/>
      <w:szCs w:val="28"/>
      <w:lang w:val="es-ES" w:eastAsia="es-ES"/>
    </w:rPr>
  </w:style>
  <w:style w:type="paragraph" w:styleId="Textoindependienteprimerasangra2">
    <w:name w:val="Body Text First Indent 2"/>
    <w:basedOn w:val="Sangradetextonormal"/>
    <w:link w:val="Textoindependienteprimerasangra2Car"/>
    <w:uiPriority w:val="99"/>
    <w:unhideWhenUsed/>
    <w:rsid w:val="004B32E3"/>
    <w:pPr>
      <w:spacing w:after="48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B32E3"/>
    <w:rPr>
      <w:rFonts w:ascii="Arial" w:eastAsia="Times New Roman" w:hAnsi="Arial" w:cs="Arial"/>
      <w:bCs/>
      <w:sz w:val="27"/>
      <w:szCs w:val="28"/>
      <w:lang w:val="es-ES" w:eastAsia="es-ES"/>
    </w:rPr>
  </w:style>
  <w:style w:type="table" w:customStyle="1" w:styleId="Tablaconcuadrcula4">
    <w:name w:val="Tabla con cuadrícula4"/>
    <w:basedOn w:val="Tablanormal"/>
    <w:next w:val="Tablaconcuadrcula"/>
    <w:uiPriority w:val="39"/>
    <w:rsid w:val="00E76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76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E76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2F28B6"/>
    <w:rPr>
      <w:b/>
      <w:bCs/>
    </w:rPr>
  </w:style>
  <w:style w:type="paragraph" w:customStyle="1" w:styleId="TEXTOLIBRE">
    <w:name w:val="TEXTO LIBRE"/>
    <w:basedOn w:val="Normal"/>
    <w:rsid w:val="000221A1"/>
    <w:pPr>
      <w:tabs>
        <w:tab w:val="clear" w:pos="1215"/>
      </w:tabs>
      <w:spacing w:before="120" w:after="120"/>
      <w:ind w:firstLine="709"/>
    </w:pPr>
    <w:rPr>
      <w:rFonts w:ascii="Times New Roman" w:hAnsi="Times New Roman" w:cs="Times New Roman"/>
      <w:bCs w:val="0"/>
      <w:sz w:val="28"/>
      <w:szCs w:val="24"/>
    </w:rPr>
  </w:style>
  <w:style w:type="character" w:styleId="Hipervnculo">
    <w:name w:val="Hyperlink"/>
    <w:basedOn w:val="Fuentedeprrafopredeter"/>
    <w:uiPriority w:val="99"/>
    <w:unhideWhenUsed/>
    <w:rsid w:val="00473FAD"/>
    <w:rPr>
      <w:color w:val="0563C1" w:themeColor="hyperlink"/>
      <w:u w:val="single"/>
    </w:rPr>
  </w:style>
  <w:style w:type="character" w:styleId="Mencinsinresolver">
    <w:name w:val="Unresolved Mention"/>
    <w:basedOn w:val="Fuentedeprrafopredeter"/>
    <w:uiPriority w:val="99"/>
    <w:semiHidden/>
    <w:unhideWhenUsed/>
    <w:rsid w:val="00473F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353636">
      <w:bodyDiv w:val="1"/>
      <w:marLeft w:val="0"/>
      <w:marRight w:val="0"/>
      <w:marTop w:val="0"/>
      <w:marBottom w:val="0"/>
      <w:divBdr>
        <w:top w:val="none" w:sz="0" w:space="0" w:color="auto"/>
        <w:left w:val="none" w:sz="0" w:space="0" w:color="auto"/>
        <w:bottom w:val="none" w:sz="0" w:space="0" w:color="auto"/>
        <w:right w:val="none" w:sz="0" w:space="0" w:color="auto"/>
      </w:divBdr>
    </w:div>
    <w:div w:id="626936209">
      <w:bodyDiv w:val="1"/>
      <w:marLeft w:val="0"/>
      <w:marRight w:val="0"/>
      <w:marTop w:val="0"/>
      <w:marBottom w:val="0"/>
      <w:divBdr>
        <w:top w:val="none" w:sz="0" w:space="0" w:color="auto"/>
        <w:left w:val="none" w:sz="0" w:space="0" w:color="auto"/>
        <w:bottom w:val="none" w:sz="0" w:space="0" w:color="auto"/>
        <w:right w:val="none" w:sz="0" w:space="0" w:color="auto"/>
      </w:divBdr>
    </w:div>
    <w:div w:id="1031423099">
      <w:bodyDiv w:val="1"/>
      <w:marLeft w:val="0"/>
      <w:marRight w:val="0"/>
      <w:marTop w:val="0"/>
      <w:marBottom w:val="0"/>
      <w:divBdr>
        <w:top w:val="none" w:sz="0" w:space="0" w:color="auto"/>
        <w:left w:val="none" w:sz="0" w:space="0" w:color="auto"/>
        <w:bottom w:val="none" w:sz="0" w:space="0" w:color="auto"/>
        <w:right w:val="none" w:sz="0" w:space="0" w:color="auto"/>
      </w:divBdr>
    </w:div>
    <w:div w:id="1233276281">
      <w:bodyDiv w:val="1"/>
      <w:marLeft w:val="0"/>
      <w:marRight w:val="0"/>
      <w:marTop w:val="0"/>
      <w:marBottom w:val="0"/>
      <w:divBdr>
        <w:top w:val="none" w:sz="0" w:space="0" w:color="auto"/>
        <w:left w:val="none" w:sz="0" w:space="0" w:color="auto"/>
        <w:bottom w:val="none" w:sz="0" w:space="0" w:color="auto"/>
        <w:right w:val="none" w:sz="0" w:space="0" w:color="auto"/>
      </w:divBdr>
    </w:div>
    <w:div w:id="1341350878">
      <w:bodyDiv w:val="1"/>
      <w:marLeft w:val="0"/>
      <w:marRight w:val="0"/>
      <w:marTop w:val="0"/>
      <w:marBottom w:val="0"/>
      <w:divBdr>
        <w:top w:val="none" w:sz="0" w:space="0" w:color="auto"/>
        <w:left w:val="none" w:sz="0" w:space="0" w:color="auto"/>
        <w:bottom w:val="none" w:sz="0" w:space="0" w:color="auto"/>
        <w:right w:val="none" w:sz="0" w:space="0" w:color="auto"/>
      </w:divBdr>
    </w:div>
    <w:div w:id="1473132644">
      <w:bodyDiv w:val="1"/>
      <w:marLeft w:val="0"/>
      <w:marRight w:val="0"/>
      <w:marTop w:val="0"/>
      <w:marBottom w:val="0"/>
      <w:divBdr>
        <w:top w:val="none" w:sz="0" w:space="0" w:color="auto"/>
        <w:left w:val="none" w:sz="0" w:space="0" w:color="auto"/>
        <w:bottom w:val="none" w:sz="0" w:space="0" w:color="auto"/>
        <w:right w:val="none" w:sz="0" w:space="0" w:color="auto"/>
      </w:divBdr>
    </w:div>
    <w:div w:id="1570655775">
      <w:bodyDiv w:val="1"/>
      <w:marLeft w:val="0"/>
      <w:marRight w:val="0"/>
      <w:marTop w:val="0"/>
      <w:marBottom w:val="0"/>
      <w:divBdr>
        <w:top w:val="none" w:sz="0" w:space="0" w:color="auto"/>
        <w:left w:val="none" w:sz="0" w:space="0" w:color="auto"/>
        <w:bottom w:val="none" w:sz="0" w:space="0" w:color="auto"/>
        <w:right w:val="none" w:sz="0" w:space="0" w:color="auto"/>
      </w:divBdr>
    </w:div>
    <w:div w:id="1744985135">
      <w:bodyDiv w:val="1"/>
      <w:marLeft w:val="0"/>
      <w:marRight w:val="0"/>
      <w:marTop w:val="0"/>
      <w:marBottom w:val="0"/>
      <w:divBdr>
        <w:top w:val="none" w:sz="0" w:space="0" w:color="auto"/>
        <w:left w:val="none" w:sz="0" w:space="0" w:color="auto"/>
        <w:bottom w:val="none" w:sz="0" w:space="0" w:color="auto"/>
        <w:right w:val="none" w:sz="0" w:space="0" w:color="auto"/>
      </w:divBdr>
    </w:div>
    <w:div w:id="1782646829">
      <w:bodyDiv w:val="1"/>
      <w:marLeft w:val="0"/>
      <w:marRight w:val="0"/>
      <w:marTop w:val="0"/>
      <w:marBottom w:val="0"/>
      <w:divBdr>
        <w:top w:val="none" w:sz="0" w:space="0" w:color="auto"/>
        <w:left w:val="none" w:sz="0" w:space="0" w:color="auto"/>
        <w:bottom w:val="none" w:sz="0" w:space="0" w:color="auto"/>
        <w:right w:val="none" w:sz="0" w:space="0" w:color="auto"/>
      </w:divBdr>
    </w:div>
    <w:div w:id="1786728867">
      <w:bodyDiv w:val="1"/>
      <w:marLeft w:val="30"/>
      <w:marRight w:val="30"/>
      <w:marTop w:val="0"/>
      <w:marBottom w:val="0"/>
      <w:divBdr>
        <w:top w:val="none" w:sz="0" w:space="0" w:color="auto"/>
        <w:left w:val="none" w:sz="0" w:space="0" w:color="auto"/>
        <w:bottom w:val="none" w:sz="0" w:space="0" w:color="auto"/>
        <w:right w:val="none" w:sz="0" w:space="0" w:color="auto"/>
      </w:divBdr>
      <w:divsChild>
        <w:div w:id="1183085449">
          <w:marLeft w:val="0"/>
          <w:marRight w:val="0"/>
          <w:marTop w:val="0"/>
          <w:marBottom w:val="0"/>
          <w:divBdr>
            <w:top w:val="none" w:sz="0" w:space="0" w:color="auto"/>
            <w:left w:val="none" w:sz="0" w:space="0" w:color="auto"/>
            <w:bottom w:val="none" w:sz="0" w:space="0" w:color="auto"/>
            <w:right w:val="none" w:sz="0" w:space="0" w:color="auto"/>
          </w:divBdr>
          <w:divsChild>
            <w:div w:id="915096045">
              <w:marLeft w:val="0"/>
              <w:marRight w:val="0"/>
              <w:marTop w:val="0"/>
              <w:marBottom w:val="0"/>
              <w:divBdr>
                <w:top w:val="none" w:sz="0" w:space="0" w:color="auto"/>
                <w:left w:val="none" w:sz="0" w:space="0" w:color="auto"/>
                <w:bottom w:val="none" w:sz="0" w:space="0" w:color="auto"/>
                <w:right w:val="none" w:sz="0" w:space="0" w:color="auto"/>
              </w:divBdr>
              <w:divsChild>
                <w:div w:id="1371150129">
                  <w:marLeft w:val="180"/>
                  <w:marRight w:val="0"/>
                  <w:marTop w:val="0"/>
                  <w:marBottom w:val="0"/>
                  <w:divBdr>
                    <w:top w:val="none" w:sz="0" w:space="0" w:color="auto"/>
                    <w:left w:val="none" w:sz="0" w:space="0" w:color="auto"/>
                    <w:bottom w:val="none" w:sz="0" w:space="0" w:color="auto"/>
                    <w:right w:val="none" w:sz="0" w:space="0" w:color="auto"/>
                  </w:divBdr>
                  <w:divsChild>
                    <w:div w:id="159377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968191">
      <w:bodyDiv w:val="1"/>
      <w:marLeft w:val="0"/>
      <w:marRight w:val="0"/>
      <w:marTop w:val="0"/>
      <w:marBottom w:val="0"/>
      <w:divBdr>
        <w:top w:val="none" w:sz="0" w:space="0" w:color="auto"/>
        <w:left w:val="none" w:sz="0" w:space="0" w:color="auto"/>
        <w:bottom w:val="none" w:sz="0" w:space="0" w:color="auto"/>
        <w:right w:val="none" w:sz="0" w:space="0" w:color="auto"/>
      </w:divBdr>
    </w:div>
    <w:div w:id="2057506425">
      <w:bodyDiv w:val="1"/>
      <w:marLeft w:val="0"/>
      <w:marRight w:val="0"/>
      <w:marTop w:val="0"/>
      <w:marBottom w:val="0"/>
      <w:divBdr>
        <w:top w:val="none" w:sz="0" w:space="0" w:color="auto"/>
        <w:left w:val="none" w:sz="0" w:space="0" w:color="auto"/>
        <w:bottom w:val="none" w:sz="0" w:space="0" w:color="auto"/>
        <w:right w:val="none" w:sz="0" w:space="0" w:color="auto"/>
      </w:divBdr>
    </w:div>
    <w:div w:id="2063400976">
      <w:bodyDiv w:val="1"/>
      <w:marLeft w:val="0"/>
      <w:marRight w:val="0"/>
      <w:marTop w:val="0"/>
      <w:marBottom w:val="0"/>
      <w:divBdr>
        <w:top w:val="none" w:sz="0" w:space="0" w:color="auto"/>
        <w:left w:val="none" w:sz="0" w:space="0" w:color="auto"/>
        <w:bottom w:val="none" w:sz="0" w:space="0" w:color="auto"/>
        <w:right w:val="none" w:sz="0" w:space="0" w:color="auto"/>
      </w:divBdr>
    </w:div>
    <w:div w:id="2093506287">
      <w:bodyDiv w:val="1"/>
      <w:marLeft w:val="30"/>
      <w:marRight w:val="30"/>
      <w:marTop w:val="0"/>
      <w:marBottom w:val="0"/>
      <w:divBdr>
        <w:top w:val="none" w:sz="0" w:space="0" w:color="auto"/>
        <w:left w:val="none" w:sz="0" w:space="0" w:color="auto"/>
        <w:bottom w:val="none" w:sz="0" w:space="0" w:color="auto"/>
        <w:right w:val="none" w:sz="0" w:space="0" w:color="auto"/>
      </w:divBdr>
      <w:divsChild>
        <w:div w:id="155192711">
          <w:marLeft w:val="0"/>
          <w:marRight w:val="0"/>
          <w:marTop w:val="0"/>
          <w:marBottom w:val="0"/>
          <w:divBdr>
            <w:top w:val="none" w:sz="0" w:space="0" w:color="auto"/>
            <w:left w:val="none" w:sz="0" w:space="0" w:color="auto"/>
            <w:bottom w:val="none" w:sz="0" w:space="0" w:color="auto"/>
            <w:right w:val="none" w:sz="0" w:space="0" w:color="auto"/>
          </w:divBdr>
          <w:divsChild>
            <w:div w:id="894049959">
              <w:marLeft w:val="0"/>
              <w:marRight w:val="0"/>
              <w:marTop w:val="0"/>
              <w:marBottom w:val="0"/>
              <w:divBdr>
                <w:top w:val="none" w:sz="0" w:space="0" w:color="auto"/>
                <w:left w:val="none" w:sz="0" w:space="0" w:color="auto"/>
                <w:bottom w:val="none" w:sz="0" w:space="0" w:color="auto"/>
                <w:right w:val="none" w:sz="0" w:space="0" w:color="auto"/>
              </w:divBdr>
              <w:divsChild>
                <w:div w:id="1908106525">
                  <w:marLeft w:val="180"/>
                  <w:marRight w:val="0"/>
                  <w:marTop w:val="0"/>
                  <w:marBottom w:val="0"/>
                  <w:divBdr>
                    <w:top w:val="none" w:sz="0" w:space="0" w:color="auto"/>
                    <w:left w:val="none" w:sz="0" w:space="0" w:color="auto"/>
                    <w:bottom w:val="none" w:sz="0" w:space="0" w:color="auto"/>
                    <w:right w:val="none" w:sz="0" w:space="0" w:color="auto"/>
                  </w:divBdr>
                  <w:divsChild>
                    <w:div w:id="8090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15.15/siscon/gateway.dll/nSentencias/nSuperior/nSENSUP2016/JDC/SUP-JDC-1962-2016-Resumen.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F50C5-57D0-48A3-AD2F-970093D1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39</Pages>
  <Words>8610</Words>
  <Characters>47355</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Mishell Becerra Cendejas</dc:creator>
  <cp:keywords/>
  <dc:description/>
  <cp:lastModifiedBy>Vicente Aldo Hernández Carrillo</cp:lastModifiedBy>
  <cp:revision>18</cp:revision>
  <cp:lastPrinted>2018-06-13T20:57:00Z</cp:lastPrinted>
  <dcterms:created xsi:type="dcterms:W3CDTF">2018-06-11T22:49:00Z</dcterms:created>
  <dcterms:modified xsi:type="dcterms:W3CDTF">2018-06-14T00:51:00Z</dcterms:modified>
</cp:coreProperties>
</file>