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33108" w:rsidRPr="005D4A7D" w:rsidRDefault="00F33108" w:rsidP="00364F7F">
      <w:pPr>
        <w:spacing w:after="0" w:line="240" w:lineRule="auto"/>
        <w:ind w:left="3260"/>
        <w:jc w:val="both"/>
        <w:rPr>
          <w:rFonts w:ascii="Arial" w:hAnsi="Arial" w:cs="Arial"/>
          <w:b/>
          <w:sz w:val="24"/>
          <w:szCs w:val="24"/>
        </w:rPr>
      </w:pPr>
      <w:bookmarkStart w:id="0" w:name="_Hlk512424751"/>
      <w:r w:rsidRPr="005D4A7D">
        <w:rPr>
          <w:rFonts w:ascii="Arial" w:hAnsi="Arial" w:cs="Arial"/>
          <w:b/>
          <w:sz w:val="24"/>
          <w:szCs w:val="24"/>
        </w:rPr>
        <w:t>EXPEDIENTE: SUP-REP-</w:t>
      </w:r>
      <w:r w:rsidR="00BF1CB6" w:rsidRPr="005D4A7D">
        <w:rPr>
          <w:rFonts w:ascii="Arial" w:hAnsi="Arial" w:cs="Arial"/>
          <w:b/>
          <w:sz w:val="24"/>
          <w:szCs w:val="24"/>
        </w:rPr>
        <w:t>623</w:t>
      </w:r>
      <w:r w:rsidRPr="005D4A7D">
        <w:rPr>
          <w:rFonts w:ascii="Arial" w:hAnsi="Arial" w:cs="Arial"/>
          <w:b/>
          <w:sz w:val="24"/>
          <w:szCs w:val="24"/>
        </w:rPr>
        <w:t>/2018</w:t>
      </w:r>
      <w:r w:rsidR="00FD67CE" w:rsidRPr="005D4A7D">
        <w:rPr>
          <w:rFonts w:ascii="Arial" w:hAnsi="Arial" w:cs="Arial"/>
          <w:b/>
          <w:sz w:val="24"/>
          <w:szCs w:val="24"/>
        </w:rPr>
        <w:t xml:space="preserve"> Y ACUMULADO.</w:t>
      </w:r>
    </w:p>
    <w:p w:rsidR="00F33108" w:rsidRPr="005D4A7D" w:rsidRDefault="00F33108" w:rsidP="00364F7F">
      <w:pPr>
        <w:spacing w:after="0" w:line="240" w:lineRule="auto"/>
        <w:ind w:left="3260"/>
        <w:jc w:val="both"/>
        <w:rPr>
          <w:rFonts w:ascii="Arial" w:hAnsi="Arial" w:cs="Arial"/>
          <w:b/>
          <w:sz w:val="24"/>
          <w:szCs w:val="24"/>
        </w:rPr>
      </w:pPr>
    </w:p>
    <w:p w:rsidR="00F33108" w:rsidRPr="005D4A7D" w:rsidRDefault="00F33108" w:rsidP="00364F7F">
      <w:pPr>
        <w:spacing w:after="0" w:line="240" w:lineRule="auto"/>
        <w:ind w:left="3260"/>
        <w:jc w:val="both"/>
        <w:rPr>
          <w:rFonts w:ascii="Arial" w:hAnsi="Arial" w:cs="Arial"/>
          <w:sz w:val="24"/>
          <w:szCs w:val="24"/>
        </w:rPr>
      </w:pPr>
      <w:r w:rsidRPr="005D4A7D">
        <w:rPr>
          <w:rFonts w:ascii="Arial" w:hAnsi="Arial" w:cs="Arial"/>
          <w:b/>
          <w:sz w:val="24"/>
          <w:szCs w:val="24"/>
        </w:rPr>
        <w:t>MAGISTRADO PONENTE: FELIPE DE LA MATA PIZAÑA</w:t>
      </w:r>
      <w:r w:rsidRPr="005D4A7D">
        <w:rPr>
          <w:rStyle w:val="Refdenotaalpie"/>
          <w:rFonts w:ascii="Arial" w:hAnsi="Arial" w:cs="Arial"/>
          <w:sz w:val="24"/>
          <w:szCs w:val="24"/>
        </w:rPr>
        <w:footnoteReference w:id="1"/>
      </w:r>
    </w:p>
    <w:p w:rsidR="009F581B" w:rsidRPr="005D4A7D" w:rsidRDefault="009F581B" w:rsidP="00364F7F">
      <w:pPr>
        <w:spacing w:after="0" w:line="240" w:lineRule="auto"/>
        <w:ind w:left="3260"/>
        <w:jc w:val="both"/>
        <w:rPr>
          <w:rFonts w:ascii="Arial" w:hAnsi="Arial" w:cs="Arial"/>
          <w:sz w:val="24"/>
          <w:szCs w:val="24"/>
        </w:rPr>
      </w:pPr>
    </w:p>
    <w:p w:rsidR="00F33108" w:rsidRPr="005D4A7D" w:rsidRDefault="00F33108"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Ciudad de México, a </w:t>
      </w:r>
      <w:r w:rsidR="005E0746" w:rsidRPr="005D4A7D">
        <w:rPr>
          <w:rFonts w:ascii="Arial" w:hAnsi="Arial" w:cs="Arial"/>
          <w:sz w:val="24"/>
          <w:szCs w:val="24"/>
        </w:rPr>
        <w:t>once</w:t>
      </w:r>
      <w:r w:rsidRPr="005D4A7D">
        <w:rPr>
          <w:rFonts w:ascii="Arial" w:hAnsi="Arial" w:cs="Arial"/>
          <w:sz w:val="24"/>
          <w:szCs w:val="24"/>
        </w:rPr>
        <w:t xml:space="preserve"> de ju</w:t>
      </w:r>
      <w:r w:rsidR="00BF1CB6" w:rsidRPr="005D4A7D">
        <w:rPr>
          <w:rFonts w:ascii="Arial" w:hAnsi="Arial" w:cs="Arial"/>
          <w:sz w:val="24"/>
          <w:szCs w:val="24"/>
        </w:rPr>
        <w:t>l</w:t>
      </w:r>
      <w:r w:rsidRPr="005D4A7D">
        <w:rPr>
          <w:rFonts w:ascii="Arial" w:hAnsi="Arial" w:cs="Arial"/>
          <w:sz w:val="24"/>
          <w:szCs w:val="24"/>
        </w:rPr>
        <w:t>io de dos mil dieciocho.</w:t>
      </w:r>
    </w:p>
    <w:p w:rsidR="00BF1CB6" w:rsidRPr="005D4A7D" w:rsidRDefault="00BF1CB6" w:rsidP="0074744F">
      <w:pPr>
        <w:spacing w:before="120" w:after="120" w:line="360" w:lineRule="auto"/>
        <w:jc w:val="both"/>
        <w:rPr>
          <w:rFonts w:ascii="Arial" w:hAnsi="Arial" w:cs="Arial"/>
          <w:sz w:val="24"/>
          <w:szCs w:val="24"/>
        </w:rPr>
      </w:pPr>
    </w:p>
    <w:p w:rsidR="00BF1CB6" w:rsidRPr="005D4A7D" w:rsidRDefault="00F33108" w:rsidP="0074744F">
      <w:pPr>
        <w:spacing w:before="120" w:after="120" w:line="360" w:lineRule="auto"/>
        <w:jc w:val="both"/>
        <w:rPr>
          <w:rFonts w:ascii="Arial" w:hAnsi="Arial" w:cs="Arial"/>
          <w:b/>
          <w:sz w:val="24"/>
          <w:szCs w:val="24"/>
        </w:rPr>
      </w:pPr>
      <w:r w:rsidRPr="005D4A7D">
        <w:rPr>
          <w:rFonts w:ascii="Arial" w:eastAsia="Times New Roman" w:hAnsi="Arial" w:cs="Arial"/>
          <w:b/>
          <w:sz w:val="24"/>
          <w:szCs w:val="24"/>
          <w:lang w:eastAsia="es-MX"/>
        </w:rPr>
        <w:t xml:space="preserve">SENTENCIA, </w:t>
      </w:r>
      <w:r w:rsidRPr="005D4A7D">
        <w:rPr>
          <w:rFonts w:ascii="Arial" w:eastAsia="Times New Roman" w:hAnsi="Arial" w:cs="Arial"/>
          <w:sz w:val="24"/>
          <w:szCs w:val="24"/>
          <w:lang w:eastAsia="es-MX"/>
        </w:rPr>
        <w:t xml:space="preserve">que </w:t>
      </w:r>
      <w:r w:rsidRPr="005D4A7D">
        <w:rPr>
          <w:rFonts w:ascii="Arial" w:eastAsia="Times New Roman" w:hAnsi="Arial" w:cs="Arial"/>
          <w:b/>
          <w:sz w:val="24"/>
          <w:szCs w:val="24"/>
          <w:lang w:eastAsia="es-MX"/>
        </w:rPr>
        <w:t xml:space="preserve">confirma </w:t>
      </w:r>
      <w:r w:rsidRPr="005D4A7D">
        <w:rPr>
          <w:rFonts w:ascii="Arial" w:eastAsia="Times New Roman" w:hAnsi="Arial" w:cs="Arial"/>
          <w:sz w:val="24"/>
          <w:szCs w:val="24"/>
          <w:lang w:eastAsia="es-MX"/>
        </w:rPr>
        <w:t xml:space="preserve">la </w:t>
      </w:r>
      <w:r w:rsidR="00BF1CB6" w:rsidRPr="005D4A7D">
        <w:rPr>
          <w:rFonts w:ascii="Arial" w:eastAsia="Times New Roman" w:hAnsi="Arial" w:cs="Arial"/>
          <w:sz w:val="24"/>
          <w:szCs w:val="24"/>
          <w:lang w:eastAsia="es-MX"/>
        </w:rPr>
        <w:t>resolución</w:t>
      </w:r>
      <w:r w:rsidR="004E49A4" w:rsidRPr="005D4A7D">
        <w:rPr>
          <w:rFonts w:ascii="Arial" w:hAnsi="Arial" w:cs="Arial"/>
          <w:bCs/>
          <w:sz w:val="24"/>
          <w:szCs w:val="24"/>
        </w:rPr>
        <w:t xml:space="preserve"> </w:t>
      </w:r>
      <w:r w:rsidR="004E49A4" w:rsidRPr="005D4A7D">
        <w:rPr>
          <w:rFonts w:ascii="Arial" w:eastAsia="Times New Roman" w:hAnsi="Arial" w:cs="Arial"/>
          <w:sz w:val="24"/>
          <w:szCs w:val="24"/>
          <w:lang w:eastAsia="es-MX"/>
        </w:rPr>
        <w:t xml:space="preserve">dictada por la </w:t>
      </w:r>
      <w:r w:rsidR="004E49A4" w:rsidRPr="005D4A7D">
        <w:rPr>
          <w:rFonts w:ascii="Arial" w:eastAsia="Times New Roman" w:hAnsi="Arial" w:cs="Arial"/>
          <w:b/>
          <w:sz w:val="24"/>
          <w:szCs w:val="24"/>
          <w:lang w:eastAsia="es-MX"/>
        </w:rPr>
        <w:t>Sala Regional Especializada</w:t>
      </w:r>
      <w:r w:rsidR="00991581" w:rsidRPr="005D4A7D">
        <w:rPr>
          <w:rFonts w:ascii="Arial" w:eastAsia="Times New Roman" w:hAnsi="Arial" w:cs="Arial"/>
          <w:b/>
          <w:sz w:val="24"/>
          <w:szCs w:val="24"/>
          <w:lang w:eastAsia="es-MX"/>
        </w:rPr>
        <w:t xml:space="preserve"> </w:t>
      </w:r>
      <w:r w:rsidR="004E49A4" w:rsidRPr="005D4A7D">
        <w:rPr>
          <w:rFonts w:ascii="Arial" w:eastAsia="Times New Roman" w:hAnsi="Arial" w:cs="Arial"/>
          <w:b/>
          <w:sz w:val="24"/>
          <w:szCs w:val="24"/>
          <w:lang w:eastAsia="es-MX"/>
        </w:rPr>
        <w:t>en el expediente</w:t>
      </w:r>
      <w:r w:rsidRPr="005D4A7D">
        <w:rPr>
          <w:rFonts w:ascii="Arial" w:eastAsia="Times New Roman" w:hAnsi="Arial" w:cs="Arial"/>
          <w:b/>
          <w:sz w:val="24"/>
          <w:szCs w:val="24"/>
          <w:lang w:eastAsia="es-MX"/>
        </w:rPr>
        <w:t xml:space="preserve"> SRE-PSC-1</w:t>
      </w:r>
      <w:r w:rsidR="00BF1CB6" w:rsidRPr="005D4A7D">
        <w:rPr>
          <w:rFonts w:ascii="Arial" w:eastAsia="Times New Roman" w:hAnsi="Arial" w:cs="Arial"/>
          <w:b/>
          <w:sz w:val="24"/>
          <w:szCs w:val="24"/>
          <w:lang w:eastAsia="es-MX"/>
        </w:rPr>
        <w:t>95</w:t>
      </w:r>
      <w:r w:rsidRPr="005D4A7D">
        <w:rPr>
          <w:rFonts w:ascii="Arial" w:eastAsia="Times New Roman" w:hAnsi="Arial" w:cs="Arial"/>
          <w:b/>
          <w:sz w:val="24"/>
          <w:szCs w:val="24"/>
          <w:lang w:eastAsia="es-MX"/>
        </w:rPr>
        <w:t>/2018</w:t>
      </w:r>
      <w:r w:rsidRPr="005D4A7D">
        <w:rPr>
          <w:rFonts w:ascii="Arial" w:eastAsia="Times New Roman" w:hAnsi="Arial" w:cs="Arial"/>
          <w:sz w:val="24"/>
          <w:szCs w:val="24"/>
          <w:lang w:eastAsia="es-MX"/>
        </w:rPr>
        <w:t xml:space="preserve">, </w:t>
      </w:r>
      <w:r w:rsidR="00BC388F" w:rsidRPr="005D4A7D">
        <w:rPr>
          <w:rFonts w:ascii="Arial" w:eastAsia="Times New Roman" w:hAnsi="Arial" w:cs="Arial"/>
          <w:sz w:val="24"/>
          <w:szCs w:val="24"/>
          <w:lang w:eastAsia="es-MX"/>
        </w:rPr>
        <w:t xml:space="preserve">que determinó sancionar </w:t>
      </w:r>
      <w:r w:rsidR="00BD53FD" w:rsidRPr="005D4A7D">
        <w:rPr>
          <w:rFonts w:ascii="Arial" w:eastAsia="Times New Roman" w:hAnsi="Arial" w:cs="Arial"/>
          <w:sz w:val="24"/>
          <w:szCs w:val="24"/>
          <w:lang w:eastAsia="es-MX"/>
        </w:rPr>
        <w:t xml:space="preserve">al </w:t>
      </w:r>
      <w:r w:rsidR="00BD53FD" w:rsidRPr="005D4A7D">
        <w:rPr>
          <w:rFonts w:ascii="Arial" w:eastAsia="Times New Roman" w:hAnsi="Arial" w:cs="Arial"/>
          <w:b/>
          <w:sz w:val="24"/>
          <w:szCs w:val="24"/>
          <w:lang w:eastAsia="es-MX"/>
        </w:rPr>
        <w:t xml:space="preserve">PRI </w:t>
      </w:r>
      <w:r w:rsidR="00F50328" w:rsidRPr="005D4A7D">
        <w:rPr>
          <w:rFonts w:ascii="Arial" w:eastAsia="Times New Roman" w:hAnsi="Arial" w:cs="Arial"/>
          <w:sz w:val="24"/>
          <w:szCs w:val="24"/>
          <w:lang w:eastAsia="es-MX"/>
        </w:rPr>
        <w:t xml:space="preserve">por pautar un promocional </w:t>
      </w:r>
      <w:r w:rsidR="00BD53FD" w:rsidRPr="005D4A7D">
        <w:rPr>
          <w:rFonts w:ascii="Arial" w:eastAsia="Times New Roman" w:hAnsi="Arial" w:cs="Arial"/>
          <w:sz w:val="24"/>
          <w:szCs w:val="24"/>
          <w:lang w:eastAsia="es-MX"/>
        </w:rPr>
        <w:t>y</w:t>
      </w:r>
      <w:r w:rsidR="00F50328" w:rsidRPr="005D4A7D">
        <w:rPr>
          <w:rFonts w:ascii="Arial" w:eastAsia="Times New Roman" w:hAnsi="Arial" w:cs="Arial"/>
          <w:sz w:val="24"/>
          <w:szCs w:val="24"/>
          <w:lang w:eastAsia="es-MX"/>
        </w:rPr>
        <w:t>,</w:t>
      </w:r>
      <w:r w:rsidR="00BD53FD" w:rsidRPr="005D4A7D">
        <w:rPr>
          <w:rFonts w:ascii="Arial" w:eastAsia="Times New Roman" w:hAnsi="Arial" w:cs="Arial"/>
          <w:sz w:val="24"/>
          <w:szCs w:val="24"/>
          <w:lang w:eastAsia="es-MX"/>
        </w:rPr>
        <w:t xml:space="preserve"> a su</w:t>
      </w:r>
      <w:r w:rsidR="00BC388F" w:rsidRPr="005D4A7D">
        <w:rPr>
          <w:rFonts w:ascii="Arial" w:eastAsia="Times New Roman" w:hAnsi="Arial" w:cs="Arial"/>
          <w:sz w:val="24"/>
          <w:szCs w:val="24"/>
          <w:lang w:eastAsia="es-MX"/>
        </w:rPr>
        <w:t xml:space="preserve"> entonces</w:t>
      </w:r>
      <w:r w:rsidR="00BF1CB6" w:rsidRPr="005D4A7D">
        <w:rPr>
          <w:rFonts w:ascii="Arial" w:eastAsia="Times New Roman" w:hAnsi="Arial" w:cs="Arial"/>
          <w:sz w:val="24"/>
          <w:szCs w:val="24"/>
          <w:lang w:eastAsia="es-MX"/>
        </w:rPr>
        <w:t xml:space="preserve"> candidato a la gubernatura del Estado de Puebla,</w:t>
      </w:r>
      <w:r w:rsidR="00BD53FD" w:rsidRPr="005D4A7D">
        <w:rPr>
          <w:rFonts w:ascii="Arial" w:eastAsia="Times New Roman" w:hAnsi="Arial" w:cs="Arial"/>
          <w:b/>
          <w:sz w:val="24"/>
          <w:szCs w:val="24"/>
          <w:lang w:eastAsia="es-MX"/>
        </w:rPr>
        <w:t xml:space="preserve"> José Enrique Doger Guerrero</w:t>
      </w:r>
      <w:r w:rsidR="00BD53FD" w:rsidRPr="005D4A7D">
        <w:rPr>
          <w:rFonts w:ascii="Arial" w:eastAsia="Times New Roman" w:hAnsi="Arial" w:cs="Arial"/>
          <w:sz w:val="24"/>
          <w:szCs w:val="24"/>
          <w:lang w:eastAsia="es-MX"/>
        </w:rPr>
        <w:t xml:space="preserve">, </w:t>
      </w:r>
      <w:bookmarkStart w:id="2" w:name="_Hlk516596877"/>
      <w:r w:rsidR="00BC388F" w:rsidRPr="005D4A7D">
        <w:rPr>
          <w:rFonts w:ascii="Arial" w:eastAsia="Times New Roman" w:hAnsi="Arial" w:cs="Arial"/>
          <w:sz w:val="24"/>
          <w:szCs w:val="24"/>
          <w:lang w:eastAsia="es-MX"/>
        </w:rPr>
        <w:t xml:space="preserve">por </w:t>
      </w:r>
      <w:r w:rsidR="00F50328" w:rsidRPr="005D4A7D">
        <w:rPr>
          <w:rFonts w:ascii="Arial" w:eastAsia="Times New Roman" w:hAnsi="Arial" w:cs="Arial"/>
          <w:sz w:val="24"/>
          <w:szCs w:val="24"/>
          <w:lang w:eastAsia="es-MX"/>
        </w:rPr>
        <w:t>su difusión en</w:t>
      </w:r>
      <w:r w:rsidR="00BC388F" w:rsidRPr="005D4A7D">
        <w:rPr>
          <w:rFonts w:ascii="Arial" w:hAnsi="Arial" w:cs="Arial"/>
          <w:sz w:val="24"/>
          <w:szCs w:val="24"/>
        </w:rPr>
        <w:t xml:space="preserve"> su cuenta de Twitter</w:t>
      </w:r>
      <w:r w:rsidR="00BC388F" w:rsidRPr="005D4A7D">
        <w:rPr>
          <w:rFonts w:ascii="Arial" w:eastAsia="Times New Roman" w:hAnsi="Arial" w:cs="Arial"/>
          <w:sz w:val="24"/>
          <w:szCs w:val="24"/>
          <w:lang w:eastAsia="es-MX"/>
        </w:rPr>
        <w:t>,</w:t>
      </w:r>
      <w:r w:rsidR="00F50328" w:rsidRPr="005D4A7D">
        <w:rPr>
          <w:rFonts w:ascii="Arial" w:eastAsia="Times New Roman" w:hAnsi="Arial" w:cs="Arial"/>
          <w:sz w:val="24"/>
          <w:szCs w:val="24"/>
          <w:lang w:eastAsia="es-MX"/>
        </w:rPr>
        <w:t xml:space="preserve"> ya que el mismo</w:t>
      </w:r>
      <w:r w:rsidR="00BC388F" w:rsidRPr="005D4A7D">
        <w:rPr>
          <w:rFonts w:ascii="Arial" w:eastAsia="Times New Roman" w:hAnsi="Arial" w:cs="Arial"/>
          <w:sz w:val="24"/>
          <w:szCs w:val="24"/>
          <w:lang w:eastAsia="es-MX"/>
        </w:rPr>
        <w:t xml:space="preserve"> </w:t>
      </w:r>
      <w:r w:rsidR="00BF1CB6" w:rsidRPr="005D4A7D">
        <w:rPr>
          <w:rFonts w:ascii="Arial" w:hAnsi="Arial" w:cs="Arial"/>
          <w:sz w:val="24"/>
          <w:szCs w:val="24"/>
        </w:rPr>
        <w:t xml:space="preserve">promueve estereotipos </w:t>
      </w:r>
      <w:r w:rsidR="00905467" w:rsidRPr="005D4A7D">
        <w:rPr>
          <w:rFonts w:ascii="Arial" w:hAnsi="Arial" w:cs="Arial"/>
          <w:sz w:val="24"/>
          <w:szCs w:val="24"/>
        </w:rPr>
        <w:t xml:space="preserve">discriminatorios </w:t>
      </w:r>
      <w:r w:rsidR="00BF1CB6" w:rsidRPr="005D4A7D">
        <w:rPr>
          <w:rFonts w:ascii="Arial" w:hAnsi="Arial" w:cs="Arial"/>
          <w:sz w:val="24"/>
          <w:szCs w:val="24"/>
        </w:rPr>
        <w:t>y violencia política en razón de género.</w:t>
      </w:r>
    </w:p>
    <w:bookmarkEnd w:id="2" w:displacedByCustomXml="next"/>
    <w:sdt>
      <w:sdtPr>
        <w:rPr>
          <w:rFonts w:ascii="Arial" w:eastAsiaTheme="minorEastAsia" w:hAnsi="Arial" w:cs="Arial"/>
          <w:color w:val="auto"/>
          <w:sz w:val="24"/>
          <w:szCs w:val="24"/>
          <w:lang w:val="es-ES"/>
        </w:rPr>
        <w:id w:val="-752507328"/>
        <w:docPartObj>
          <w:docPartGallery w:val="Table of Contents"/>
          <w:docPartUnique/>
        </w:docPartObj>
      </w:sdtPr>
      <w:sdtEndPr>
        <w:rPr>
          <w:rFonts w:asciiTheme="minorHAnsi" w:hAnsiTheme="minorHAnsi" w:cs="Times New Roman"/>
          <w:bCs/>
        </w:rPr>
      </w:sdtEndPr>
      <w:sdtContent>
        <w:p w:rsidR="00F33108" w:rsidRPr="005D4A7D" w:rsidRDefault="00F33108" w:rsidP="00E97783">
          <w:pPr>
            <w:pStyle w:val="TtuloTDC"/>
            <w:spacing w:before="0" w:line="288" w:lineRule="auto"/>
            <w:jc w:val="center"/>
            <w:rPr>
              <w:rFonts w:ascii="Arial" w:hAnsi="Arial" w:cs="Arial"/>
              <w:b/>
              <w:color w:val="auto"/>
              <w:sz w:val="20"/>
              <w:szCs w:val="20"/>
            </w:rPr>
          </w:pPr>
          <w:r w:rsidRPr="005D4A7D">
            <w:rPr>
              <w:rFonts w:ascii="Arial" w:hAnsi="Arial" w:cs="Arial"/>
              <w:b/>
              <w:color w:val="auto"/>
              <w:sz w:val="20"/>
              <w:szCs w:val="20"/>
              <w:lang w:val="es-ES"/>
            </w:rPr>
            <w:t>ÍNDICE</w:t>
          </w:r>
        </w:p>
        <w:p w:rsidR="0074744F" w:rsidRDefault="00F33108">
          <w:pPr>
            <w:pStyle w:val="TDC1"/>
            <w:rPr>
              <w:rFonts w:cstheme="minorBidi"/>
              <w:noProof/>
            </w:rPr>
          </w:pPr>
          <w:r w:rsidRPr="005D4A7D">
            <w:rPr>
              <w:b/>
            </w:rPr>
            <w:fldChar w:fldCharType="begin"/>
          </w:r>
          <w:r w:rsidRPr="005D4A7D">
            <w:rPr>
              <w:b/>
            </w:rPr>
            <w:instrText xml:space="preserve"> TOC \o "1-3" \h \z \u </w:instrText>
          </w:r>
          <w:r w:rsidRPr="005D4A7D">
            <w:rPr>
              <w:b/>
            </w:rPr>
            <w:fldChar w:fldCharType="separate"/>
          </w:r>
          <w:hyperlink w:anchor="_Toc519067210" w:history="1">
            <w:r w:rsidR="0074744F" w:rsidRPr="004B58F9">
              <w:rPr>
                <w:rStyle w:val="Hipervnculo"/>
                <w:noProof/>
              </w:rPr>
              <w:t>GLOSARIO</w:t>
            </w:r>
            <w:r w:rsidR="0074744F">
              <w:rPr>
                <w:noProof/>
                <w:webHidden/>
              </w:rPr>
              <w:tab/>
            </w:r>
            <w:r w:rsidR="0074744F">
              <w:rPr>
                <w:noProof/>
                <w:webHidden/>
              </w:rPr>
              <w:fldChar w:fldCharType="begin"/>
            </w:r>
            <w:r w:rsidR="0074744F">
              <w:rPr>
                <w:noProof/>
                <w:webHidden/>
              </w:rPr>
              <w:instrText xml:space="preserve"> PAGEREF _Toc519067210 \h </w:instrText>
            </w:r>
            <w:r w:rsidR="0074744F">
              <w:rPr>
                <w:noProof/>
                <w:webHidden/>
              </w:rPr>
            </w:r>
            <w:r w:rsidR="0074744F">
              <w:rPr>
                <w:noProof/>
                <w:webHidden/>
              </w:rPr>
              <w:fldChar w:fldCharType="separate"/>
            </w:r>
            <w:r w:rsidR="00676781">
              <w:rPr>
                <w:noProof/>
                <w:webHidden/>
              </w:rPr>
              <w:t>1</w:t>
            </w:r>
            <w:r w:rsidR="0074744F">
              <w:rPr>
                <w:noProof/>
                <w:webHidden/>
              </w:rPr>
              <w:fldChar w:fldCharType="end"/>
            </w:r>
          </w:hyperlink>
        </w:p>
        <w:p w:rsidR="0074744F" w:rsidRDefault="00DC60F4">
          <w:pPr>
            <w:pStyle w:val="TDC1"/>
            <w:rPr>
              <w:rFonts w:cstheme="minorBidi"/>
              <w:noProof/>
            </w:rPr>
          </w:pPr>
          <w:hyperlink w:anchor="_Toc519067211" w:history="1">
            <w:r w:rsidR="0074744F" w:rsidRPr="004B58F9">
              <w:rPr>
                <w:rStyle w:val="Hipervnculo"/>
                <w:noProof/>
              </w:rPr>
              <w:t>I. ANTECEDENTES</w:t>
            </w:r>
            <w:r w:rsidR="0074744F">
              <w:rPr>
                <w:noProof/>
                <w:webHidden/>
              </w:rPr>
              <w:tab/>
            </w:r>
            <w:r w:rsidR="0074744F">
              <w:rPr>
                <w:noProof/>
                <w:webHidden/>
              </w:rPr>
              <w:fldChar w:fldCharType="begin"/>
            </w:r>
            <w:r w:rsidR="0074744F">
              <w:rPr>
                <w:noProof/>
                <w:webHidden/>
              </w:rPr>
              <w:instrText xml:space="preserve"> PAGEREF _Toc519067211 \h </w:instrText>
            </w:r>
            <w:r w:rsidR="0074744F">
              <w:rPr>
                <w:noProof/>
                <w:webHidden/>
              </w:rPr>
            </w:r>
            <w:r w:rsidR="0074744F">
              <w:rPr>
                <w:noProof/>
                <w:webHidden/>
              </w:rPr>
              <w:fldChar w:fldCharType="separate"/>
            </w:r>
            <w:r w:rsidR="00676781">
              <w:rPr>
                <w:noProof/>
                <w:webHidden/>
              </w:rPr>
              <w:t>2</w:t>
            </w:r>
            <w:r w:rsidR="0074744F">
              <w:rPr>
                <w:noProof/>
                <w:webHidden/>
              </w:rPr>
              <w:fldChar w:fldCharType="end"/>
            </w:r>
          </w:hyperlink>
        </w:p>
        <w:p w:rsidR="0074744F" w:rsidRDefault="00DC60F4">
          <w:pPr>
            <w:pStyle w:val="TDC1"/>
            <w:rPr>
              <w:rFonts w:cstheme="minorBidi"/>
              <w:noProof/>
            </w:rPr>
          </w:pPr>
          <w:hyperlink w:anchor="_Toc519067212" w:history="1">
            <w:r w:rsidR="0074744F" w:rsidRPr="004B58F9">
              <w:rPr>
                <w:rStyle w:val="Hipervnculo"/>
                <w:noProof/>
                <w:lang w:val="it-IT"/>
              </w:rPr>
              <w:t>II. COMPETENCIA</w:t>
            </w:r>
            <w:r w:rsidR="0074744F">
              <w:rPr>
                <w:noProof/>
                <w:webHidden/>
              </w:rPr>
              <w:tab/>
            </w:r>
            <w:r w:rsidR="0074744F">
              <w:rPr>
                <w:noProof/>
                <w:webHidden/>
              </w:rPr>
              <w:fldChar w:fldCharType="begin"/>
            </w:r>
            <w:r w:rsidR="0074744F">
              <w:rPr>
                <w:noProof/>
                <w:webHidden/>
              </w:rPr>
              <w:instrText xml:space="preserve"> PAGEREF _Toc519067212 \h </w:instrText>
            </w:r>
            <w:r w:rsidR="0074744F">
              <w:rPr>
                <w:noProof/>
                <w:webHidden/>
              </w:rPr>
            </w:r>
            <w:r w:rsidR="0074744F">
              <w:rPr>
                <w:noProof/>
                <w:webHidden/>
              </w:rPr>
              <w:fldChar w:fldCharType="separate"/>
            </w:r>
            <w:r w:rsidR="00676781">
              <w:rPr>
                <w:noProof/>
                <w:webHidden/>
              </w:rPr>
              <w:t>3</w:t>
            </w:r>
            <w:r w:rsidR="0074744F">
              <w:rPr>
                <w:noProof/>
                <w:webHidden/>
              </w:rPr>
              <w:fldChar w:fldCharType="end"/>
            </w:r>
          </w:hyperlink>
        </w:p>
        <w:p w:rsidR="0074744F" w:rsidRDefault="00DC60F4">
          <w:pPr>
            <w:pStyle w:val="TDC1"/>
            <w:rPr>
              <w:rFonts w:cstheme="minorBidi"/>
              <w:noProof/>
            </w:rPr>
          </w:pPr>
          <w:hyperlink w:anchor="_Toc519067213" w:history="1">
            <w:r w:rsidR="0074744F" w:rsidRPr="004B58F9">
              <w:rPr>
                <w:rStyle w:val="Hipervnculo"/>
                <w:noProof/>
                <w:lang w:val="it-IT"/>
              </w:rPr>
              <w:t>III. ACUMULACIÓN.</w:t>
            </w:r>
            <w:r w:rsidR="0074744F">
              <w:rPr>
                <w:noProof/>
                <w:webHidden/>
              </w:rPr>
              <w:tab/>
            </w:r>
            <w:r w:rsidR="0074744F">
              <w:rPr>
                <w:noProof/>
                <w:webHidden/>
              </w:rPr>
              <w:fldChar w:fldCharType="begin"/>
            </w:r>
            <w:r w:rsidR="0074744F">
              <w:rPr>
                <w:noProof/>
                <w:webHidden/>
              </w:rPr>
              <w:instrText xml:space="preserve"> PAGEREF _Toc519067213 \h </w:instrText>
            </w:r>
            <w:r w:rsidR="0074744F">
              <w:rPr>
                <w:noProof/>
                <w:webHidden/>
              </w:rPr>
            </w:r>
            <w:r w:rsidR="0074744F">
              <w:rPr>
                <w:noProof/>
                <w:webHidden/>
              </w:rPr>
              <w:fldChar w:fldCharType="separate"/>
            </w:r>
            <w:r w:rsidR="00676781">
              <w:rPr>
                <w:noProof/>
                <w:webHidden/>
              </w:rPr>
              <w:t>3</w:t>
            </w:r>
            <w:r w:rsidR="0074744F">
              <w:rPr>
                <w:noProof/>
                <w:webHidden/>
              </w:rPr>
              <w:fldChar w:fldCharType="end"/>
            </w:r>
          </w:hyperlink>
        </w:p>
        <w:p w:rsidR="0074744F" w:rsidRDefault="00DC60F4">
          <w:pPr>
            <w:pStyle w:val="TDC1"/>
            <w:rPr>
              <w:rFonts w:cstheme="minorBidi"/>
              <w:noProof/>
            </w:rPr>
          </w:pPr>
          <w:hyperlink w:anchor="_Toc519067214" w:history="1">
            <w:r w:rsidR="0074744F" w:rsidRPr="004B58F9">
              <w:rPr>
                <w:rStyle w:val="Hipervnculo"/>
                <w:noProof/>
                <w:lang w:val="it-IT"/>
              </w:rPr>
              <w:t>IV. REQUISITOS DE PROCEDENCIA.</w:t>
            </w:r>
            <w:r w:rsidR="0074744F">
              <w:rPr>
                <w:noProof/>
                <w:webHidden/>
              </w:rPr>
              <w:tab/>
            </w:r>
            <w:r w:rsidR="0074744F">
              <w:rPr>
                <w:noProof/>
                <w:webHidden/>
              </w:rPr>
              <w:fldChar w:fldCharType="begin"/>
            </w:r>
            <w:r w:rsidR="0074744F">
              <w:rPr>
                <w:noProof/>
                <w:webHidden/>
              </w:rPr>
              <w:instrText xml:space="preserve"> PAGEREF _Toc519067214 \h </w:instrText>
            </w:r>
            <w:r w:rsidR="0074744F">
              <w:rPr>
                <w:noProof/>
                <w:webHidden/>
              </w:rPr>
            </w:r>
            <w:r w:rsidR="0074744F">
              <w:rPr>
                <w:noProof/>
                <w:webHidden/>
              </w:rPr>
              <w:fldChar w:fldCharType="separate"/>
            </w:r>
            <w:r w:rsidR="00676781">
              <w:rPr>
                <w:noProof/>
                <w:webHidden/>
              </w:rPr>
              <w:t>4</w:t>
            </w:r>
            <w:r w:rsidR="0074744F">
              <w:rPr>
                <w:noProof/>
                <w:webHidden/>
              </w:rPr>
              <w:fldChar w:fldCharType="end"/>
            </w:r>
          </w:hyperlink>
        </w:p>
        <w:p w:rsidR="0074744F" w:rsidRDefault="00DC60F4">
          <w:pPr>
            <w:pStyle w:val="TDC1"/>
            <w:rPr>
              <w:rFonts w:cstheme="minorBidi"/>
              <w:noProof/>
            </w:rPr>
          </w:pPr>
          <w:hyperlink w:anchor="_Toc519067215" w:history="1">
            <w:r w:rsidR="0074744F" w:rsidRPr="004B58F9">
              <w:rPr>
                <w:rStyle w:val="Hipervnculo"/>
                <w:noProof/>
              </w:rPr>
              <w:t>V. ESTUDIO DE FONDO</w:t>
            </w:r>
            <w:r w:rsidR="0074744F">
              <w:rPr>
                <w:noProof/>
                <w:webHidden/>
              </w:rPr>
              <w:tab/>
            </w:r>
            <w:r w:rsidR="0074744F">
              <w:rPr>
                <w:noProof/>
                <w:webHidden/>
              </w:rPr>
              <w:fldChar w:fldCharType="begin"/>
            </w:r>
            <w:r w:rsidR="0074744F">
              <w:rPr>
                <w:noProof/>
                <w:webHidden/>
              </w:rPr>
              <w:instrText xml:space="preserve"> PAGEREF _Toc519067215 \h </w:instrText>
            </w:r>
            <w:r w:rsidR="0074744F">
              <w:rPr>
                <w:noProof/>
                <w:webHidden/>
              </w:rPr>
            </w:r>
            <w:r w:rsidR="0074744F">
              <w:rPr>
                <w:noProof/>
                <w:webHidden/>
              </w:rPr>
              <w:fldChar w:fldCharType="separate"/>
            </w:r>
            <w:r w:rsidR="00676781">
              <w:rPr>
                <w:noProof/>
                <w:webHidden/>
              </w:rPr>
              <w:t>5</w:t>
            </w:r>
            <w:r w:rsidR="0074744F">
              <w:rPr>
                <w:noProof/>
                <w:webHidden/>
              </w:rPr>
              <w:fldChar w:fldCharType="end"/>
            </w:r>
          </w:hyperlink>
        </w:p>
        <w:p w:rsidR="0074744F" w:rsidRDefault="00DC60F4">
          <w:pPr>
            <w:pStyle w:val="TDC2"/>
            <w:rPr>
              <w:rFonts w:cstheme="minorBidi"/>
              <w:b w:val="0"/>
              <w:noProof/>
            </w:rPr>
          </w:pPr>
          <w:hyperlink w:anchor="_Toc519067216" w:history="1">
            <w:r w:rsidR="0074744F" w:rsidRPr="004B58F9">
              <w:rPr>
                <w:rStyle w:val="Hipervnculo"/>
                <w:noProof/>
              </w:rPr>
              <w:t>Apartado A. Síntesis de agravios.</w:t>
            </w:r>
            <w:r w:rsidR="0074744F">
              <w:rPr>
                <w:noProof/>
                <w:webHidden/>
              </w:rPr>
              <w:tab/>
            </w:r>
            <w:r w:rsidR="0074744F">
              <w:rPr>
                <w:noProof/>
                <w:webHidden/>
              </w:rPr>
              <w:fldChar w:fldCharType="begin"/>
            </w:r>
            <w:r w:rsidR="0074744F">
              <w:rPr>
                <w:noProof/>
                <w:webHidden/>
              </w:rPr>
              <w:instrText xml:space="preserve"> PAGEREF _Toc519067216 \h </w:instrText>
            </w:r>
            <w:r w:rsidR="0074744F">
              <w:rPr>
                <w:noProof/>
                <w:webHidden/>
              </w:rPr>
            </w:r>
            <w:r w:rsidR="0074744F">
              <w:rPr>
                <w:noProof/>
                <w:webHidden/>
              </w:rPr>
              <w:fldChar w:fldCharType="separate"/>
            </w:r>
            <w:r w:rsidR="00676781">
              <w:rPr>
                <w:noProof/>
                <w:webHidden/>
              </w:rPr>
              <w:t>5</w:t>
            </w:r>
            <w:r w:rsidR="0074744F">
              <w:rPr>
                <w:noProof/>
                <w:webHidden/>
              </w:rPr>
              <w:fldChar w:fldCharType="end"/>
            </w:r>
          </w:hyperlink>
        </w:p>
        <w:p w:rsidR="0074744F" w:rsidRDefault="00DC60F4">
          <w:pPr>
            <w:pStyle w:val="TDC2"/>
            <w:rPr>
              <w:rFonts w:cstheme="minorBidi"/>
              <w:b w:val="0"/>
              <w:noProof/>
            </w:rPr>
          </w:pPr>
          <w:hyperlink w:anchor="_Toc519067217" w:history="1">
            <w:r w:rsidR="0074744F" w:rsidRPr="004B58F9">
              <w:rPr>
                <w:rStyle w:val="Hipervnculo"/>
                <w:noProof/>
              </w:rPr>
              <w:t xml:space="preserve">Apartado B. Fijación de la </w:t>
            </w:r>
            <w:r w:rsidR="0074744F" w:rsidRPr="004B58F9">
              <w:rPr>
                <w:rStyle w:val="Hipervnculo"/>
                <w:i/>
                <w:noProof/>
              </w:rPr>
              <w:t>litis</w:t>
            </w:r>
            <w:r w:rsidR="0074744F" w:rsidRPr="004B58F9">
              <w:rPr>
                <w:rStyle w:val="Hipervnculo"/>
                <w:noProof/>
              </w:rPr>
              <w:t>.</w:t>
            </w:r>
            <w:r w:rsidR="0074744F">
              <w:rPr>
                <w:noProof/>
                <w:webHidden/>
              </w:rPr>
              <w:tab/>
            </w:r>
            <w:r w:rsidR="0074744F">
              <w:rPr>
                <w:noProof/>
                <w:webHidden/>
              </w:rPr>
              <w:fldChar w:fldCharType="begin"/>
            </w:r>
            <w:r w:rsidR="0074744F">
              <w:rPr>
                <w:noProof/>
                <w:webHidden/>
              </w:rPr>
              <w:instrText xml:space="preserve"> PAGEREF _Toc519067217 \h </w:instrText>
            </w:r>
            <w:r w:rsidR="0074744F">
              <w:rPr>
                <w:noProof/>
                <w:webHidden/>
              </w:rPr>
            </w:r>
            <w:r w:rsidR="0074744F">
              <w:rPr>
                <w:noProof/>
                <w:webHidden/>
              </w:rPr>
              <w:fldChar w:fldCharType="separate"/>
            </w:r>
            <w:r w:rsidR="00676781">
              <w:rPr>
                <w:noProof/>
                <w:webHidden/>
              </w:rPr>
              <w:t>5</w:t>
            </w:r>
            <w:r w:rsidR="0074744F">
              <w:rPr>
                <w:noProof/>
                <w:webHidden/>
              </w:rPr>
              <w:fldChar w:fldCharType="end"/>
            </w:r>
          </w:hyperlink>
        </w:p>
        <w:p w:rsidR="0074744F" w:rsidRDefault="00DC60F4">
          <w:pPr>
            <w:pStyle w:val="TDC2"/>
            <w:rPr>
              <w:rFonts w:cstheme="minorBidi"/>
              <w:b w:val="0"/>
              <w:noProof/>
            </w:rPr>
          </w:pPr>
          <w:hyperlink w:anchor="_Toc519067218" w:history="1">
            <w:r w:rsidR="0074744F" w:rsidRPr="004B58F9">
              <w:rPr>
                <w:rStyle w:val="Hipervnculo"/>
                <w:noProof/>
              </w:rPr>
              <w:t>Apartado C. Metodología.</w:t>
            </w:r>
            <w:r w:rsidR="0074744F">
              <w:rPr>
                <w:noProof/>
                <w:webHidden/>
              </w:rPr>
              <w:tab/>
            </w:r>
            <w:r w:rsidR="0074744F">
              <w:rPr>
                <w:noProof/>
                <w:webHidden/>
              </w:rPr>
              <w:fldChar w:fldCharType="begin"/>
            </w:r>
            <w:r w:rsidR="0074744F">
              <w:rPr>
                <w:noProof/>
                <w:webHidden/>
              </w:rPr>
              <w:instrText xml:space="preserve"> PAGEREF _Toc519067218 \h </w:instrText>
            </w:r>
            <w:r w:rsidR="0074744F">
              <w:rPr>
                <w:noProof/>
                <w:webHidden/>
              </w:rPr>
            </w:r>
            <w:r w:rsidR="0074744F">
              <w:rPr>
                <w:noProof/>
                <w:webHidden/>
              </w:rPr>
              <w:fldChar w:fldCharType="separate"/>
            </w:r>
            <w:r w:rsidR="00676781">
              <w:rPr>
                <w:noProof/>
                <w:webHidden/>
              </w:rPr>
              <w:t>6</w:t>
            </w:r>
            <w:r w:rsidR="0074744F">
              <w:rPr>
                <w:noProof/>
                <w:webHidden/>
              </w:rPr>
              <w:fldChar w:fldCharType="end"/>
            </w:r>
          </w:hyperlink>
        </w:p>
        <w:p w:rsidR="0074744F" w:rsidRDefault="00DC60F4">
          <w:pPr>
            <w:pStyle w:val="TDC2"/>
            <w:rPr>
              <w:rFonts w:cstheme="minorBidi"/>
              <w:b w:val="0"/>
              <w:noProof/>
            </w:rPr>
          </w:pPr>
          <w:hyperlink w:anchor="_Toc519067219" w:history="1">
            <w:r w:rsidR="0074744F" w:rsidRPr="004B58F9">
              <w:rPr>
                <w:rStyle w:val="Hipervnculo"/>
                <w:noProof/>
              </w:rPr>
              <w:t>Apartado E. Decisión de la Sala Superior.</w:t>
            </w:r>
            <w:r w:rsidR="0074744F">
              <w:rPr>
                <w:noProof/>
                <w:webHidden/>
              </w:rPr>
              <w:tab/>
            </w:r>
            <w:r w:rsidR="0074744F">
              <w:rPr>
                <w:noProof/>
                <w:webHidden/>
              </w:rPr>
              <w:fldChar w:fldCharType="begin"/>
            </w:r>
            <w:r w:rsidR="0074744F">
              <w:rPr>
                <w:noProof/>
                <w:webHidden/>
              </w:rPr>
              <w:instrText xml:space="preserve"> PAGEREF _Toc519067219 \h </w:instrText>
            </w:r>
            <w:r w:rsidR="0074744F">
              <w:rPr>
                <w:noProof/>
                <w:webHidden/>
              </w:rPr>
            </w:r>
            <w:r w:rsidR="0074744F">
              <w:rPr>
                <w:noProof/>
                <w:webHidden/>
              </w:rPr>
              <w:fldChar w:fldCharType="separate"/>
            </w:r>
            <w:r w:rsidR="00676781">
              <w:rPr>
                <w:noProof/>
                <w:webHidden/>
              </w:rPr>
              <w:t>6</w:t>
            </w:r>
            <w:r w:rsidR="0074744F">
              <w:rPr>
                <w:noProof/>
                <w:webHidden/>
              </w:rPr>
              <w:fldChar w:fldCharType="end"/>
            </w:r>
          </w:hyperlink>
        </w:p>
        <w:p w:rsidR="0074744F" w:rsidRDefault="00DC60F4">
          <w:pPr>
            <w:pStyle w:val="TDC2"/>
            <w:rPr>
              <w:rFonts w:cstheme="minorBidi"/>
              <w:b w:val="0"/>
              <w:noProof/>
            </w:rPr>
          </w:pPr>
          <w:hyperlink w:anchor="_Toc519067220" w:history="1">
            <w:r w:rsidR="0074744F" w:rsidRPr="004B58F9">
              <w:rPr>
                <w:rStyle w:val="Hipervnculo"/>
                <w:noProof/>
              </w:rPr>
              <w:t>Apartado F: Justificación de la decisión.</w:t>
            </w:r>
            <w:r w:rsidR="0074744F">
              <w:rPr>
                <w:noProof/>
                <w:webHidden/>
              </w:rPr>
              <w:tab/>
            </w:r>
            <w:r w:rsidR="0074744F">
              <w:rPr>
                <w:noProof/>
                <w:webHidden/>
              </w:rPr>
              <w:fldChar w:fldCharType="begin"/>
            </w:r>
            <w:r w:rsidR="0074744F">
              <w:rPr>
                <w:noProof/>
                <w:webHidden/>
              </w:rPr>
              <w:instrText xml:space="preserve"> PAGEREF _Toc519067220 \h </w:instrText>
            </w:r>
            <w:r w:rsidR="0074744F">
              <w:rPr>
                <w:noProof/>
                <w:webHidden/>
              </w:rPr>
            </w:r>
            <w:r w:rsidR="0074744F">
              <w:rPr>
                <w:noProof/>
                <w:webHidden/>
              </w:rPr>
              <w:fldChar w:fldCharType="separate"/>
            </w:r>
            <w:r w:rsidR="00676781">
              <w:rPr>
                <w:noProof/>
                <w:webHidden/>
              </w:rPr>
              <w:t>6</w:t>
            </w:r>
            <w:r w:rsidR="0074744F">
              <w:rPr>
                <w:noProof/>
                <w:webHidden/>
              </w:rPr>
              <w:fldChar w:fldCharType="end"/>
            </w:r>
          </w:hyperlink>
        </w:p>
        <w:p w:rsidR="0074744F" w:rsidRDefault="00DC60F4">
          <w:pPr>
            <w:pStyle w:val="TDC2"/>
            <w:rPr>
              <w:rFonts w:cstheme="minorBidi"/>
              <w:b w:val="0"/>
              <w:noProof/>
            </w:rPr>
          </w:pPr>
          <w:hyperlink w:anchor="_Toc519067221" w:history="1">
            <w:r w:rsidR="0074744F" w:rsidRPr="004B58F9">
              <w:rPr>
                <w:rStyle w:val="Hipervnculo"/>
                <w:noProof/>
              </w:rPr>
              <w:t>1. Marco normativo.</w:t>
            </w:r>
            <w:r w:rsidR="0074744F">
              <w:rPr>
                <w:noProof/>
                <w:webHidden/>
              </w:rPr>
              <w:tab/>
            </w:r>
            <w:r w:rsidR="0074744F">
              <w:rPr>
                <w:noProof/>
                <w:webHidden/>
              </w:rPr>
              <w:fldChar w:fldCharType="begin"/>
            </w:r>
            <w:r w:rsidR="0074744F">
              <w:rPr>
                <w:noProof/>
                <w:webHidden/>
              </w:rPr>
              <w:instrText xml:space="preserve"> PAGEREF _Toc519067221 \h </w:instrText>
            </w:r>
            <w:r w:rsidR="0074744F">
              <w:rPr>
                <w:noProof/>
                <w:webHidden/>
              </w:rPr>
            </w:r>
            <w:r w:rsidR="0074744F">
              <w:rPr>
                <w:noProof/>
                <w:webHidden/>
              </w:rPr>
              <w:fldChar w:fldCharType="separate"/>
            </w:r>
            <w:r w:rsidR="00676781">
              <w:rPr>
                <w:noProof/>
                <w:webHidden/>
              </w:rPr>
              <w:t>6</w:t>
            </w:r>
            <w:r w:rsidR="0074744F">
              <w:rPr>
                <w:noProof/>
                <w:webHidden/>
              </w:rPr>
              <w:fldChar w:fldCharType="end"/>
            </w:r>
          </w:hyperlink>
        </w:p>
        <w:p w:rsidR="0074744F" w:rsidRDefault="00DC60F4">
          <w:pPr>
            <w:pStyle w:val="TDC2"/>
            <w:rPr>
              <w:rFonts w:cstheme="minorBidi"/>
              <w:b w:val="0"/>
              <w:noProof/>
            </w:rPr>
          </w:pPr>
          <w:hyperlink w:anchor="_Toc519067222" w:history="1">
            <w:r w:rsidR="0074744F" w:rsidRPr="004B58F9">
              <w:rPr>
                <w:rStyle w:val="Hipervnculo"/>
                <w:noProof/>
              </w:rPr>
              <w:t>2. Material denunciado.</w:t>
            </w:r>
            <w:r w:rsidR="0074744F">
              <w:rPr>
                <w:noProof/>
                <w:webHidden/>
              </w:rPr>
              <w:tab/>
            </w:r>
            <w:r w:rsidR="0074744F">
              <w:rPr>
                <w:noProof/>
                <w:webHidden/>
              </w:rPr>
              <w:fldChar w:fldCharType="begin"/>
            </w:r>
            <w:r w:rsidR="0074744F">
              <w:rPr>
                <w:noProof/>
                <w:webHidden/>
              </w:rPr>
              <w:instrText xml:space="preserve"> PAGEREF _Toc519067222 \h </w:instrText>
            </w:r>
            <w:r w:rsidR="0074744F">
              <w:rPr>
                <w:noProof/>
                <w:webHidden/>
              </w:rPr>
            </w:r>
            <w:r w:rsidR="0074744F">
              <w:rPr>
                <w:noProof/>
                <w:webHidden/>
              </w:rPr>
              <w:fldChar w:fldCharType="separate"/>
            </w:r>
            <w:r w:rsidR="00676781">
              <w:rPr>
                <w:noProof/>
                <w:webHidden/>
              </w:rPr>
              <w:t>9</w:t>
            </w:r>
            <w:r w:rsidR="0074744F">
              <w:rPr>
                <w:noProof/>
                <w:webHidden/>
              </w:rPr>
              <w:fldChar w:fldCharType="end"/>
            </w:r>
          </w:hyperlink>
        </w:p>
        <w:p w:rsidR="0074744F" w:rsidRDefault="00DC60F4">
          <w:pPr>
            <w:pStyle w:val="TDC2"/>
            <w:rPr>
              <w:rFonts w:cstheme="minorBidi"/>
              <w:b w:val="0"/>
              <w:noProof/>
            </w:rPr>
          </w:pPr>
          <w:hyperlink w:anchor="_Toc519067223" w:history="1">
            <w:r w:rsidR="0074744F" w:rsidRPr="004B58F9">
              <w:rPr>
                <w:rStyle w:val="Hipervnculo"/>
                <w:noProof/>
              </w:rPr>
              <w:t>3. Valoración de la Sala Superior.</w:t>
            </w:r>
            <w:r w:rsidR="0074744F">
              <w:rPr>
                <w:noProof/>
                <w:webHidden/>
              </w:rPr>
              <w:tab/>
            </w:r>
            <w:r w:rsidR="0074744F">
              <w:rPr>
                <w:noProof/>
                <w:webHidden/>
              </w:rPr>
              <w:fldChar w:fldCharType="begin"/>
            </w:r>
            <w:r w:rsidR="0074744F">
              <w:rPr>
                <w:noProof/>
                <w:webHidden/>
              </w:rPr>
              <w:instrText xml:space="preserve"> PAGEREF _Toc519067223 \h </w:instrText>
            </w:r>
            <w:r w:rsidR="0074744F">
              <w:rPr>
                <w:noProof/>
                <w:webHidden/>
              </w:rPr>
            </w:r>
            <w:r w:rsidR="0074744F">
              <w:rPr>
                <w:noProof/>
                <w:webHidden/>
              </w:rPr>
              <w:fldChar w:fldCharType="separate"/>
            </w:r>
            <w:r w:rsidR="00676781">
              <w:rPr>
                <w:noProof/>
                <w:webHidden/>
              </w:rPr>
              <w:t>13</w:t>
            </w:r>
            <w:r w:rsidR="0074744F">
              <w:rPr>
                <w:noProof/>
                <w:webHidden/>
              </w:rPr>
              <w:fldChar w:fldCharType="end"/>
            </w:r>
          </w:hyperlink>
        </w:p>
        <w:p w:rsidR="0074744F" w:rsidRDefault="00DC60F4">
          <w:pPr>
            <w:pStyle w:val="TDC1"/>
            <w:rPr>
              <w:rFonts w:cstheme="minorBidi"/>
              <w:noProof/>
            </w:rPr>
          </w:pPr>
          <w:hyperlink w:anchor="_Toc519067224" w:history="1">
            <w:r w:rsidR="0074744F" w:rsidRPr="004B58F9">
              <w:rPr>
                <w:rStyle w:val="Hipervnculo"/>
                <w:noProof/>
              </w:rPr>
              <w:t>VI. RESUELVE</w:t>
            </w:r>
            <w:r w:rsidR="0074744F">
              <w:rPr>
                <w:noProof/>
                <w:webHidden/>
              </w:rPr>
              <w:tab/>
            </w:r>
            <w:r w:rsidR="0074744F">
              <w:rPr>
                <w:noProof/>
                <w:webHidden/>
              </w:rPr>
              <w:fldChar w:fldCharType="begin"/>
            </w:r>
            <w:r w:rsidR="0074744F">
              <w:rPr>
                <w:noProof/>
                <w:webHidden/>
              </w:rPr>
              <w:instrText xml:space="preserve"> PAGEREF _Toc519067224 \h </w:instrText>
            </w:r>
            <w:r w:rsidR="0074744F">
              <w:rPr>
                <w:noProof/>
                <w:webHidden/>
              </w:rPr>
            </w:r>
            <w:r w:rsidR="0074744F">
              <w:rPr>
                <w:noProof/>
                <w:webHidden/>
              </w:rPr>
              <w:fldChar w:fldCharType="separate"/>
            </w:r>
            <w:r w:rsidR="00676781">
              <w:rPr>
                <w:noProof/>
                <w:webHidden/>
              </w:rPr>
              <w:t>21</w:t>
            </w:r>
            <w:r w:rsidR="0074744F">
              <w:rPr>
                <w:noProof/>
                <w:webHidden/>
              </w:rPr>
              <w:fldChar w:fldCharType="end"/>
            </w:r>
          </w:hyperlink>
        </w:p>
        <w:p w:rsidR="00F33108" w:rsidRPr="005D4A7D" w:rsidRDefault="00F33108" w:rsidP="00F00FBC">
          <w:pPr>
            <w:pStyle w:val="TDC1"/>
            <w:rPr>
              <w:sz w:val="24"/>
              <w:szCs w:val="24"/>
            </w:rPr>
          </w:pPr>
          <w:r w:rsidRPr="005D4A7D">
            <w:rPr>
              <w:b/>
              <w:bCs/>
              <w:lang w:val="es-ES"/>
            </w:rPr>
            <w:fldChar w:fldCharType="end"/>
          </w:r>
        </w:p>
      </w:sdtContent>
    </w:sdt>
    <w:p w:rsidR="00F33108" w:rsidRPr="005D4A7D" w:rsidRDefault="00F33108" w:rsidP="00034F41">
      <w:pPr>
        <w:pStyle w:val="Ttulo1"/>
        <w:spacing w:before="0" w:beforeAutospacing="0" w:after="0" w:afterAutospacing="0" w:line="240" w:lineRule="auto"/>
      </w:pPr>
      <w:bookmarkStart w:id="3" w:name="_Toc512984307"/>
      <w:bookmarkStart w:id="4" w:name="_Toc519067210"/>
      <w:r w:rsidRPr="005D4A7D">
        <w:t>GLOSARIO</w:t>
      </w:r>
      <w:bookmarkEnd w:id="3"/>
      <w:bookmarkEnd w:id="4"/>
    </w:p>
    <w:tbl>
      <w:tblPr>
        <w:tblW w:w="8080" w:type="dxa"/>
        <w:tblInd w:w="-142" w:type="dxa"/>
        <w:tblLook w:val="01E0" w:firstRow="1" w:lastRow="1" w:firstColumn="1" w:lastColumn="1" w:noHBand="0" w:noVBand="0"/>
      </w:tblPr>
      <w:tblGrid>
        <w:gridCol w:w="2273"/>
        <w:gridCol w:w="5807"/>
      </w:tblGrid>
      <w:tr w:rsidR="00F33108" w:rsidRPr="005D4A7D" w:rsidTr="00034F41">
        <w:trPr>
          <w:trHeight w:val="284"/>
        </w:trPr>
        <w:tc>
          <w:tcPr>
            <w:tcW w:w="2273" w:type="dxa"/>
          </w:tcPr>
          <w:p w:rsidR="00F33108" w:rsidRPr="005D4A7D" w:rsidRDefault="00F33108" w:rsidP="00364F7F">
            <w:pPr>
              <w:spacing w:after="0" w:line="240" w:lineRule="auto"/>
              <w:jc w:val="both"/>
              <w:rPr>
                <w:rFonts w:ascii="Arial" w:eastAsia="Calibri" w:hAnsi="Arial" w:cs="Arial"/>
                <w:b/>
                <w:sz w:val="20"/>
                <w:szCs w:val="20"/>
              </w:rPr>
            </w:pPr>
            <w:r w:rsidRPr="005D4A7D">
              <w:rPr>
                <w:rFonts w:ascii="Arial" w:eastAsia="Calibri" w:hAnsi="Arial" w:cs="Arial"/>
                <w:b/>
                <w:sz w:val="20"/>
                <w:szCs w:val="20"/>
              </w:rPr>
              <w:t>Constitución:</w:t>
            </w:r>
          </w:p>
        </w:tc>
        <w:tc>
          <w:tcPr>
            <w:tcW w:w="5807" w:type="dxa"/>
          </w:tcPr>
          <w:p w:rsidR="00F33108" w:rsidRPr="005D4A7D" w:rsidRDefault="00F33108" w:rsidP="00364F7F">
            <w:pPr>
              <w:spacing w:after="0" w:line="240" w:lineRule="auto"/>
              <w:jc w:val="both"/>
              <w:rPr>
                <w:rFonts w:ascii="Arial" w:eastAsia="Calibri" w:hAnsi="Arial" w:cs="Arial"/>
                <w:sz w:val="20"/>
                <w:szCs w:val="20"/>
                <w:lang w:eastAsia="es-MX"/>
              </w:rPr>
            </w:pPr>
            <w:r w:rsidRPr="005D4A7D">
              <w:rPr>
                <w:rFonts w:ascii="Arial" w:eastAsia="Calibri" w:hAnsi="Arial" w:cs="Arial"/>
                <w:sz w:val="20"/>
                <w:szCs w:val="20"/>
                <w:lang w:eastAsia="es-MX"/>
              </w:rPr>
              <w:t>Constitución Política de los Estados Unidos Mexicanos.</w:t>
            </w:r>
          </w:p>
        </w:tc>
      </w:tr>
      <w:tr w:rsidR="00E97162" w:rsidRPr="005D4A7D" w:rsidTr="00034F41">
        <w:trPr>
          <w:trHeight w:val="284"/>
        </w:trPr>
        <w:tc>
          <w:tcPr>
            <w:tcW w:w="2273" w:type="dxa"/>
          </w:tcPr>
          <w:p w:rsidR="00E97162" w:rsidRPr="005D4A7D" w:rsidRDefault="00E97162" w:rsidP="00364F7F">
            <w:pPr>
              <w:spacing w:after="0" w:line="240" w:lineRule="auto"/>
              <w:jc w:val="both"/>
              <w:rPr>
                <w:rFonts w:ascii="Arial" w:eastAsia="Calibri" w:hAnsi="Arial" w:cs="Arial"/>
                <w:b/>
                <w:sz w:val="20"/>
                <w:szCs w:val="20"/>
              </w:rPr>
            </w:pPr>
            <w:r w:rsidRPr="005D4A7D">
              <w:rPr>
                <w:rFonts w:ascii="Arial" w:eastAsia="Calibri" w:hAnsi="Arial" w:cs="Arial"/>
                <w:b/>
                <w:sz w:val="20"/>
                <w:szCs w:val="20"/>
              </w:rPr>
              <w:t>Comisión Interamericana:</w:t>
            </w:r>
          </w:p>
        </w:tc>
        <w:tc>
          <w:tcPr>
            <w:tcW w:w="5807" w:type="dxa"/>
          </w:tcPr>
          <w:p w:rsidR="00E97162" w:rsidRPr="005D4A7D" w:rsidRDefault="00E97162" w:rsidP="00364F7F">
            <w:pPr>
              <w:spacing w:after="0" w:line="240" w:lineRule="auto"/>
              <w:jc w:val="both"/>
              <w:rPr>
                <w:rFonts w:ascii="Arial" w:eastAsia="Calibri" w:hAnsi="Arial" w:cs="Arial"/>
                <w:sz w:val="20"/>
                <w:szCs w:val="20"/>
                <w:lang w:eastAsia="es-MX"/>
              </w:rPr>
            </w:pPr>
            <w:r w:rsidRPr="005D4A7D">
              <w:rPr>
                <w:rFonts w:ascii="Arial" w:eastAsia="Calibri" w:hAnsi="Arial" w:cs="Arial"/>
                <w:sz w:val="20"/>
                <w:szCs w:val="20"/>
                <w:lang w:eastAsia="es-MX"/>
              </w:rPr>
              <w:t>Comisión Interamericana de Derechos Humanos.</w:t>
            </w:r>
          </w:p>
        </w:tc>
      </w:tr>
      <w:tr w:rsidR="00E97162" w:rsidRPr="005D4A7D" w:rsidTr="00034F41">
        <w:trPr>
          <w:trHeight w:val="284"/>
        </w:trPr>
        <w:tc>
          <w:tcPr>
            <w:tcW w:w="2273" w:type="dxa"/>
          </w:tcPr>
          <w:p w:rsidR="00E97162" w:rsidRPr="005D4A7D" w:rsidRDefault="00E97162" w:rsidP="00364F7F">
            <w:pPr>
              <w:spacing w:after="0" w:line="240" w:lineRule="auto"/>
              <w:jc w:val="both"/>
              <w:rPr>
                <w:rFonts w:ascii="Arial" w:eastAsia="Calibri" w:hAnsi="Arial" w:cs="Arial"/>
                <w:b/>
                <w:sz w:val="20"/>
                <w:szCs w:val="20"/>
              </w:rPr>
            </w:pPr>
            <w:r w:rsidRPr="005D4A7D">
              <w:rPr>
                <w:rFonts w:ascii="Arial" w:eastAsia="Calibri" w:hAnsi="Arial" w:cs="Arial"/>
                <w:b/>
                <w:sz w:val="20"/>
                <w:szCs w:val="20"/>
              </w:rPr>
              <w:t>Comisión de Quejas</w:t>
            </w:r>
          </w:p>
        </w:tc>
        <w:tc>
          <w:tcPr>
            <w:tcW w:w="5807" w:type="dxa"/>
          </w:tcPr>
          <w:p w:rsidR="00E97162" w:rsidRPr="005D4A7D" w:rsidRDefault="00E97162" w:rsidP="00364F7F">
            <w:pPr>
              <w:spacing w:after="0" w:line="240" w:lineRule="auto"/>
              <w:jc w:val="both"/>
              <w:rPr>
                <w:rFonts w:ascii="Arial" w:eastAsia="Calibri" w:hAnsi="Arial" w:cs="Arial"/>
                <w:sz w:val="20"/>
                <w:szCs w:val="20"/>
                <w:lang w:eastAsia="es-MX"/>
              </w:rPr>
            </w:pPr>
            <w:r w:rsidRPr="005D4A7D">
              <w:rPr>
                <w:rFonts w:ascii="Arial" w:eastAsia="Calibri" w:hAnsi="Arial" w:cs="Arial"/>
                <w:sz w:val="20"/>
                <w:szCs w:val="20"/>
                <w:lang w:eastAsia="es-MX"/>
              </w:rPr>
              <w:t>Comisión de Quejas y Denuncias del Instituto Nacional Electoral.</w:t>
            </w:r>
          </w:p>
        </w:tc>
      </w:tr>
      <w:tr w:rsidR="00F33108" w:rsidRPr="005D4A7D" w:rsidTr="00034F41">
        <w:trPr>
          <w:trHeight w:val="284"/>
        </w:trPr>
        <w:tc>
          <w:tcPr>
            <w:tcW w:w="2273" w:type="dxa"/>
          </w:tcPr>
          <w:p w:rsidR="00F33108" w:rsidRPr="005D4A7D" w:rsidRDefault="00C920AF" w:rsidP="00364F7F">
            <w:pPr>
              <w:spacing w:after="0" w:line="240" w:lineRule="auto"/>
              <w:jc w:val="both"/>
              <w:rPr>
                <w:rFonts w:ascii="Arial" w:eastAsia="Calibri" w:hAnsi="Arial" w:cs="Arial"/>
                <w:b/>
                <w:sz w:val="20"/>
                <w:szCs w:val="20"/>
              </w:rPr>
            </w:pPr>
            <w:r w:rsidRPr="005D4A7D">
              <w:rPr>
                <w:rFonts w:ascii="Arial" w:eastAsia="Calibri" w:hAnsi="Arial" w:cs="Arial"/>
                <w:b/>
                <w:sz w:val="20"/>
                <w:szCs w:val="20"/>
              </w:rPr>
              <w:t>Recurrentes</w:t>
            </w:r>
            <w:r w:rsidR="00E97783" w:rsidRPr="005D4A7D">
              <w:rPr>
                <w:rFonts w:ascii="Arial" w:eastAsia="Calibri" w:hAnsi="Arial" w:cs="Arial"/>
                <w:b/>
                <w:sz w:val="20"/>
                <w:szCs w:val="20"/>
              </w:rPr>
              <w:t>:</w:t>
            </w:r>
          </w:p>
        </w:tc>
        <w:tc>
          <w:tcPr>
            <w:tcW w:w="5807" w:type="dxa"/>
          </w:tcPr>
          <w:p w:rsidR="00C920AF" w:rsidRPr="005D4A7D" w:rsidRDefault="00F50328" w:rsidP="00F50328">
            <w:pPr>
              <w:spacing w:after="0" w:line="240" w:lineRule="auto"/>
              <w:jc w:val="both"/>
              <w:rPr>
                <w:rFonts w:ascii="Arial" w:eastAsia="Calibri" w:hAnsi="Arial" w:cs="Arial"/>
                <w:sz w:val="20"/>
                <w:szCs w:val="20"/>
                <w:lang w:eastAsia="es-MX"/>
              </w:rPr>
            </w:pPr>
            <w:r w:rsidRPr="005D4A7D">
              <w:rPr>
                <w:rFonts w:ascii="Arial" w:eastAsia="Calibri" w:hAnsi="Arial" w:cs="Arial"/>
                <w:sz w:val="20"/>
                <w:szCs w:val="20"/>
                <w:lang w:eastAsia="es-MX"/>
              </w:rPr>
              <w:t xml:space="preserve">Partido Revolucionario Institucional y, a su entonces candidato a gobernador de Puebla, </w:t>
            </w:r>
            <w:r w:rsidR="00C920AF" w:rsidRPr="005D4A7D">
              <w:rPr>
                <w:rFonts w:ascii="Arial" w:eastAsia="Calibri" w:hAnsi="Arial" w:cs="Arial"/>
                <w:sz w:val="20"/>
                <w:szCs w:val="20"/>
                <w:lang w:eastAsia="es-MX"/>
              </w:rPr>
              <w:t>José Enrique Doger Guerrero</w:t>
            </w:r>
            <w:r w:rsidRPr="005D4A7D">
              <w:rPr>
                <w:rFonts w:ascii="Arial" w:eastAsia="Calibri" w:hAnsi="Arial" w:cs="Arial"/>
                <w:sz w:val="20"/>
                <w:szCs w:val="20"/>
                <w:lang w:eastAsia="es-MX"/>
              </w:rPr>
              <w:t>.</w:t>
            </w:r>
          </w:p>
        </w:tc>
      </w:tr>
      <w:tr w:rsidR="00F33108" w:rsidRPr="005D4A7D" w:rsidTr="00034F41">
        <w:trPr>
          <w:trHeight w:val="284"/>
        </w:trPr>
        <w:tc>
          <w:tcPr>
            <w:tcW w:w="2273" w:type="dxa"/>
          </w:tcPr>
          <w:p w:rsidR="00F33108" w:rsidRPr="005D4A7D" w:rsidRDefault="00F33108" w:rsidP="00364F7F">
            <w:pPr>
              <w:spacing w:after="0" w:line="240" w:lineRule="auto"/>
              <w:jc w:val="both"/>
              <w:rPr>
                <w:rFonts w:ascii="Arial" w:eastAsia="Calibri" w:hAnsi="Arial" w:cs="Arial"/>
                <w:b/>
                <w:sz w:val="20"/>
                <w:szCs w:val="20"/>
              </w:rPr>
            </w:pPr>
            <w:r w:rsidRPr="005D4A7D">
              <w:rPr>
                <w:rFonts w:ascii="Arial" w:eastAsia="Calibri" w:hAnsi="Arial" w:cs="Arial"/>
                <w:b/>
                <w:sz w:val="20"/>
                <w:szCs w:val="20"/>
              </w:rPr>
              <w:t>INE:</w:t>
            </w:r>
          </w:p>
        </w:tc>
        <w:tc>
          <w:tcPr>
            <w:tcW w:w="5807" w:type="dxa"/>
          </w:tcPr>
          <w:p w:rsidR="00F33108" w:rsidRPr="005D4A7D" w:rsidRDefault="00F33108" w:rsidP="00364F7F">
            <w:pPr>
              <w:spacing w:after="0" w:line="240" w:lineRule="auto"/>
              <w:jc w:val="both"/>
              <w:rPr>
                <w:rFonts w:ascii="Arial" w:eastAsia="Calibri" w:hAnsi="Arial" w:cs="Arial"/>
                <w:sz w:val="20"/>
                <w:szCs w:val="20"/>
                <w:lang w:eastAsia="es-MX"/>
              </w:rPr>
            </w:pPr>
            <w:r w:rsidRPr="005D4A7D">
              <w:rPr>
                <w:rFonts w:ascii="Arial" w:eastAsia="Calibri" w:hAnsi="Arial" w:cs="Arial"/>
                <w:sz w:val="20"/>
                <w:szCs w:val="20"/>
                <w:lang w:eastAsia="es-MX"/>
              </w:rPr>
              <w:t>Instituto Nacional Electoral.</w:t>
            </w:r>
          </w:p>
        </w:tc>
      </w:tr>
      <w:tr w:rsidR="00F33108" w:rsidRPr="005D4A7D" w:rsidTr="00034F41">
        <w:trPr>
          <w:trHeight w:val="284"/>
        </w:trPr>
        <w:tc>
          <w:tcPr>
            <w:tcW w:w="2273" w:type="dxa"/>
          </w:tcPr>
          <w:p w:rsidR="00F33108" w:rsidRPr="005D4A7D" w:rsidRDefault="00F33108" w:rsidP="00364F7F">
            <w:pPr>
              <w:spacing w:after="0" w:line="240" w:lineRule="auto"/>
              <w:jc w:val="both"/>
              <w:rPr>
                <w:rFonts w:ascii="Arial" w:eastAsia="Calibri" w:hAnsi="Arial" w:cs="Arial"/>
                <w:b/>
                <w:sz w:val="20"/>
                <w:szCs w:val="20"/>
              </w:rPr>
            </w:pPr>
            <w:r w:rsidRPr="005D4A7D">
              <w:rPr>
                <w:rFonts w:ascii="Arial" w:eastAsia="Calibri" w:hAnsi="Arial" w:cs="Arial"/>
                <w:b/>
                <w:sz w:val="20"/>
                <w:szCs w:val="20"/>
              </w:rPr>
              <w:t>Ley de Medios:</w:t>
            </w:r>
          </w:p>
        </w:tc>
        <w:tc>
          <w:tcPr>
            <w:tcW w:w="5807" w:type="dxa"/>
          </w:tcPr>
          <w:p w:rsidR="00F33108" w:rsidRPr="005D4A7D" w:rsidRDefault="00F33108" w:rsidP="00364F7F">
            <w:pPr>
              <w:spacing w:after="0" w:line="240" w:lineRule="auto"/>
              <w:jc w:val="both"/>
              <w:rPr>
                <w:rFonts w:ascii="Arial" w:eastAsia="Calibri" w:hAnsi="Arial" w:cs="Arial"/>
                <w:sz w:val="20"/>
                <w:szCs w:val="20"/>
                <w:lang w:eastAsia="es-MX"/>
              </w:rPr>
            </w:pPr>
            <w:r w:rsidRPr="005D4A7D">
              <w:rPr>
                <w:rFonts w:ascii="Arial" w:eastAsia="Calibri" w:hAnsi="Arial" w:cs="Arial"/>
                <w:sz w:val="20"/>
                <w:szCs w:val="20"/>
                <w:lang w:eastAsia="es-MX"/>
              </w:rPr>
              <w:t>Ley General del Sistema de Medios de Impugnación en Materia Electoral.</w:t>
            </w:r>
          </w:p>
        </w:tc>
      </w:tr>
      <w:tr w:rsidR="00F33108" w:rsidRPr="005D4A7D" w:rsidTr="00034F41">
        <w:trPr>
          <w:trHeight w:val="284"/>
        </w:trPr>
        <w:tc>
          <w:tcPr>
            <w:tcW w:w="2273" w:type="dxa"/>
          </w:tcPr>
          <w:p w:rsidR="00F33108" w:rsidRPr="005D4A7D" w:rsidRDefault="00F33108" w:rsidP="00364F7F">
            <w:pPr>
              <w:spacing w:after="0" w:line="240" w:lineRule="auto"/>
              <w:jc w:val="both"/>
              <w:rPr>
                <w:rFonts w:ascii="Arial" w:eastAsia="Calibri" w:hAnsi="Arial" w:cs="Arial"/>
                <w:b/>
                <w:sz w:val="20"/>
                <w:szCs w:val="20"/>
              </w:rPr>
            </w:pPr>
            <w:r w:rsidRPr="005D4A7D">
              <w:rPr>
                <w:rFonts w:ascii="Arial" w:eastAsia="Calibri" w:hAnsi="Arial" w:cs="Arial"/>
                <w:b/>
                <w:sz w:val="20"/>
                <w:szCs w:val="20"/>
              </w:rPr>
              <w:t>Ley Electoral:</w:t>
            </w:r>
          </w:p>
        </w:tc>
        <w:tc>
          <w:tcPr>
            <w:tcW w:w="5807" w:type="dxa"/>
          </w:tcPr>
          <w:p w:rsidR="00F33108" w:rsidRPr="005D4A7D" w:rsidRDefault="00F33108" w:rsidP="00364F7F">
            <w:pPr>
              <w:spacing w:after="0" w:line="240" w:lineRule="auto"/>
              <w:jc w:val="both"/>
              <w:rPr>
                <w:rFonts w:ascii="Arial" w:eastAsia="Calibri" w:hAnsi="Arial" w:cs="Arial"/>
                <w:sz w:val="20"/>
                <w:szCs w:val="20"/>
                <w:lang w:eastAsia="es-MX"/>
              </w:rPr>
            </w:pPr>
            <w:r w:rsidRPr="005D4A7D">
              <w:rPr>
                <w:rFonts w:ascii="Arial" w:eastAsia="Calibri" w:hAnsi="Arial" w:cs="Arial"/>
                <w:sz w:val="20"/>
                <w:szCs w:val="20"/>
                <w:lang w:eastAsia="es-MX"/>
              </w:rPr>
              <w:t>Ley General de Instituciones y Procedimientos Electorales.</w:t>
            </w:r>
          </w:p>
        </w:tc>
      </w:tr>
      <w:tr w:rsidR="00F33108" w:rsidRPr="005D4A7D" w:rsidTr="00034F41">
        <w:trPr>
          <w:trHeight w:val="284"/>
        </w:trPr>
        <w:tc>
          <w:tcPr>
            <w:tcW w:w="2273" w:type="dxa"/>
          </w:tcPr>
          <w:p w:rsidR="00F33108" w:rsidRPr="005D4A7D" w:rsidRDefault="00F33108" w:rsidP="00364F7F">
            <w:pPr>
              <w:spacing w:after="0" w:line="240" w:lineRule="auto"/>
              <w:jc w:val="both"/>
              <w:rPr>
                <w:rFonts w:ascii="Arial" w:eastAsia="Calibri" w:hAnsi="Arial" w:cs="Arial"/>
                <w:b/>
                <w:sz w:val="20"/>
                <w:szCs w:val="20"/>
              </w:rPr>
            </w:pPr>
            <w:r w:rsidRPr="005D4A7D">
              <w:rPr>
                <w:rFonts w:ascii="Arial" w:eastAsia="Calibri" w:hAnsi="Arial" w:cs="Arial"/>
                <w:b/>
                <w:sz w:val="20"/>
                <w:szCs w:val="20"/>
              </w:rPr>
              <w:t>Ley Orgánica:</w:t>
            </w:r>
          </w:p>
        </w:tc>
        <w:tc>
          <w:tcPr>
            <w:tcW w:w="5807" w:type="dxa"/>
          </w:tcPr>
          <w:p w:rsidR="00F33108" w:rsidRPr="005D4A7D" w:rsidRDefault="00F33108" w:rsidP="00364F7F">
            <w:pPr>
              <w:spacing w:after="0" w:line="240" w:lineRule="auto"/>
              <w:jc w:val="both"/>
              <w:rPr>
                <w:rFonts w:ascii="Arial" w:eastAsia="Calibri" w:hAnsi="Arial" w:cs="Arial"/>
                <w:sz w:val="20"/>
                <w:szCs w:val="20"/>
                <w:lang w:eastAsia="es-MX"/>
              </w:rPr>
            </w:pPr>
            <w:r w:rsidRPr="005D4A7D">
              <w:rPr>
                <w:rFonts w:ascii="Arial" w:eastAsia="Calibri" w:hAnsi="Arial" w:cs="Arial"/>
                <w:sz w:val="20"/>
                <w:szCs w:val="20"/>
                <w:lang w:eastAsia="es-MX"/>
              </w:rPr>
              <w:t>Ley Orgánica del Poder Judicial de la Federación.</w:t>
            </w:r>
          </w:p>
        </w:tc>
      </w:tr>
      <w:tr w:rsidR="00F33108" w:rsidRPr="005D4A7D" w:rsidTr="00034F41">
        <w:trPr>
          <w:trHeight w:val="284"/>
        </w:trPr>
        <w:tc>
          <w:tcPr>
            <w:tcW w:w="2273" w:type="dxa"/>
          </w:tcPr>
          <w:p w:rsidR="00F33108" w:rsidRPr="005D4A7D" w:rsidRDefault="00F33108" w:rsidP="00364F7F">
            <w:pPr>
              <w:spacing w:after="0" w:line="240" w:lineRule="auto"/>
              <w:jc w:val="both"/>
              <w:rPr>
                <w:rFonts w:ascii="Arial" w:eastAsia="Calibri" w:hAnsi="Arial" w:cs="Arial"/>
                <w:b/>
                <w:sz w:val="20"/>
                <w:szCs w:val="20"/>
              </w:rPr>
            </w:pPr>
            <w:r w:rsidRPr="005D4A7D">
              <w:rPr>
                <w:rFonts w:ascii="Arial" w:eastAsia="Calibri" w:hAnsi="Arial" w:cs="Arial"/>
                <w:b/>
                <w:sz w:val="20"/>
                <w:szCs w:val="20"/>
              </w:rPr>
              <w:t>PRI:</w:t>
            </w:r>
          </w:p>
        </w:tc>
        <w:tc>
          <w:tcPr>
            <w:tcW w:w="5807" w:type="dxa"/>
          </w:tcPr>
          <w:p w:rsidR="00F33108" w:rsidRPr="005D4A7D" w:rsidRDefault="00F33108" w:rsidP="00364F7F">
            <w:pPr>
              <w:spacing w:after="0" w:line="240" w:lineRule="auto"/>
              <w:jc w:val="both"/>
              <w:rPr>
                <w:rFonts w:ascii="Arial" w:eastAsia="Calibri" w:hAnsi="Arial" w:cs="Arial"/>
                <w:sz w:val="20"/>
                <w:szCs w:val="20"/>
                <w:lang w:eastAsia="es-MX"/>
              </w:rPr>
            </w:pPr>
            <w:r w:rsidRPr="005D4A7D">
              <w:rPr>
                <w:rFonts w:ascii="Arial" w:eastAsia="Calibri" w:hAnsi="Arial" w:cs="Arial"/>
                <w:sz w:val="20"/>
                <w:szCs w:val="20"/>
                <w:lang w:eastAsia="es-MX"/>
              </w:rPr>
              <w:t>Partido Revolucionario Institucional.</w:t>
            </w:r>
          </w:p>
        </w:tc>
      </w:tr>
      <w:tr w:rsidR="00F33108" w:rsidRPr="005D4A7D" w:rsidTr="00034F41">
        <w:trPr>
          <w:trHeight w:val="284"/>
        </w:trPr>
        <w:tc>
          <w:tcPr>
            <w:tcW w:w="2273" w:type="dxa"/>
          </w:tcPr>
          <w:p w:rsidR="00F33108" w:rsidRPr="005D4A7D" w:rsidRDefault="00F33108" w:rsidP="00364F7F">
            <w:pPr>
              <w:spacing w:after="0" w:line="240" w:lineRule="auto"/>
              <w:jc w:val="both"/>
              <w:rPr>
                <w:rFonts w:ascii="Arial" w:eastAsia="Calibri" w:hAnsi="Arial" w:cs="Arial"/>
                <w:b/>
                <w:sz w:val="20"/>
                <w:szCs w:val="20"/>
              </w:rPr>
            </w:pPr>
            <w:r w:rsidRPr="005D4A7D">
              <w:rPr>
                <w:rFonts w:ascii="Arial" w:eastAsia="Calibri" w:hAnsi="Arial" w:cs="Arial"/>
                <w:b/>
                <w:sz w:val="20"/>
                <w:szCs w:val="20"/>
              </w:rPr>
              <w:lastRenderedPageBreak/>
              <w:t>Recurso de revisión:</w:t>
            </w:r>
          </w:p>
        </w:tc>
        <w:tc>
          <w:tcPr>
            <w:tcW w:w="5807" w:type="dxa"/>
          </w:tcPr>
          <w:p w:rsidR="00F33108" w:rsidRPr="005D4A7D" w:rsidRDefault="00F33108" w:rsidP="00364F7F">
            <w:pPr>
              <w:spacing w:after="0" w:line="240" w:lineRule="auto"/>
              <w:jc w:val="both"/>
              <w:rPr>
                <w:rFonts w:ascii="Arial" w:eastAsia="Calibri" w:hAnsi="Arial" w:cs="Arial"/>
                <w:sz w:val="20"/>
                <w:szCs w:val="20"/>
              </w:rPr>
            </w:pPr>
            <w:r w:rsidRPr="005D4A7D">
              <w:rPr>
                <w:rFonts w:ascii="Arial" w:eastAsia="Calibri" w:hAnsi="Arial" w:cs="Arial"/>
                <w:sz w:val="20"/>
                <w:szCs w:val="20"/>
              </w:rPr>
              <w:t>Recurso de revisión del procedimiento especial sancionador.</w:t>
            </w:r>
          </w:p>
        </w:tc>
      </w:tr>
      <w:tr w:rsidR="00F33108" w:rsidRPr="005D4A7D" w:rsidTr="00034F41">
        <w:trPr>
          <w:trHeight w:val="284"/>
        </w:trPr>
        <w:tc>
          <w:tcPr>
            <w:tcW w:w="2273" w:type="dxa"/>
          </w:tcPr>
          <w:p w:rsidR="00F33108" w:rsidRPr="005D4A7D" w:rsidRDefault="00F33108" w:rsidP="00364F7F">
            <w:pPr>
              <w:spacing w:after="0" w:line="240" w:lineRule="auto"/>
              <w:jc w:val="both"/>
              <w:rPr>
                <w:rFonts w:ascii="Arial" w:eastAsia="Calibri" w:hAnsi="Arial" w:cs="Arial"/>
                <w:b/>
                <w:sz w:val="20"/>
                <w:szCs w:val="20"/>
              </w:rPr>
            </w:pPr>
            <w:r w:rsidRPr="005D4A7D">
              <w:rPr>
                <w:rFonts w:ascii="Arial" w:eastAsia="Calibri" w:hAnsi="Arial" w:cs="Arial"/>
                <w:b/>
                <w:sz w:val="20"/>
                <w:szCs w:val="20"/>
              </w:rPr>
              <w:t>Sala Superior:</w:t>
            </w:r>
          </w:p>
        </w:tc>
        <w:tc>
          <w:tcPr>
            <w:tcW w:w="5807" w:type="dxa"/>
          </w:tcPr>
          <w:p w:rsidR="00F33108" w:rsidRPr="005D4A7D" w:rsidRDefault="00F33108" w:rsidP="00364F7F">
            <w:pPr>
              <w:spacing w:after="0" w:line="240" w:lineRule="auto"/>
              <w:jc w:val="both"/>
              <w:rPr>
                <w:rFonts w:ascii="Arial" w:eastAsia="Calibri" w:hAnsi="Arial" w:cs="Arial"/>
                <w:sz w:val="20"/>
                <w:szCs w:val="20"/>
                <w:lang w:eastAsia="es-MX"/>
              </w:rPr>
            </w:pPr>
            <w:r w:rsidRPr="005D4A7D">
              <w:rPr>
                <w:rFonts w:ascii="Arial" w:eastAsia="Calibri" w:hAnsi="Arial" w:cs="Arial"/>
                <w:sz w:val="20"/>
                <w:szCs w:val="20"/>
                <w:lang w:eastAsia="es-MX"/>
              </w:rPr>
              <w:t>Sala Superior del Tribunal Electoral del Poder Judicial de la Federación.</w:t>
            </w:r>
          </w:p>
        </w:tc>
      </w:tr>
      <w:tr w:rsidR="00F33108" w:rsidRPr="005D4A7D" w:rsidTr="00034F41">
        <w:trPr>
          <w:trHeight w:val="284"/>
        </w:trPr>
        <w:tc>
          <w:tcPr>
            <w:tcW w:w="2273" w:type="dxa"/>
          </w:tcPr>
          <w:p w:rsidR="00F33108" w:rsidRPr="005D4A7D" w:rsidRDefault="00F33108" w:rsidP="00364F7F">
            <w:pPr>
              <w:spacing w:after="0" w:line="240" w:lineRule="auto"/>
              <w:jc w:val="both"/>
              <w:rPr>
                <w:rFonts w:ascii="Arial" w:eastAsia="Calibri" w:hAnsi="Arial" w:cs="Arial"/>
                <w:b/>
                <w:sz w:val="20"/>
                <w:szCs w:val="20"/>
              </w:rPr>
            </w:pPr>
            <w:r w:rsidRPr="005D4A7D">
              <w:rPr>
                <w:rFonts w:ascii="Arial" w:eastAsia="Calibri" w:hAnsi="Arial" w:cs="Arial"/>
                <w:b/>
                <w:sz w:val="20"/>
                <w:szCs w:val="20"/>
              </w:rPr>
              <w:t>Sala Especializada o Sala Responsable:</w:t>
            </w:r>
          </w:p>
        </w:tc>
        <w:tc>
          <w:tcPr>
            <w:tcW w:w="5807" w:type="dxa"/>
          </w:tcPr>
          <w:p w:rsidR="00F33108" w:rsidRPr="005D4A7D" w:rsidRDefault="00F33108" w:rsidP="00364F7F">
            <w:pPr>
              <w:spacing w:after="0" w:line="240" w:lineRule="auto"/>
              <w:jc w:val="both"/>
              <w:rPr>
                <w:rFonts w:ascii="Arial" w:eastAsia="Calibri" w:hAnsi="Arial" w:cs="Arial"/>
                <w:sz w:val="20"/>
                <w:szCs w:val="20"/>
                <w:lang w:eastAsia="es-MX"/>
              </w:rPr>
            </w:pPr>
            <w:r w:rsidRPr="005D4A7D">
              <w:rPr>
                <w:rFonts w:ascii="Arial" w:eastAsia="Calibri" w:hAnsi="Arial" w:cs="Arial"/>
                <w:sz w:val="20"/>
                <w:szCs w:val="20"/>
                <w:lang w:eastAsia="es-MX"/>
              </w:rPr>
              <w:t>Sala Regional Especializada del Tribunal Electoral del Poder Judicial de la Federación.</w:t>
            </w:r>
          </w:p>
        </w:tc>
      </w:tr>
      <w:tr w:rsidR="00F33108" w:rsidRPr="005D4A7D" w:rsidTr="00034F41">
        <w:trPr>
          <w:trHeight w:val="284"/>
        </w:trPr>
        <w:tc>
          <w:tcPr>
            <w:tcW w:w="2273" w:type="dxa"/>
          </w:tcPr>
          <w:p w:rsidR="00F33108" w:rsidRPr="005D4A7D" w:rsidRDefault="00F33108" w:rsidP="00364F7F">
            <w:pPr>
              <w:spacing w:after="0" w:line="240" w:lineRule="auto"/>
              <w:jc w:val="both"/>
              <w:rPr>
                <w:rFonts w:ascii="Arial" w:eastAsia="Calibri" w:hAnsi="Arial" w:cs="Arial"/>
                <w:b/>
                <w:sz w:val="20"/>
                <w:szCs w:val="20"/>
              </w:rPr>
            </w:pPr>
            <w:r w:rsidRPr="005D4A7D">
              <w:rPr>
                <w:rFonts w:ascii="Arial" w:eastAsia="Calibri" w:hAnsi="Arial" w:cs="Arial"/>
                <w:b/>
                <w:sz w:val="20"/>
                <w:szCs w:val="20"/>
              </w:rPr>
              <w:t xml:space="preserve">Suprema </w:t>
            </w:r>
            <w:r w:rsidR="00E97162" w:rsidRPr="005D4A7D">
              <w:rPr>
                <w:rFonts w:ascii="Arial" w:eastAsia="Calibri" w:hAnsi="Arial" w:cs="Arial"/>
                <w:b/>
                <w:sz w:val="20"/>
                <w:szCs w:val="20"/>
              </w:rPr>
              <w:t>C</w:t>
            </w:r>
            <w:r w:rsidRPr="005D4A7D">
              <w:rPr>
                <w:rFonts w:ascii="Arial" w:eastAsia="Calibri" w:hAnsi="Arial" w:cs="Arial"/>
                <w:b/>
                <w:sz w:val="20"/>
                <w:szCs w:val="20"/>
              </w:rPr>
              <w:t>orte:</w:t>
            </w:r>
          </w:p>
        </w:tc>
        <w:tc>
          <w:tcPr>
            <w:tcW w:w="5807" w:type="dxa"/>
          </w:tcPr>
          <w:p w:rsidR="00F33108" w:rsidRPr="005D4A7D" w:rsidRDefault="00F33108" w:rsidP="00364F7F">
            <w:pPr>
              <w:spacing w:after="0" w:line="240" w:lineRule="auto"/>
              <w:jc w:val="both"/>
              <w:rPr>
                <w:rFonts w:ascii="Arial" w:eastAsia="Calibri" w:hAnsi="Arial" w:cs="Arial"/>
                <w:sz w:val="20"/>
                <w:szCs w:val="20"/>
                <w:lang w:eastAsia="es-MX"/>
              </w:rPr>
            </w:pPr>
            <w:r w:rsidRPr="005D4A7D">
              <w:rPr>
                <w:rFonts w:ascii="Arial" w:eastAsia="Calibri" w:hAnsi="Arial" w:cs="Arial"/>
                <w:sz w:val="20"/>
                <w:szCs w:val="20"/>
                <w:lang w:eastAsia="es-MX"/>
              </w:rPr>
              <w:t>Suprema Corte de Justicia de la Nación.</w:t>
            </w:r>
          </w:p>
        </w:tc>
      </w:tr>
      <w:tr w:rsidR="00F33108" w:rsidRPr="005D4A7D" w:rsidTr="00034F41">
        <w:trPr>
          <w:trHeight w:val="284"/>
        </w:trPr>
        <w:tc>
          <w:tcPr>
            <w:tcW w:w="2273" w:type="dxa"/>
            <w:vAlign w:val="center"/>
          </w:tcPr>
          <w:p w:rsidR="00F33108" w:rsidRPr="005D4A7D" w:rsidRDefault="00F33108" w:rsidP="00364F7F">
            <w:pPr>
              <w:spacing w:after="0" w:line="240" w:lineRule="auto"/>
              <w:jc w:val="both"/>
              <w:rPr>
                <w:rFonts w:ascii="Arial" w:eastAsia="Calibri" w:hAnsi="Arial" w:cs="Arial"/>
                <w:b/>
                <w:sz w:val="20"/>
                <w:szCs w:val="20"/>
              </w:rPr>
            </w:pPr>
            <w:r w:rsidRPr="005D4A7D">
              <w:rPr>
                <w:rFonts w:ascii="Arial" w:eastAsia="Calibri" w:hAnsi="Arial" w:cs="Arial"/>
                <w:b/>
                <w:sz w:val="20"/>
                <w:szCs w:val="20"/>
              </w:rPr>
              <w:t>Unidad Técnica:</w:t>
            </w:r>
          </w:p>
        </w:tc>
        <w:tc>
          <w:tcPr>
            <w:tcW w:w="5807" w:type="dxa"/>
          </w:tcPr>
          <w:p w:rsidR="00F33108" w:rsidRPr="005D4A7D" w:rsidRDefault="00F33108" w:rsidP="00364F7F">
            <w:pPr>
              <w:spacing w:after="0" w:line="240" w:lineRule="auto"/>
              <w:jc w:val="both"/>
              <w:rPr>
                <w:rFonts w:ascii="Arial" w:eastAsia="Calibri" w:hAnsi="Arial" w:cs="Arial"/>
                <w:sz w:val="20"/>
                <w:szCs w:val="20"/>
                <w:lang w:eastAsia="es-MX"/>
              </w:rPr>
            </w:pPr>
            <w:r w:rsidRPr="005D4A7D">
              <w:rPr>
                <w:rFonts w:ascii="Arial" w:eastAsia="Calibri" w:hAnsi="Arial" w:cs="Arial"/>
                <w:sz w:val="20"/>
                <w:szCs w:val="20"/>
                <w:lang w:eastAsia="es-MX"/>
              </w:rPr>
              <w:t>Unidad Técnica de lo Contencioso Electoral de la Secretaría Ejecutiva del Instituto Nacional Electoral.</w:t>
            </w:r>
          </w:p>
        </w:tc>
      </w:tr>
      <w:tr w:rsidR="00F33108" w:rsidRPr="005D4A7D" w:rsidTr="00034F41">
        <w:trPr>
          <w:trHeight w:val="284"/>
        </w:trPr>
        <w:tc>
          <w:tcPr>
            <w:tcW w:w="2273" w:type="dxa"/>
          </w:tcPr>
          <w:p w:rsidR="00F33108" w:rsidRPr="005D4A7D" w:rsidRDefault="00F33108" w:rsidP="00364F7F">
            <w:pPr>
              <w:spacing w:after="0" w:line="240" w:lineRule="auto"/>
              <w:jc w:val="both"/>
              <w:rPr>
                <w:rFonts w:ascii="Arial" w:eastAsia="Calibri" w:hAnsi="Arial" w:cs="Arial"/>
                <w:b/>
                <w:sz w:val="20"/>
                <w:szCs w:val="20"/>
              </w:rPr>
            </w:pPr>
            <w:r w:rsidRPr="005D4A7D">
              <w:rPr>
                <w:rFonts w:ascii="Arial" w:eastAsia="Calibri" w:hAnsi="Arial" w:cs="Arial"/>
                <w:b/>
                <w:sz w:val="20"/>
                <w:szCs w:val="20"/>
              </w:rPr>
              <w:t>Tribunal Electoral:</w:t>
            </w:r>
          </w:p>
        </w:tc>
        <w:tc>
          <w:tcPr>
            <w:tcW w:w="5807" w:type="dxa"/>
          </w:tcPr>
          <w:p w:rsidR="00F33108" w:rsidRPr="005D4A7D" w:rsidRDefault="00F33108" w:rsidP="00364F7F">
            <w:pPr>
              <w:spacing w:after="0" w:line="240" w:lineRule="auto"/>
              <w:jc w:val="both"/>
              <w:rPr>
                <w:rFonts w:ascii="Arial" w:eastAsia="Calibri" w:hAnsi="Arial" w:cs="Arial"/>
                <w:sz w:val="20"/>
                <w:szCs w:val="20"/>
                <w:lang w:eastAsia="es-MX"/>
              </w:rPr>
            </w:pPr>
            <w:r w:rsidRPr="005D4A7D">
              <w:rPr>
                <w:rFonts w:ascii="Arial" w:eastAsia="Calibri" w:hAnsi="Arial" w:cs="Arial"/>
                <w:sz w:val="20"/>
                <w:szCs w:val="20"/>
                <w:lang w:eastAsia="es-MX"/>
              </w:rPr>
              <w:t>Tribunal Electoral del Poder Judicial de la Federación.</w:t>
            </w:r>
          </w:p>
        </w:tc>
      </w:tr>
    </w:tbl>
    <w:p w:rsidR="00F33108" w:rsidRPr="005D4A7D" w:rsidRDefault="00F50328" w:rsidP="004C044E">
      <w:pPr>
        <w:pStyle w:val="Ttulo1"/>
        <w:spacing w:before="240" w:beforeAutospacing="0" w:after="120" w:afterAutospacing="0"/>
        <w:rPr>
          <w:lang w:eastAsia="es-MX"/>
        </w:rPr>
      </w:pPr>
      <w:bookmarkStart w:id="5" w:name="_Toc512984308"/>
      <w:bookmarkStart w:id="6" w:name="_Toc519067211"/>
      <w:r w:rsidRPr="005D4A7D">
        <w:rPr>
          <w:lang w:eastAsia="es-MX"/>
        </w:rPr>
        <w:t xml:space="preserve">I. </w:t>
      </w:r>
      <w:r w:rsidR="00F33108" w:rsidRPr="005D4A7D">
        <w:rPr>
          <w:lang w:eastAsia="es-MX"/>
        </w:rPr>
        <w:t>ANTECEDENTES</w:t>
      </w:r>
      <w:bookmarkEnd w:id="5"/>
      <w:bookmarkEnd w:id="6"/>
    </w:p>
    <w:p w:rsidR="00F33108" w:rsidRPr="005D4A7D" w:rsidRDefault="00F33108" w:rsidP="0074744F">
      <w:pPr>
        <w:spacing w:before="120" w:after="120" w:line="360" w:lineRule="auto"/>
        <w:jc w:val="both"/>
        <w:rPr>
          <w:rFonts w:ascii="Arial" w:eastAsia="Calibri" w:hAnsi="Arial" w:cs="Arial"/>
          <w:b/>
          <w:bCs/>
          <w:sz w:val="24"/>
          <w:szCs w:val="24"/>
          <w:lang w:val="es-ES_tradnl"/>
        </w:rPr>
      </w:pPr>
      <w:r w:rsidRPr="005D4A7D">
        <w:rPr>
          <w:rFonts w:ascii="Arial" w:eastAsia="Calibri" w:hAnsi="Arial" w:cs="Arial"/>
          <w:b/>
          <w:bCs/>
          <w:sz w:val="24"/>
          <w:szCs w:val="24"/>
          <w:lang w:val="es-ES_tradnl"/>
        </w:rPr>
        <w:t>Procedimiento Especial Sancionador.</w:t>
      </w:r>
    </w:p>
    <w:p w:rsidR="00F33108" w:rsidRPr="005D4A7D" w:rsidRDefault="00F33108" w:rsidP="0074744F">
      <w:pPr>
        <w:tabs>
          <w:tab w:val="left" w:pos="7185"/>
        </w:tabs>
        <w:spacing w:before="120" w:after="120" w:line="360" w:lineRule="auto"/>
        <w:jc w:val="both"/>
        <w:rPr>
          <w:rFonts w:ascii="Arial" w:eastAsia="Calibri" w:hAnsi="Arial" w:cs="Arial"/>
          <w:bCs/>
          <w:sz w:val="24"/>
          <w:szCs w:val="24"/>
        </w:rPr>
      </w:pPr>
      <w:r w:rsidRPr="005D4A7D">
        <w:rPr>
          <w:rFonts w:ascii="Arial" w:eastAsia="Calibri" w:hAnsi="Arial" w:cs="Arial"/>
          <w:b/>
          <w:bCs/>
          <w:sz w:val="24"/>
          <w:szCs w:val="24"/>
        </w:rPr>
        <w:t xml:space="preserve">1. Proceso Electoral </w:t>
      </w:r>
      <w:r w:rsidR="003F0C4B" w:rsidRPr="005D4A7D">
        <w:rPr>
          <w:rFonts w:ascii="Arial" w:eastAsia="Calibri" w:hAnsi="Arial" w:cs="Arial"/>
          <w:b/>
          <w:bCs/>
          <w:sz w:val="24"/>
          <w:szCs w:val="24"/>
        </w:rPr>
        <w:t>Loc</w:t>
      </w:r>
      <w:r w:rsidRPr="005D4A7D">
        <w:rPr>
          <w:rFonts w:ascii="Arial" w:eastAsia="Calibri" w:hAnsi="Arial" w:cs="Arial"/>
          <w:b/>
          <w:bCs/>
          <w:sz w:val="24"/>
          <w:szCs w:val="24"/>
        </w:rPr>
        <w:t>al.</w:t>
      </w:r>
      <w:r w:rsidRPr="005D4A7D">
        <w:rPr>
          <w:rFonts w:ascii="Arial" w:eastAsia="Calibri" w:hAnsi="Arial" w:cs="Arial"/>
          <w:bCs/>
          <w:sz w:val="24"/>
          <w:szCs w:val="24"/>
        </w:rPr>
        <w:t xml:space="preserve"> El ocho </w:t>
      </w:r>
      <w:r w:rsidR="002E2E30" w:rsidRPr="005D4A7D">
        <w:rPr>
          <w:rFonts w:ascii="Arial" w:eastAsia="Calibri" w:hAnsi="Arial" w:cs="Arial"/>
          <w:bCs/>
          <w:sz w:val="24"/>
          <w:szCs w:val="24"/>
        </w:rPr>
        <w:t>d</w:t>
      </w:r>
      <w:r w:rsidRPr="005D4A7D">
        <w:rPr>
          <w:rFonts w:ascii="Arial" w:eastAsia="Calibri" w:hAnsi="Arial" w:cs="Arial"/>
          <w:bCs/>
          <w:sz w:val="24"/>
          <w:szCs w:val="24"/>
        </w:rPr>
        <w:t>e septiembre de dos mil diecisie</w:t>
      </w:r>
      <w:r w:rsidR="00B02B92" w:rsidRPr="005D4A7D">
        <w:rPr>
          <w:rFonts w:ascii="Arial" w:eastAsia="Calibri" w:hAnsi="Arial" w:cs="Arial"/>
          <w:bCs/>
          <w:sz w:val="24"/>
          <w:szCs w:val="24"/>
        </w:rPr>
        <w:t>te inició el proceso electoral</w:t>
      </w:r>
      <w:r w:rsidRPr="005D4A7D">
        <w:rPr>
          <w:rFonts w:ascii="Arial" w:eastAsia="Calibri" w:hAnsi="Arial" w:cs="Arial"/>
          <w:bCs/>
          <w:sz w:val="24"/>
          <w:szCs w:val="24"/>
        </w:rPr>
        <w:t xml:space="preserve"> para la renovación de, entre otros cargos, </w:t>
      </w:r>
      <w:r w:rsidR="003F0C4B" w:rsidRPr="005D4A7D">
        <w:rPr>
          <w:rFonts w:ascii="Arial" w:eastAsia="Calibri" w:hAnsi="Arial" w:cs="Arial"/>
          <w:bCs/>
          <w:sz w:val="24"/>
          <w:szCs w:val="24"/>
        </w:rPr>
        <w:t>la gubernatura del Estado de Puebla</w:t>
      </w:r>
      <w:r w:rsidRPr="005D4A7D">
        <w:rPr>
          <w:rFonts w:ascii="Arial" w:eastAsia="Calibri" w:hAnsi="Arial" w:cs="Arial"/>
          <w:bCs/>
          <w:sz w:val="24"/>
          <w:szCs w:val="24"/>
        </w:rPr>
        <w:t>.</w:t>
      </w:r>
    </w:p>
    <w:p w:rsidR="00991581" w:rsidRPr="005D4A7D" w:rsidRDefault="00991581" w:rsidP="0074744F">
      <w:pPr>
        <w:tabs>
          <w:tab w:val="left" w:pos="7185"/>
        </w:tabs>
        <w:spacing w:before="120" w:after="120" w:line="360" w:lineRule="auto"/>
        <w:jc w:val="both"/>
        <w:rPr>
          <w:rFonts w:ascii="Arial" w:eastAsia="Calibri" w:hAnsi="Arial" w:cs="Arial"/>
          <w:bCs/>
          <w:sz w:val="24"/>
          <w:szCs w:val="24"/>
        </w:rPr>
      </w:pPr>
      <w:r w:rsidRPr="005D4A7D">
        <w:rPr>
          <w:rFonts w:ascii="Arial" w:eastAsia="Calibri" w:hAnsi="Arial" w:cs="Arial"/>
          <w:b/>
          <w:bCs/>
          <w:sz w:val="24"/>
          <w:szCs w:val="24"/>
        </w:rPr>
        <w:t>2. Etapa de campaña.</w:t>
      </w:r>
      <w:r w:rsidRPr="005D4A7D">
        <w:rPr>
          <w:rFonts w:ascii="Arial" w:eastAsia="Calibri" w:hAnsi="Arial" w:cs="Arial"/>
          <w:bCs/>
          <w:sz w:val="24"/>
          <w:szCs w:val="24"/>
        </w:rPr>
        <w:t xml:space="preserve"> </w:t>
      </w:r>
      <w:r w:rsidR="00EB0AAC" w:rsidRPr="005D4A7D">
        <w:rPr>
          <w:rFonts w:ascii="Arial" w:eastAsia="Calibri" w:hAnsi="Arial" w:cs="Arial"/>
          <w:bCs/>
          <w:sz w:val="24"/>
          <w:szCs w:val="24"/>
        </w:rPr>
        <w:t>Tuvo lugar d</w:t>
      </w:r>
      <w:r w:rsidRPr="005D4A7D">
        <w:rPr>
          <w:rFonts w:ascii="Arial" w:hAnsi="Arial" w:cs="Arial"/>
          <w:sz w:val="24"/>
          <w:szCs w:val="24"/>
        </w:rPr>
        <w:t>el veintinueve de abril al veintisiete de junio de dos mil dieciocho.</w:t>
      </w:r>
      <w:r w:rsidR="00F50328" w:rsidRPr="005D4A7D">
        <w:rPr>
          <w:rStyle w:val="Refdenotaalpie"/>
          <w:rFonts w:ascii="Arial" w:eastAsia="Calibri" w:hAnsi="Arial" w:cs="Arial"/>
          <w:bCs/>
          <w:sz w:val="24"/>
          <w:szCs w:val="24"/>
        </w:rPr>
        <w:footnoteReference w:id="2"/>
      </w:r>
    </w:p>
    <w:p w:rsidR="000A4DB4" w:rsidRPr="005D4A7D" w:rsidRDefault="00991581" w:rsidP="0074744F">
      <w:pPr>
        <w:tabs>
          <w:tab w:val="left" w:pos="7185"/>
        </w:tabs>
        <w:spacing w:before="120" w:after="120" w:line="360" w:lineRule="auto"/>
        <w:jc w:val="both"/>
        <w:rPr>
          <w:rFonts w:ascii="Arial" w:eastAsia="Calibri" w:hAnsi="Arial" w:cs="Arial"/>
          <w:bCs/>
          <w:sz w:val="24"/>
          <w:szCs w:val="24"/>
        </w:rPr>
      </w:pPr>
      <w:r w:rsidRPr="005D4A7D">
        <w:rPr>
          <w:rFonts w:ascii="Arial" w:eastAsia="Calibri" w:hAnsi="Arial" w:cs="Arial"/>
          <w:b/>
          <w:bCs/>
          <w:sz w:val="24"/>
          <w:szCs w:val="24"/>
        </w:rPr>
        <w:t>3</w:t>
      </w:r>
      <w:r w:rsidR="00F33108" w:rsidRPr="005D4A7D">
        <w:rPr>
          <w:rFonts w:ascii="Arial" w:eastAsia="Calibri" w:hAnsi="Arial" w:cs="Arial"/>
          <w:b/>
          <w:bCs/>
          <w:sz w:val="24"/>
          <w:szCs w:val="24"/>
        </w:rPr>
        <w:t>. Denuncia</w:t>
      </w:r>
      <w:r w:rsidR="00F33108" w:rsidRPr="005D4A7D">
        <w:rPr>
          <w:rFonts w:ascii="Arial" w:eastAsia="Calibri" w:hAnsi="Arial" w:cs="Arial"/>
          <w:bCs/>
          <w:sz w:val="24"/>
          <w:szCs w:val="24"/>
        </w:rPr>
        <w:t xml:space="preserve">. El </w:t>
      </w:r>
      <w:r w:rsidR="008E39FD" w:rsidRPr="005D4A7D">
        <w:rPr>
          <w:rFonts w:ascii="Arial" w:eastAsia="Calibri" w:hAnsi="Arial" w:cs="Arial"/>
          <w:bCs/>
          <w:sz w:val="24"/>
          <w:szCs w:val="24"/>
        </w:rPr>
        <w:t xml:space="preserve">seis </w:t>
      </w:r>
      <w:r w:rsidR="002F4B6A" w:rsidRPr="005D4A7D">
        <w:rPr>
          <w:rFonts w:ascii="Arial" w:eastAsia="Calibri" w:hAnsi="Arial" w:cs="Arial"/>
          <w:bCs/>
          <w:sz w:val="24"/>
          <w:szCs w:val="24"/>
        </w:rPr>
        <w:t xml:space="preserve">y siete </w:t>
      </w:r>
      <w:r w:rsidR="008E39FD" w:rsidRPr="005D4A7D">
        <w:rPr>
          <w:rFonts w:ascii="Arial" w:eastAsia="Calibri" w:hAnsi="Arial" w:cs="Arial"/>
          <w:bCs/>
          <w:sz w:val="24"/>
          <w:szCs w:val="24"/>
        </w:rPr>
        <w:t>de junio,</w:t>
      </w:r>
      <w:r w:rsidR="008E39FD" w:rsidRPr="005D4A7D">
        <w:rPr>
          <w:rStyle w:val="Refdenotaalpie"/>
          <w:rFonts w:ascii="Arial" w:eastAsia="Calibri" w:hAnsi="Arial" w:cs="Arial"/>
          <w:bCs/>
          <w:sz w:val="24"/>
          <w:szCs w:val="24"/>
        </w:rPr>
        <w:t xml:space="preserve"> </w:t>
      </w:r>
      <w:r w:rsidR="008E39FD" w:rsidRPr="005D4A7D">
        <w:rPr>
          <w:rFonts w:ascii="Arial" w:eastAsia="Calibri" w:hAnsi="Arial" w:cs="Arial"/>
          <w:bCs/>
          <w:sz w:val="24"/>
          <w:szCs w:val="24"/>
        </w:rPr>
        <w:t>el PAN</w:t>
      </w:r>
      <w:r w:rsidR="002F4B6A" w:rsidRPr="005D4A7D">
        <w:rPr>
          <w:rFonts w:ascii="Arial" w:eastAsia="Calibri" w:hAnsi="Arial" w:cs="Arial"/>
          <w:bCs/>
          <w:sz w:val="24"/>
          <w:szCs w:val="24"/>
        </w:rPr>
        <w:t xml:space="preserve"> </w:t>
      </w:r>
      <w:r w:rsidR="00AD1064" w:rsidRPr="005D4A7D">
        <w:rPr>
          <w:rFonts w:ascii="Arial" w:eastAsia="Calibri" w:hAnsi="Arial" w:cs="Arial"/>
          <w:bCs/>
          <w:sz w:val="24"/>
          <w:szCs w:val="24"/>
        </w:rPr>
        <w:t>y</w:t>
      </w:r>
      <w:r w:rsidR="00B175E1" w:rsidRPr="005D4A7D">
        <w:rPr>
          <w:rFonts w:ascii="Arial" w:eastAsia="Calibri" w:hAnsi="Arial" w:cs="Arial"/>
          <w:bCs/>
          <w:sz w:val="24"/>
          <w:szCs w:val="24"/>
        </w:rPr>
        <w:t xml:space="preserve"> su entonces candidata al</w:t>
      </w:r>
      <w:r w:rsidR="00EB0AAC" w:rsidRPr="005D4A7D">
        <w:rPr>
          <w:rFonts w:ascii="Arial" w:eastAsia="Calibri" w:hAnsi="Arial" w:cs="Arial"/>
          <w:bCs/>
          <w:sz w:val="24"/>
          <w:szCs w:val="24"/>
        </w:rPr>
        <w:t xml:space="preserve"> Gobierno del Estado de Puebla</w:t>
      </w:r>
      <w:r w:rsidR="00EB0AAC" w:rsidRPr="005D4A7D">
        <w:rPr>
          <w:rStyle w:val="Refdenotaalpie"/>
          <w:rFonts w:ascii="Arial" w:eastAsia="Calibri" w:hAnsi="Arial"/>
          <w:bCs/>
          <w:sz w:val="24"/>
          <w:szCs w:val="24"/>
        </w:rPr>
        <w:footnoteReference w:id="3"/>
      </w:r>
      <w:r w:rsidR="002F4B6A" w:rsidRPr="005D4A7D">
        <w:rPr>
          <w:rFonts w:ascii="Arial" w:eastAsia="Calibri" w:hAnsi="Arial" w:cs="Arial"/>
          <w:bCs/>
          <w:sz w:val="24"/>
          <w:szCs w:val="24"/>
        </w:rPr>
        <w:t xml:space="preserve">, </w:t>
      </w:r>
      <w:r w:rsidR="00843D32" w:rsidRPr="005D4A7D">
        <w:rPr>
          <w:rFonts w:ascii="Arial" w:eastAsia="Calibri" w:hAnsi="Arial" w:cs="Arial"/>
          <w:bCs/>
          <w:sz w:val="24"/>
          <w:szCs w:val="24"/>
        </w:rPr>
        <w:t xml:space="preserve">presentaron </w:t>
      </w:r>
      <w:r w:rsidR="00B175E1" w:rsidRPr="005D4A7D">
        <w:rPr>
          <w:rFonts w:ascii="Arial" w:eastAsia="Calibri" w:hAnsi="Arial" w:cs="Arial"/>
          <w:bCs/>
          <w:sz w:val="24"/>
          <w:szCs w:val="24"/>
        </w:rPr>
        <w:t xml:space="preserve">queja en contra del PRI y </w:t>
      </w:r>
      <w:r w:rsidR="000A4DB4" w:rsidRPr="005D4A7D">
        <w:rPr>
          <w:rFonts w:ascii="Arial" w:eastAsia="Calibri" w:hAnsi="Arial" w:cs="Arial"/>
          <w:bCs/>
          <w:sz w:val="24"/>
          <w:szCs w:val="24"/>
        </w:rPr>
        <w:t>su candidato a dicha gubernatura</w:t>
      </w:r>
      <w:r w:rsidR="00AD1064" w:rsidRPr="005D4A7D">
        <w:rPr>
          <w:rStyle w:val="Refdenotaalpie"/>
          <w:rFonts w:ascii="Arial" w:eastAsia="Calibri" w:hAnsi="Arial"/>
          <w:bCs/>
          <w:sz w:val="24"/>
          <w:szCs w:val="24"/>
        </w:rPr>
        <w:footnoteReference w:id="4"/>
      </w:r>
      <w:r w:rsidR="000A4DB4" w:rsidRPr="005D4A7D">
        <w:rPr>
          <w:rFonts w:ascii="Arial" w:eastAsia="Calibri" w:hAnsi="Arial" w:cs="Arial"/>
          <w:bCs/>
          <w:sz w:val="24"/>
          <w:szCs w:val="24"/>
        </w:rPr>
        <w:t xml:space="preserve">, </w:t>
      </w:r>
      <w:r w:rsidR="008E39FD" w:rsidRPr="005D4A7D">
        <w:rPr>
          <w:rFonts w:ascii="Arial" w:eastAsia="Calibri" w:hAnsi="Arial" w:cs="Arial"/>
          <w:bCs/>
          <w:sz w:val="24"/>
          <w:szCs w:val="24"/>
        </w:rPr>
        <w:t>por la difusión de</w:t>
      </w:r>
      <w:r w:rsidR="00843D32" w:rsidRPr="005D4A7D">
        <w:rPr>
          <w:rFonts w:ascii="Arial" w:eastAsia="Calibri" w:hAnsi="Arial" w:cs="Arial"/>
          <w:bCs/>
          <w:sz w:val="24"/>
          <w:szCs w:val="24"/>
        </w:rPr>
        <w:t xml:space="preserve">l </w:t>
      </w:r>
      <w:r w:rsidR="008E39FD" w:rsidRPr="005D4A7D">
        <w:rPr>
          <w:rFonts w:ascii="Arial" w:eastAsia="Calibri" w:hAnsi="Arial" w:cs="Arial"/>
          <w:bCs/>
          <w:sz w:val="24"/>
          <w:szCs w:val="24"/>
        </w:rPr>
        <w:t>promocional denominado “PUE L ESPEJITO”</w:t>
      </w:r>
      <w:r w:rsidR="00843D32" w:rsidRPr="005D4A7D">
        <w:rPr>
          <w:rStyle w:val="Refdenotaalpie"/>
          <w:rFonts w:ascii="Arial" w:eastAsia="Calibri" w:hAnsi="Arial" w:cs="Arial"/>
          <w:bCs/>
          <w:sz w:val="24"/>
          <w:szCs w:val="24"/>
        </w:rPr>
        <w:footnoteReference w:id="5"/>
      </w:r>
      <w:r w:rsidR="008E39FD" w:rsidRPr="005D4A7D">
        <w:rPr>
          <w:rFonts w:ascii="Arial" w:eastAsia="Calibri" w:hAnsi="Arial" w:cs="Arial"/>
          <w:bCs/>
          <w:sz w:val="24"/>
          <w:szCs w:val="24"/>
        </w:rPr>
        <w:t xml:space="preserve"> que, desde su perspectiva, constituye violencia política por razón de género en contra de </w:t>
      </w:r>
      <w:r w:rsidR="000A4DB4" w:rsidRPr="005D4A7D">
        <w:rPr>
          <w:rFonts w:ascii="Arial" w:eastAsia="Calibri" w:hAnsi="Arial" w:cs="Arial"/>
          <w:bCs/>
          <w:sz w:val="24"/>
          <w:szCs w:val="24"/>
        </w:rPr>
        <w:t>la citada</w:t>
      </w:r>
      <w:r w:rsidR="008E39FD" w:rsidRPr="005D4A7D">
        <w:rPr>
          <w:rFonts w:ascii="Arial" w:eastAsia="Calibri" w:hAnsi="Arial" w:cs="Arial"/>
          <w:bCs/>
          <w:sz w:val="24"/>
          <w:szCs w:val="24"/>
        </w:rPr>
        <w:t xml:space="preserve"> </w:t>
      </w:r>
      <w:r w:rsidR="000A4DB4" w:rsidRPr="005D4A7D">
        <w:rPr>
          <w:rFonts w:ascii="Arial" w:eastAsia="Calibri" w:hAnsi="Arial" w:cs="Arial"/>
          <w:bCs/>
          <w:sz w:val="24"/>
          <w:szCs w:val="24"/>
        </w:rPr>
        <w:t>ex</w:t>
      </w:r>
      <w:r w:rsidR="008E39FD" w:rsidRPr="005D4A7D">
        <w:rPr>
          <w:rFonts w:ascii="Arial" w:eastAsia="Calibri" w:hAnsi="Arial" w:cs="Arial"/>
          <w:bCs/>
          <w:sz w:val="24"/>
          <w:szCs w:val="24"/>
        </w:rPr>
        <w:t>candidata</w:t>
      </w:r>
      <w:r w:rsidR="000A4DB4" w:rsidRPr="005D4A7D">
        <w:rPr>
          <w:rFonts w:ascii="Arial" w:eastAsia="Calibri" w:hAnsi="Arial" w:cs="Arial"/>
          <w:bCs/>
          <w:sz w:val="24"/>
          <w:szCs w:val="24"/>
        </w:rPr>
        <w:t xml:space="preserve"> y, </w:t>
      </w:r>
      <w:r w:rsidR="008E39FD" w:rsidRPr="005D4A7D">
        <w:rPr>
          <w:rFonts w:ascii="Arial" w:eastAsia="Calibri" w:hAnsi="Arial" w:cs="Arial"/>
          <w:bCs/>
          <w:sz w:val="24"/>
          <w:szCs w:val="24"/>
        </w:rPr>
        <w:t>el uso indebido de la pauta, atribuible al PRI</w:t>
      </w:r>
      <w:r w:rsidR="000A4DB4" w:rsidRPr="005D4A7D">
        <w:rPr>
          <w:rFonts w:ascii="Arial" w:eastAsia="Calibri" w:hAnsi="Arial" w:cs="Arial"/>
          <w:bCs/>
          <w:sz w:val="24"/>
          <w:szCs w:val="24"/>
        </w:rPr>
        <w:t>.</w:t>
      </w:r>
    </w:p>
    <w:p w:rsidR="008E39FD" w:rsidRPr="005D4A7D" w:rsidRDefault="000A4DB4" w:rsidP="0074744F">
      <w:pPr>
        <w:tabs>
          <w:tab w:val="left" w:pos="7185"/>
        </w:tabs>
        <w:spacing w:before="120" w:after="120" w:line="360" w:lineRule="auto"/>
        <w:jc w:val="both"/>
        <w:rPr>
          <w:rFonts w:ascii="Arial" w:eastAsia="Calibri" w:hAnsi="Arial" w:cs="Arial"/>
          <w:bCs/>
          <w:sz w:val="24"/>
          <w:szCs w:val="24"/>
        </w:rPr>
      </w:pPr>
      <w:r w:rsidRPr="005D4A7D">
        <w:rPr>
          <w:rFonts w:ascii="Arial" w:eastAsia="Calibri" w:hAnsi="Arial" w:cs="Arial"/>
          <w:bCs/>
          <w:sz w:val="24"/>
          <w:szCs w:val="24"/>
        </w:rPr>
        <w:t xml:space="preserve">Por lo anterior, solicitaron </w:t>
      </w:r>
      <w:r w:rsidR="008E39FD" w:rsidRPr="005D4A7D">
        <w:rPr>
          <w:rFonts w:ascii="Arial" w:eastAsia="Calibri" w:hAnsi="Arial" w:cs="Arial"/>
          <w:bCs/>
          <w:sz w:val="24"/>
          <w:szCs w:val="24"/>
        </w:rPr>
        <w:t>la adopción de medidas cautelares.</w:t>
      </w:r>
    </w:p>
    <w:p w:rsidR="00F33108" w:rsidRPr="005D4A7D" w:rsidRDefault="002473ED" w:rsidP="0074744F">
      <w:pPr>
        <w:tabs>
          <w:tab w:val="left" w:pos="7185"/>
        </w:tabs>
        <w:spacing w:before="120" w:after="120" w:line="360" w:lineRule="auto"/>
        <w:jc w:val="both"/>
        <w:rPr>
          <w:rFonts w:ascii="Arial" w:eastAsia="Calibri" w:hAnsi="Arial" w:cs="Arial"/>
          <w:bCs/>
          <w:sz w:val="24"/>
          <w:szCs w:val="24"/>
        </w:rPr>
      </w:pPr>
      <w:r w:rsidRPr="005D4A7D">
        <w:rPr>
          <w:rFonts w:ascii="Arial" w:eastAsia="Calibri" w:hAnsi="Arial" w:cs="Arial"/>
          <w:b/>
          <w:bCs/>
          <w:sz w:val="24"/>
          <w:szCs w:val="24"/>
        </w:rPr>
        <w:t>4</w:t>
      </w:r>
      <w:r w:rsidR="00F33108" w:rsidRPr="005D4A7D">
        <w:rPr>
          <w:rFonts w:ascii="Arial" w:eastAsia="Calibri" w:hAnsi="Arial" w:cs="Arial"/>
          <w:b/>
          <w:bCs/>
          <w:sz w:val="24"/>
          <w:szCs w:val="24"/>
        </w:rPr>
        <w:t>. Medidas cautelares</w:t>
      </w:r>
      <w:r w:rsidR="00F33108" w:rsidRPr="005D4A7D">
        <w:rPr>
          <w:rFonts w:ascii="Arial" w:eastAsia="Calibri" w:hAnsi="Arial" w:cs="Arial"/>
          <w:bCs/>
          <w:sz w:val="24"/>
          <w:szCs w:val="24"/>
        </w:rPr>
        <w:t xml:space="preserve">. El </w:t>
      </w:r>
      <w:r w:rsidR="002F4B6A" w:rsidRPr="005D4A7D">
        <w:rPr>
          <w:rFonts w:ascii="Arial" w:eastAsia="Calibri" w:hAnsi="Arial" w:cs="Arial"/>
          <w:bCs/>
          <w:sz w:val="24"/>
          <w:szCs w:val="24"/>
        </w:rPr>
        <w:t>siete de junio</w:t>
      </w:r>
      <w:r w:rsidR="00F33108" w:rsidRPr="005D4A7D">
        <w:rPr>
          <w:rFonts w:ascii="Arial" w:eastAsia="Calibri" w:hAnsi="Arial" w:cs="Arial"/>
          <w:bCs/>
          <w:sz w:val="24"/>
          <w:szCs w:val="24"/>
        </w:rPr>
        <w:t>,</w:t>
      </w:r>
      <w:r w:rsidR="002F4B6A" w:rsidRPr="005D4A7D">
        <w:rPr>
          <w:rFonts w:ascii="Arial" w:eastAsia="Calibri" w:hAnsi="Arial" w:cs="Arial"/>
          <w:bCs/>
          <w:sz w:val="24"/>
          <w:szCs w:val="24"/>
        </w:rPr>
        <w:t xml:space="preserve"> </w:t>
      </w:r>
      <w:r w:rsidR="00E97162" w:rsidRPr="005D4A7D">
        <w:rPr>
          <w:rFonts w:ascii="Arial" w:eastAsia="Calibri" w:hAnsi="Arial" w:cs="Arial"/>
          <w:bCs/>
          <w:sz w:val="24"/>
          <w:szCs w:val="24"/>
        </w:rPr>
        <w:t>la Comisión de Quejas</w:t>
      </w:r>
      <w:r w:rsidR="002F4B6A" w:rsidRPr="005D4A7D">
        <w:rPr>
          <w:rFonts w:ascii="Arial" w:eastAsia="Calibri" w:hAnsi="Arial" w:cs="Arial"/>
          <w:bCs/>
          <w:sz w:val="24"/>
          <w:szCs w:val="24"/>
        </w:rPr>
        <w:t xml:space="preserve"> determinó</w:t>
      </w:r>
      <w:r w:rsidR="00EB0AAC" w:rsidRPr="005D4A7D">
        <w:rPr>
          <w:rFonts w:ascii="Arial" w:eastAsia="Calibri" w:hAnsi="Arial" w:cs="Arial"/>
          <w:bCs/>
          <w:sz w:val="24"/>
          <w:szCs w:val="24"/>
        </w:rPr>
        <w:t xml:space="preserve"> </w:t>
      </w:r>
      <w:r w:rsidR="002F4B6A" w:rsidRPr="005D4A7D">
        <w:rPr>
          <w:rFonts w:ascii="Arial" w:eastAsia="Calibri" w:hAnsi="Arial" w:cs="Arial"/>
          <w:bCs/>
          <w:sz w:val="24"/>
          <w:szCs w:val="24"/>
        </w:rPr>
        <w:t>la procedencia de la medida cautelar solicitada</w:t>
      </w:r>
      <w:r w:rsidR="00F33108" w:rsidRPr="005D4A7D">
        <w:rPr>
          <w:rFonts w:ascii="Arial" w:eastAsia="Calibri" w:hAnsi="Arial" w:cs="Arial"/>
          <w:bCs/>
          <w:sz w:val="24"/>
          <w:szCs w:val="24"/>
        </w:rPr>
        <w:t>.</w:t>
      </w:r>
      <w:r w:rsidR="00E46C96" w:rsidRPr="005D4A7D">
        <w:rPr>
          <w:rStyle w:val="Refdenotaalpie"/>
          <w:rFonts w:ascii="Arial" w:eastAsia="Calibri" w:hAnsi="Arial"/>
          <w:bCs/>
          <w:sz w:val="24"/>
          <w:szCs w:val="24"/>
        </w:rPr>
        <w:footnoteReference w:id="6"/>
      </w:r>
    </w:p>
    <w:p w:rsidR="00F33108" w:rsidRPr="005D4A7D" w:rsidRDefault="00E46C96" w:rsidP="0074744F">
      <w:pPr>
        <w:tabs>
          <w:tab w:val="left" w:pos="7185"/>
        </w:tabs>
        <w:spacing w:before="120" w:after="120" w:line="360" w:lineRule="auto"/>
        <w:jc w:val="both"/>
        <w:rPr>
          <w:rFonts w:ascii="Arial" w:hAnsi="Arial" w:cs="Arial"/>
          <w:color w:val="000000"/>
          <w:sz w:val="24"/>
          <w:szCs w:val="24"/>
        </w:rPr>
      </w:pPr>
      <w:r w:rsidRPr="005D4A7D">
        <w:rPr>
          <w:rFonts w:ascii="Arial" w:eastAsia="Calibri" w:hAnsi="Arial" w:cs="Arial"/>
          <w:b/>
          <w:bCs/>
          <w:sz w:val="24"/>
          <w:szCs w:val="24"/>
        </w:rPr>
        <w:t>5</w:t>
      </w:r>
      <w:r w:rsidR="00F33108" w:rsidRPr="005D4A7D">
        <w:rPr>
          <w:rFonts w:ascii="Arial" w:eastAsia="Calibri" w:hAnsi="Arial" w:cs="Arial"/>
          <w:b/>
          <w:bCs/>
          <w:sz w:val="24"/>
          <w:szCs w:val="24"/>
        </w:rPr>
        <w:t xml:space="preserve">. </w:t>
      </w:r>
      <w:r w:rsidR="00F33108" w:rsidRPr="005D4A7D">
        <w:rPr>
          <w:rFonts w:ascii="Arial" w:hAnsi="Arial" w:cs="Arial"/>
          <w:b/>
          <w:bCs/>
          <w:color w:val="000000"/>
          <w:sz w:val="24"/>
          <w:szCs w:val="24"/>
        </w:rPr>
        <w:t>Resolución impugnada</w:t>
      </w:r>
      <w:r w:rsidR="00F33108" w:rsidRPr="005D4A7D">
        <w:rPr>
          <w:rFonts w:ascii="Arial" w:hAnsi="Arial" w:cs="Arial"/>
          <w:bCs/>
          <w:color w:val="000000"/>
          <w:sz w:val="24"/>
          <w:szCs w:val="24"/>
        </w:rPr>
        <w:t>. Mediante</w:t>
      </w:r>
      <w:r w:rsidR="00F33108" w:rsidRPr="005D4A7D">
        <w:rPr>
          <w:rFonts w:ascii="Arial" w:hAnsi="Arial" w:cs="Arial"/>
          <w:b/>
          <w:bCs/>
          <w:color w:val="000000"/>
          <w:sz w:val="24"/>
          <w:szCs w:val="24"/>
        </w:rPr>
        <w:t xml:space="preserve"> </w:t>
      </w:r>
      <w:r w:rsidR="00F33108" w:rsidRPr="005D4A7D">
        <w:rPr>
          <w:rFonts w:ascii="Arial" w:hAnsi="Arial" w:cs="Arial"/>
          <w:color w:val="000000"/>
          <w:sz w:val="24"/>
          <w:szCs w:val="24"/>
        </w:rPr>
        <w:t xml:space="preserve">resolución de </w:t>
      </w:r>
      <w:r w:rsidR="003812FD" w:rsidRPr="005D4A7D">
        <w:rPr>
          <w:rFonts w:ascii="Arial" w:hAnsi="Arial" w:cs="Arial"/>
          <w:color w:val="000000"/>
          <w:sz w:val="24"/>
          <w:szCs w:val="24"/>
        </w:rPr>
        <w:t>veintinueve de junio</w:t>
      </w:r>
      <w:r w:rsidR="00F33108" w:rsidRPr="005D4A7D">
        <w:rPr>
          <w:rFonts w:ascii="Arial" w:hAnsi="Arial" w:cs="Arial"/>
          <w:color w:val="000000"/>
          <w:sz w:val="24"/>
          <w:szCs w:val="24"/>
        </w:rPr>
        <w:t>, la Sala Especializada</w:t>
      </w:r>
      <w:r w:rsidR="00AD1064" w:rsidRPr="005D4A7D">
        <w:rPr>
          <w:rFonts w:ascii="Arial" w:hAnsi="Arial" w:cs="Arial"/>
          <w:color w:val="000000"/>
          <w:sz w:val="24"/>
          <w:szCs w:val="24"/>
        </w:rPr>
        <w:t>,</w:t>
      </w:r>
      <w:r w:rsidR="00E97162" w:rsidRPr="005D4A7D">
        <w:rPr>
          <w:rFonts w:ascii="Arial" w:hAnsi="Arial" w:cs="Arial"/>
          <w:color w:val="000000"/>
          <w:sz w:val="24"/>
          <w:szCs w:val="24"/>
        </w:rPr>
        <w:t xml:space="preserve"> en el expediente SER-PSC-1952018</w:t>
      </w:r>
      <w:r w:rsidR="00AD1064" w:rsidRPr="005D4A7D">
        <w:rPr>
          <w:rFonts w:ascii="Arial" w:hAnsi="Arial" w:cs="Arial"/>
          <w:color w:val="000000"/>
          <w:sz w:val="24"/>
          <w:szCs w:val="24"/>
        </w:rPr>
        <w:t>,</w:t>
      </w:r>
      <w:r w:rsidR="00F33108" w:rsidRPr="005D4A7D">
        <w:rPr>
          <w:rFonts w:ascii="Arial" w:hAnsi="Arial" w:cs="Arial"/>
          <w:color w:val="000000"/>
          <w:sz w:val="24"/>
          <w:szCs w:val="24"/>
        </w:rPr>
        <w:t xml:space="preserve"> </w:t>
      </w:r>
      <w:r w:rsidR="00B73E9D" w:rsidRPr="005D4A7D">
        <w:rPr>
          <w:rFonts w:ascii="Arial" w:hAnsi="Arial" w:cs="Arial"/>
          <w:color w:val="000000"/>
          <w:sz w:val="24"/>
          <w:szCs w:val="24"/>
        </w:rPr>
        <w:t>impuso a los denunciados</w:t>
      </w:r>
      <w:r w:rsidR="001722CF" w:rsidRPr="005D4A7D">
        <w:rPr>
          <w:rFonts w:ascii="Arial" w:hAnsi="Arial" w:cs="Arial"/>
          <w:color w:val="000000"/>
          <w:sz w:val="24"/>
          <w:szCs w:val="24"/>
        </w:rPr>
        <w:t xml:space="preserve"> una </w:t>
      </w:r>
      <w:r w:rsidR="00B73E9D" w:rsidRPr="005D4A7D">
        <w:rPr>
          <w:rFonts w:ascii="Arial" w:hAnsi="Arial" w:cs="Arial"/>
          <w:color w:val="000000"/>
          <w:sz w:val="24"/>
          <w:szCs w:val="24"/>
        </w:rPr>
        <w:t>multa</w:t>
      </w:r>
      <w:r w:rsidR="001722CF" w:rsidRPr="005D4A7D">
        <w:rPr>
          <w:rFonts w:ascii="Arial" w:hAnsi="Arial" w:cs="Arial"/>
          <w:color w:val="000000"/>
          <w:sz w:val="24"/>
          <w:szCs w:val="24"/>
        </w:rPr>
        <w:t>, al haberse acreditado las infracciones denunciadas</w:t>
      </w:r>
      <w:r w:rsidR="00B73E9D" w:rsidRPr="005D4A7D">
        <w:rPr>
          <w:rFonts w:ascii="Arial" w:hAnsi="Arial" w:cs="Arial"/>
          <w:color w:val="000000"/>
          <w:sz w:val="24"/>
          <w:szCs w:val="24"/>
        </w:rPr>
        <w:t>.</w:t>
      </w:r>
    </w:p>
    <w:p w:rsidR="00F33108" w:rsidRPr="005D4A7D" w:rsidRDefault="00E46C96" w:rsidP="0074744F">
      <w:pPr>
        <w:tabs>
          <w:tab w:val="left" w:pos="7185"/>
        </w:tabs>
        <w:spacing w:before="120" w:after="120" w:line="360" w:lineRule="auto"/>
        <w:jc w:val="both"/>
        <w:rPr>
          <w:rFonts w:ascii="Arial" w:eastAsia="Calibri" w:hAnsi="Arial" w:cs="Arial"/>
          <w:bCs/>
          <w:sz w:val="24"/>
          <w:szCs w:val="24"/>
        </w:rPr>
      </w:pPr>
      <w:r w:rsidRPr="005D4A7D">
        <w:rPr>
          <w:rFonts w:ascii="Arial" w:eastAsia="Calibri" w:hAnsi="Arial" w:cs="Arial"/>
          <w:b/>
          <w:bCs/>
          <w:sz w:val="24"/>
          <w:szCs w:val="24"/>
          <w:lang w:val="es-ES_tradnl"/>
        </w:rPr>
        <w:lastRenderedPageBreak/>
        <w:t>6</w:t>
      </w:r>
      <w:r w:rsidR="00F33108" w:rsidRPr="005D4A7D">
        <w:rPr>
          <w:rFonts w:ascii="Arial" w:eastAsia="Calibri" w:hAnsi="Arial" w:cs="Arial"/>
          <w:b/>
          <w:bCs/>
          <w:sz w:val="24"/>
          <w:szCs w:val="24"/>
          <w:lang w:val="es-ES_tradnl"/>
        </w:rPr>
        <w:t xml:space="preserve">. </w:t>
      </w:r>
      <w:r w:rsidRPr="005D4A7D">
        <w:rPr>
          <w:rFonts w:ascii="Arial" w:eastAsia="Calibri" w:hAnsi="Arial" w:cs="Arial"/>
          <w:b/>
          <w:bCs/>
          <w:sz w:val="24"/>
          <w:szCs w:val="24"/>
          <w:lang w:val="es-ES_tradnl"/>
        </w:rPr>
        <w:t>Recursos de revisión</w:t>
      </w:r>
      <w:r w:rsidR="00F33108" w:rsidRPr="005D4A7D">
        <w:rPr>
          <w:rFonts w:ascii="Arial" w:eastAsia="Calibri" w:hAnsi="Arial" w:cs="Arial"/>
          <w:b/>
          <w:bCs/>
          <w:sz w:val="24"/>
          <w:szCs w:val="24"/>
          <w:lang w:val="es-ES_tradnl"/>
        </w:rPr>
        <w:t>.</w:t>
      </w:r>
      <w:r w:rsidR="00F33108" w:rsidRPr="005D4A7D">
        <w:rPr>
          <w:rFonts w:ascii="Arial" w:eastAsia="Calibri" w:hAnsi="Arial" w:cs="Arial"/>
          <w:bCs/>
          <w:sz w:val="24"/>
          <w:szCs w:val="24"/>
          <w:lang w:val="es-ES_tradnl"/>
        </w:rPr>
        <w:t xml:space="preserve"> Inconforme</w:t>
      </w:r>
      <w:r w:rsidR="004C1911" w:rsidRPr="005D4A7D">
        <w:rPr>
          <w:rFonts w:ascii="Arial" w:eastAsia="Calibri" w:hAnsi="Arial" w:cs="Arial"/>
          <w:bCs/>
          <w:sz w:val="24"/>
          <w:szCs w:val="24"/>
          <w:lang w:val="es-ES_tradnl"/>
        </w:rPr>
        <w:t>s</w:t>
      </w:r>
      <w:r w:rsidR="00F33108" w:rsidRPr="005D4A7D">
        <w:rPr>
          <w:rFonts w:ascii="Arial" w:eastAsia="Calibri" w:hAnsi="Arial" w:cs="Arial"/>
          <w:bCs/>
          <w:sz w:val="24"/>
          <w:szCs w:val="24"/>
          <w:lang w:val="es-ES_tradnl"/>
        </w:rPr>
        <w:t xml:space="preserve"> con la anterior determinación, el cuatro de ju</w:t>
      </w:r>
      <w:r w:rsidR="004C1911" w:rsidRPr="005D4A7D">
        <w:rPr>
          <w:rFonts w:ascii="Arial" w:eastAsia="Calibri" w:hAnsi="Arial" w:cs="Arial"/>
          <w:bCs/>
          <w:sz w:val="24"/>
          <w:szCs w:val="24"/>
          <w:lang w:val="es-ES_tradnl"/>
        </w:rPr>
        <w:t>l</w:t>
      </w:r>
      <w:r w:rsidR="00F33108" w:rsidRPr="005D4A7D">
        <w:rPr>
          <w:rFonts w:ascii="Arial" w:eastAsia="Calibri" w:hAnsi="Arial" w:cs="Arial"/>
          <w:bCs/>
          <w:sz w:val="24"/>
          <w:szCs w:val="24"/>
          <w:lang w:val="es-ES_tradnl"/>
        </w:rPr>
        <w:t>io,</w:t>
      </w:r>
      <w:r w:rsidR="004C1911" w:rsidRPr="005D4A7D">
        <w:rPr>
          <w:rFonts w:ascii="Arial" w:eastAsia="Calibri" w:hAnsi="Arial" w:cs="Arial"/>
          <w:bCs/>
          <w:sz w:val="24"/>
          <w:szCs w:val="24"/>
          <w:lang w:val="es-ES_tradnl"/>
        </w:rPr>
        <w:t xml:space="preserve"> José Enrique Doger Guerrero</w:t>
      </w:r>
      <w:r w:rsidR="00F33108" w:rsidRPr="005D4A7D">
        <w:rPr>
          <w:rFonts w:ascii="Arial" w:eastAsia="Calibri" w:hAnsi="Arial" w:cs="Arial"/>
          <w:bCs/>
          <w:sz w:val="24"/>
          <w:szCs w:val="24"/>
          <w:lang w:val="es-ES_tradnl"/>
        </w:rPr>
        <w:t xml:space="preserve"> </w:t>
      </w:r>
      <w:r w:rsidR="004C1911" w:rsidRPr="005D4A7D">
        <w:rPr>
          <w:rFonts w:ascii="Arial" w:eastAsia="Calibri" w:hAnsi="Arial" w:cs="Arial"/>
          <w:bCs/>
          <w:sz w:val="24"/>
          <w:szCs w:val="24"/>
          <w:lang w:val="es-ES_tradnl"/>
        </w:rPr>
        <w:t xml:space="preserve">y el PRI </w:t>
      </w:r>
      <w:r w:rsidR="00F33108" w:rsidRPr="005D4A7D">
        <w:rPr>
          <w:rFonts w:ascii="Arial" w:eastAsia="Calibri" w:hAnsi="Arial" w:cs="Arial"/>
          <w:bCs/>
          <w:sz w:val="24"/>
          <w:szCs w:val="24"/>
          <w:lang w:val="es-ES_tradnl"/>
        </w:rPr>
        <w:t>interpus</w:t>
      </w:r>
      <w:r w:rsidR="004C1911" w:rsidRPr="005D4A7D">
        <w:rPr>
          <w:rFonts w:ascii="Arial" w:eastAsia="Calibri" w:hAnsi="Arial" w:cs="Arial"/>
          <w:bCs/>
          <w:sz w:val="24"/>
          <w:szCs w:val="24"/>
          <w:lang w:val="es-ES_tradnl"/>
        </w:rPr>
        <w:t>ieron</w:t>
      </w:r>
      <w:r w:rsidR="00F33108" w:rsidRPr="005D4A7D">
        <w:rPr>
          <w:rFonts w:ascii="Arial" w:eastAsia="Calibri" w:hAnsi="Arial" w:cs="Arial"/>
          <w:bCs/>
          <w:sz w:val="24"/>
          <w:szCs w:val="24"/>
          <w:lang w:val="es-ES_tradnl"/>
        </w:rPr>
        <w:t xml:space="preserve"> recurso</w:t>
      </w:r>
      <w:r w:rsidR="004C1911" w:rsidRPr="005D4A7D">
        <w:rPr>
          <w:rFonts w:ascii="Arial" w:eastAsia="Calibri" w:hAnsi="Arial" w:cs="Arial"/>
          <w:bCs/>
          <w:sz w:val="24"/>
          <w:szCs w:val="24"/>
          <w:lang w:val="es-ES_tradnl"/>
        </w:rPr>
        <w:t>s</w:t>
      </w:r>
      <w:r w:rsidR="00F33108" w:rsidRPr="005D4A7D">
        <w:rPr>
          <w:rFonts w:ascii="Arial" w:eastAsia="Calibri" w:hAnsi="Arial" w:cs="Arial"/>
          <w:bCs/>
          <w:sz w:val="24"/>
          <w:szCs w:val="24"/>
          <w:lang w:val="es-ES_tradnl"/>
        </w:rPr>
        <w:t xml:space="preserve"> de revisión.</w:t>
      </w:r>
    </w:p>
    <w:p w:rsidR="00F33108" w:rsidRPr="005D4A7D" w:rsidRDefault="00E46C96" w:rsidP="0074744F">
      <w:pPr>
        <w:tabs>
          <w:tab w:val="left" w:pos="7185"/>
        </w:tabs>
        <w:spacing w:before="120" w:after="120" w:line="360" w:lineRule="auto"/>
        <w:jc w:val="both"/>
        <w:rPr>
          <w:rFonts w:ascii="Arial" w:eastAsia="Calibri" w:hAnsi="Arial" w:cs="Arial"/>
          <w:bCs/>
          <w:sz w:val="24"/>
          <w:szCs w:val="24"/>
        </w:rPr>
      </w:pPr>
      <w:r w:rsidRPr="005D4A7D">
        <w:rPr>
          <w:rFonts w:ascii="Arial" w:eastAsia="Calibri" w:hAnsi="Arial" w:cs="Arial"/>
          <w:b/>
          <w:bCs/>
          <w:sz w:val="24"/>
          <w:szCs w:val="24"/>
        </w:rPr>
        <w:t>7</w:t>
      </w:r>
      <w:r w:rsidR="00F33108" w:rsidRPr="005D4A7D">
        <w:rPr>
          <w:rFonts w:ascii="Arial" w:eastAsia="Calibri" w:hAnsi="Arial" w:cs="Arial"/>
          <w:b/>
          <w:bCs/>
          <w:sz w:val="24"/>
          <w:szCs w:val="24"/>
        </w:rPr>
        <w:t xml:space="preserve">. Turno. </w:t>
      </w:r>
      <w:r w:rsidR="00F33108" w:rsidRPr="005D4A7D">
        <w:rPr>
          <w:rFonts w:ascii="Arial" w:eastAsia="Calibri" w:hAnsi="Arial" w:cs="Arial"/>
          <w:bCs/>
          <w:sz w:val="24"/>
          <w:szCs w:val="24"/>
        </w:rPr>
        <w:t>E</w:t>
      </w:r>
      <w:r w:rsidR="00AD1064" w:rsidRPr="005D4A7D">
        <w:rPr>
          <w:rFonts w:ascii="Arial" w:eastAsia="Calibri" w:hAnsi="Arial" w:cs="Arial"/>
          <w:bCs/>
          <w:sz w:val="24"/>
          <w:szCs w:val="24"/>
        </w:rPr>
        <w:t>l cinco de julio</w:t>
      </w:r>
      <w:r w:rsidR="00F33108" w:rsidRPr="005D4A7D">
        <w:rPr>
          <w:rFonts w:ascii="Arial" w:eastAsia="Calibri" w:hAnsi="Arial" w:cs="Arial"/>
          <w:bCs/>
          <w:sz w:val="24"/>
          <w:szCs w:val="24"/>
        </w:rPr>
        <w:t xml:space="preserve">, la Magistrada Presidenta de este órgano jurisdiccional acordó integrar </w:t>
      </w:r>
      <w:r w:rsidR="004C1911" w:rsidRPr="005D4A7D">
        <w:rPr>
          <w:rFonts w:ascii="Arial" w:eastAsia="Calibri" w:hAnsi="Arial" w:cs="Arial"/>
          <w:bCs/>
          <w:sz w:val="24"/>
          <w:szCs w:val="24"/>
        </w:rPr>
        <w:t>los</w:t>
      </w:r>
      <w:r w:rsidR="00F33108" w:rsidRPr="005D4A7D">
        <w:rPr>
          <w:rFonts w:ascii="Arial" w:eastAsia="Calibri" w:hAnsi="Arial" w:cs="Arial"/>
          <w:bCs/>
          <w:sz w:val="24"/>
          <w:szCs w:val="24"/>
        </w:rPr>
        <w:t xml:space="preserve"> expediente</w:t>
      </w:r>
      <w:r w:rsidR="004C1911" w:rsidRPr="005D4A7D">
        <w:rPr>
          <w:rFonts w:ascii="Arial" w:eastAsia="Calibri" w:hAnsi="Arial" w:cs="Arial"/>
          <w:bCs/>
          <w:sz w:val="24"/>
          <w:szCs w:val="24"/>
        </w:rPr>
        <w:t>s</w:t>
      </w:r>
      <w:r w:rsidR="00F33108" w:rsidRPr="005D4A7D">
        <w:rPr>
          <w:rFonts w:ascii="Arial" w:eastAsia="Calibri" w:hAnsi="Arial" w:cs="Arial"/>
          <w:bCs/>
          <w:sz w:val="24"/>
          <w:szCs w:val="24"/>
        </w:rPr>
        <w:t xml:space="preserve"> de</w:t>
      </w:r>
      <w:r w:rsidR="004C1911" w:rsidRPr="005D4A7D">
        <w:rPr>
          <w:rFonts w:ascii="Arial" w:eastAsia="Calibri" w:hAnsi="Arial" w:cs="Arial"/>
          <w:bCs/>
          <w:sz w:val="24"/>
          <w:szCs w:val="24"/>
        </w:rPr>
        <w:t xml:space="preserve"> </w:t>
      </w:r>
      <w:r w:rsidR="00F33108" w:rsidRPr="005D4A7D">
        <w:rPr>
          <w:rFonts w:ascii="Arial" w:eastAsia="Calibri" w:hAnsi="Arial" w:cs="Arial"/>
          <w:bCs/>
          <w:sz w:val="24"/>
          <w:szCs w:val="24"/>
        </w:rPr>
        <w:t>recurso</w:t>
      </w:r>
      <w:r w:rsidR="004C1911" w:rsidRPr="005D4A7D">
        <w:rPr>
          <w:rFonts w:ascii="Arial" w:eastAsia="Calibri" w:hAnsi="Arial" w:cs="Arial"/>
          <w:bCs/>
          <w:sz w:val="24"/>
          <w:szCs w:val="24"/>
        </w:rPr>
        <w:t xml:space="preserve"> de revisión</w:t>
      </w:r>
      <w:r w:rsidR="00F33108" w:rsidRPr="005D4A7D">
        <w:rPr>
          <w:rFonts w:ascii="Arial" w:eastAsia="Calibri" w:hAnsi="Arial" w:cs="Arial"/>
          <w:bCs/>
          <w:sz w:val="24"/>
          <w:szCs w:val="24"/>
        </w:rPr>
        <w:t xml:space="preserve"> SUP-REP-</w:t>
      </w:r>
      <w:r w:rsidR="004C1911" w:rsidRPr="005D4A7D">
        <w:rPr>
          <w:rFonts w:ascii="Arial" w:eastAsia="Calibri" w:hAnsi="Arial" w:cs="Arial"/>
          <w:bCs/>
          <w:sz w:val="24"/>
          <w:szCs w:val="24"/>
        </w:rPr>
        <w:t>623</w:t>
      </w:r>
      <w:r w:rsidR="00F33108" w:rsidRPr="005D4A7D">
        <w:rPr>
          <w:rFonts w:ascii="Arial" w:eastAsia="Calibri" w:hAnsi="Arial" w:cs="Arial"/>
          <w:bCs/>
          <w:sz w:val="24"/>
          <w:szCs w:val="24"/>
        </w:rPr>
        <w:t>/2018 y</w:t>
      </w:r>
      <w:r w:rsidR="004C1911" w:rsidRPr="005D4A7D">
        <w:rPr>
          <w:rFonts w:ascii="Arial" w:eastAsia="Calibri" w:hAnsi="Arial" w:cs="Arial"/>
          <w:bCs/>
          <w:sz w:val="24"/>
          <w:szCs w:val="24"/>
        </w:rPr>
        <w:t xml:space="preserve"> SUP-REP-627/2018 y</w:t>
      </w:r>
      <w:r w:rsidR="00F33108" w:rsidRPr="005D4A7D">
        <w:rPr>
          <w:rFonts w:ascii="Arial" w:eastAsia="Calibri" w:hAnsi="Arial" w:cs="Arial"/>
          <w:bCs/>
          <w:sz w:val="24"/>
          <w:szCs w:val="24"/>
        </w:rPr>
        <w:t xml:space="preserve"> turnarlo</w:t>
      </w:r>
      <w:r w:rsidR="004C1911" w:rsidRPr="005D4A7D">
        <w:rPr>
          <w:rFonts w:ascii="Arial" w:eastAsia="Calibri" w:hAnsi="Arial" w:cs="Arial"/>
          <w:bCs/>
          <w:sz w:val="24"/>
          <w:szCs w:val="24"/>
        </w:rPr>
        <w:t>s</w:t>
      </w:r>
      <w:r w:rsidR="00F33108" w:rsidRPr="005D4A7D">
        <w:rPr>
          <w:rFonts w:ascii="Arial" w:eastAsia="Calibri" w:hAnsi="Arial" w:cs="Arial"/>
          <w:bCs/>
          <w:sz w:val="24"/>
          <w:szCs w:val="24"/>
        </w:rPr>
        <w:t xml:space="preserve"> a la ponencia del Magistrado Felipe de la Mata Pizaña, para los efectos previstos en el artículo 19, de la Ley de Medios.</w:t>
      </w:r>
    </w:p>
    <w:p w:rsidR="00F33108" w:rsidRPr="005D4A7D" w:rsidRDefault="002473ED" w:rsidP="0074744F">
      <w:pPr>
        <w:spacing w:before="120" w:after="120" w:line="360" w:lineRule="auto"/>
        <w:jc w:val="both"/>
        <w:rPr>
          <w:rFonts w:ascii="Arial" w:hAnsi="Arial" w:cs="Arial"/>
          <w:sz w:val="24"/>
          <w:szCs w:val="24"/>
        </w:rPr>
      </w:pPr>
      <w:r w:rsidRPr="005D4A7D">
        <w:rPr>
          <w:rFonts w:ascii="Arial" w:hAnsi="Arial" w:cs="Arial"/>
          <w:b/>
          <w:bCs/>
          <w:sz w:val="24"/>
          <w:szCs w:val="24"/>
          <w:lang w:val="es-ES_tradnl"/>
        </w:rPr>
        <w:t>9</w:t>
      </w:r>
      <w:r w:rsidR="004A2624" w:rsidRPr="005D4A7D">
        <w:rPr>
          <w:rFonts w:ascii="Arial" w:hAnsi="Arial" w:cs="Arial"/>
          <w:b/>
          <w:bCs/>
          <w:sz w:val="24"/>
          <w:szCs w:val="24"/>
          <w:lang w:val="es-ES_tradnl"/>
        </w:rPr>
        <w:t xml:space="preserve">. </w:t>
      </w:r>
      <w:r w:rsidR="00E97162" w:rsidRPr="005D4A7D">
        <w:rPr>
          <w:rFonts w:ascii="Arial" w:hAnsi="Arial" w:cs="Arial"/>
          <w:b/>
          <w:bCs/>
          <w:sz w:val="24"/>
          <w:szCs w:val="24"/>
          <w:lang w:val="es-ES_tradnl"/>
        </w:rPr>
        <w:t>Instrucción</w:t>
      </w:r>
      <w:r w:rsidR="00F33108" w:rsidRPr="005D4A7D">
        <w:rPr>
          <w:rFonts w:ascii="Arial" w:hAnsi="Arial" w:cs="Arial"/>
          <w:b/>
          <w:bCs/>
          <w:sz w:val="24"/>
          <w:szCs w:val="24"/>
          <w:lang w:val="es-ES_tradnl"/>
        </w:rPr>
        <w:t xml:space="preserve">. </w:t>
      </w:r>
      <w:r w:rsidR="00F33108" w:rsidRPr="005D4A7D">
        <w:rPr>
          <w:rFonts w:ascii="Arial" w:hAnsi="Arial" w:cs="Arial"/>
          <w:sz w:val="24"/>
          <w:szCs w:val="24"/>
        </w:rPr>
        <w:t>En su oportunidad, el Magistrado Instructor radicó</w:t>
      </w:r>
      <w:r w:rsidR="00E97162" w:rsidRPr="005D4A7D">
        <w:rPr>
          <w:rFonts w:ascii="Arial" w:hAnsi="Arial" w:cs="Arial"/>
          <w:sz w:val="24"/>
          <w:szCs w:val="24"/>
        </w:rPr>
        <w:t>,</w:t>
      </w:r>
      <w:r w:rsidR="00F33108" w:rsidRPr="005D4A7D">
        <w:rPr>
          <w:rFonts w:ascii="Arial" w:hAnsi="Arial" w:cs="Arial"/>
          <w:sz w:val="24"/>
          <w:szCs w:val="24"/>
        </w:rPr>
        <w:t xml:space="preserve"> admitió la demanda a trámite</w:t>
      </w:r>
      <w:r w:rsidR="00E97162" w:rsidRPr="005D4A7D">
        <w:rPr>
          <w:rFonts w:ascii="Arial" w:hAnsi="Arial" w:cs="Arial"/>
          <w:sz w:val="24"/>
          <w:szCs w:val="24"/>
        </w:rPr>
        <w:t xml:space="preserve"> y cerró instrucción, quedando el asunto</w:t>
      </w:r>
      <w:r w:rsidR="00F33108" w:rsidRPr="005D4A7D">
        <w:rPr>
          <w:rFonts w:ascii="Arial" w:hAnsi="Arial" w:cs="Arial"/>
          <w:sz w:val="24"/>
          <w:szCs w:val="24"/>
        </w:rPr>
        <w:t xml:space="preserve"> en estado de resolución.</w:t>
      </w:r>
    </w:p>
    <w:p w:rsidR="00F33108" w:rsidRPr="005D4A7D" w:rsidRDefault="00B25364" w:rsidP="0074744F">
      <w:pPr>
        <w:pStyle w:val="Ttulo1"/>
        <w:spacing w:before="120" w:beforeAutospacing="0" w:after="120" w:afterAutospacing="0"/>
        <w:rPr>
          <w:lang w:val="it-IT"/>
        </w:rPr>
      </w:pPr>
      <w:bookmarkStart w:id="7" w:name="_Toc519067212"/>
      <w:r w:rsidRPr="005D4A7D">
        <w:rPr>
          <w:lang w:val="it-IT"/>
        </w:rPr>
        <w:t xml:space="preserve">II. </w:t>
      </w:r>
      <w:r w:rsidR="00F33108" w:rsidRPr="005D4A7D">
        <w:rPr>
          <w:lang w:val="it-IT"/>
        </w:rPr>
        <w:t>COMPETENCIA</w:t>
      </w:r>
      <w:bookmarkEnd w:id="7"/>
    </w:p>
    <w:p w:rsidR="00F33108" w:rsidRPr="005D4A7D" w:rsidRDefault="00F33108" w:rsidP="0074744F">
      <w:pPr>
        <w:spacing w:before="120" w:after="120" w:line="360" w:lineRule="auto"/>
        <w:jc w:val="both"/>
        <w:rPr>
          <w:rFonts w:ascii="Arial" w:eastAsia="Times New Roman" w:hAnsi="Arial" w:cs="Arial"/>
          <w:sz w:val="24"/>
          <w:szCs w:val="24"/>
          <w:lang w:eastAsia="es-MX"/>
        </w:rPr>
      </w:pPr>
      <w:r w:rsidRPr="005D4A7D">
        <w:rPr>
          <w:rFonts w:ascii="Arial" w:eastAsia="Times New Roman" w:hAnsi="Arial" w:cs="Arial"/>
          <w:sz w:val="24"/>
          <w:szCs w:val="24"/>
          <w:lang w:eastAsia="es-MX"/>
        </w:rPr>
        <w:t>La Sala Superior es competente para conocer y resolver l</w:t>
      </w:r>
      <w:r w:rsidR="004D15D3" w:rsidRPr="005D4A7D">
        <w:rPr>
          <w:rFonts w:ascii="Arial" w:eastAsia="Times New Roman" w:hAnsi="Arial" w:cs="Arial"/>
          <w:sz w:val="24"/>
          <w:szCs w:val="24"/>
          <w:lang w:eastAsia="es-MX"/>
        </w:rPr>
        <w:t>os</w:t>
      </w:r>
      <w:r w:rsidRPr="005D4A7D">
        <w:rPr>
          <w:rFonts w:ascii="Arial" w:eastAsia="Times New Roman" w:hAnsi="Arial" w:cs="Arial"/>
          <w:sz w:val="24"/>
          <w:szCs w:val="24"/>
          <w:lang w:eastAsia="es-MX"/>
        </w:rPr>
        <w:t xml:space="preserve"> medio</w:t>
      </w:r>
      <w:r w:rsidR="004D15D3" w:rsidRPr="005D4A7D">
        <w:rPr>
          <w:rFonts w:ascii="Arial" w:eastAsia="Times New Roman" w:hAnsi="Arial" w:cs="Arial"/>
          <w:sz w:val="24"/>
          <w:szCs w:val="24"/>
          <w:lang w:eastAsia="es-MX"/>
        </w:rPr>
        <w:t>s</w:t>
      </w:r>
      <w:r w:rsidRPr="005D4A7D">
        <w:rPr>
          <w:rFonts w:ascii="Arial" w:eastAsia="Times New Roman" w:hAnsi="Arial" w:cs="Arial"/>
          <w:sz w:val="24"/>
          <w:szCs w:val="24"/>
          <w:lang w:eastAsia="es-MX"/>
        </w:rPr>
        <w:t xml:space="preserve"> de impugnación al rubro indicado, por tratarse de recurso</w:t>
      </w:r>
      <w:r w:rsidR="009768E2" w:rsidRPr="005D4A7D">
        <w:rPr>
          <w:rFonts w:ascii="Arial" w:eastAsia="Times New Roman" w:hAnsi="Arial" w:cs="Arial"/>
          <w:sz w:val="24"/>
          <w:szCs w:val="24"/>
          <w:lang w:eastAsia="es-MX"/>
        </w:rPr>
        <w:t>s</w:t>
      </w:r>
      <w:r w:rsidRPr="005D4A7D">
        <w:rPr>
          <w:rFonts w:ascii="Arial" w:eastAsia="Times New Roman" w:hAnsi="Arial" w:cs="Arial"/>
          <w:sz w:val="24"/>
          <w:szCs w:val="24"/>
          <w:lang w:eastAsia="es-MX"/>
        </w:rPr>
        <w:t xml:space="preserve"> </w:t>
      </w:r>
      <w:r w:rsidR="00E46C96" w:rsidRPr="005D4A7D">
        <w:rPr>
          <w:rFonts w:ascii="Arial" w:eastAsia="Times New Roman" w:hAnsi="Arial" w:cs="Arial"/>
          <w:sz w:val="24"/>
          <w:szCs w:val="24"/>
          <w:lang w:eastAsia="es-MX"/>
        </w:rPr>
        <w:t>que controvierten</w:t>
      </w:r>
      <w:r w:rsidRPr="005D4A7D">
        <w:rPr>
          <w:rFonts w:ascii="Arial" w:eastAsia="Times New Roman" w:hAnsi="Arial" w:cs="Arial"/>
          <w:sz w:val="24"/>
          <w:szCs w:val="24"/>
          <w:lang w:eastAsia="es-MX"/>
        </w:rPr>
        <w:t xml:space="preserve"> una resolución emitida por la Sala Especializada, cuyo conocimiento y resolución compete exclusivamente a este órgano jurisdiccional</w:t>
      </w:r>
      <w:r w:rsidR="00E46C96" w:rsidRPr="005D4A7D">
        <w:rPr>
          <w:rFonts w:ascii="Arial" w:eastAsia="Times New Roman" w:hAnsi="Arial" w:cs="Arial"/>
          <w:sz w:val="24"/>
          <w:szCs w:val="24"/>
          <w:lang w:eastAsia="es-MX"/>
        </w:rPr>
        <w:t>.</w:t>
      </w:r>
      <w:r w:rsidRPr="005D4A7D">
        <w:rPr>
          <w:rStyle w:val="Refdenotaalpie"/>
          <w:rFonts w:ascii="Arial" w:eastAsia="Times New Roman" w:hAnsi="Arial" w:cs="Arial"/>
          <w:sz w:val="24"/>
          <w:szCs w:val="24"/>
          <w:lang w:eastAsia="es-MX"/>
        </w:rPr>
        <w:footnoteReference w:id="7"/>
      </w:r>
    </w:p>
    <w:p w:rsidR="00534F67" w:rsidRPr="005D4A7D" w:rsidRDefault="00E97162" w:rsidP="0074744F">
      <w:pPr>
        <w:pStyle w:val="Ttulo1"/>
        <w:spacing w:before="120" w:beforeAutospacing="0" w:after="120" w:afterAutospacing="0"/>
        <w:rPr>
          <w:lang w:val="it-IT"/>
        </w:rPr>
      </w:pPr>
      <w:bookmarkStart w:id="8" w:name="_Toc519067213"/>
      <w:r w:rsidRPr="005D4A7D">
        <w:rPr>
          <w:lang w:val="it-IT"/>
        </w:rPr>
        <w:t>III. ACUMULACIÓN.</w:t>
      </w:r>
      <w:bookmarkEnd w:id="8"/>
    </w:p>
    <w:p w:rsidR="00534F67" w:rsidRPr="005D4A7D" w:rsidRDefault="00534F67" w:rsidP="0074744F">
      <w:pPr>
        <w:spacing w:before="120" w:after="120" w:line="360" w:lineRule="auto"/>
        <w:jc w:val="both"/>
        <w:rPr>
          <w:rFonts w:ascii="Arial" w:eastAsia="Times New Roman" w:hAnsi="Arial" w:cs="Arial"/>
          <w:sz w:val="24"/>
          <w:szCs w:val="24"/>
          <w:lang w:eastAsia="es-MX"/>
        </w:rPr>
      </w:pPr>
      <w:r w:rsidRPr="005D4A7D">
        <w:rPr>
          <w:rFonts w:ascii="Arial" w:eastAsia="Times New Roman" w:hAnsi="Arial" w:cs="Arial"/>
          <w:sz w:val="24"/>
          <w:szCs w:val="24"/>
          <w:lang w:eastAsia="es-MX"/>
        </w:rPr>
        <w:t>Esta Sala Superior advierte que en los recursos que se analizan existe identidad en la autoridad responsable y la sentencia impugnada</w:t>
      </w:r>
      <w:r w:rsidR="00E46C96" w:rsidRPr="005D4A7D">
        <w:rPr>
          <w:rFonts w:ascii="Arial" w:eastAsia="Times New Roman" w:hAnsi="Arial" w:cs="Arial"/>
          <w:sz w:val="24"/>
          <w:szCs w:val="24"/>
          <w:lang w:eastAsia="es-MX"/>
        </w:rPr>
        <w:t xml:space="preserve">, por lo tanto, a fin de </w:t>
      </w:r>
      <w:r w:rsidRPr="005D4A7D">
        <w:rPr>
          <w:rFonts w:ascii="Arial" w:eastAsia="Times New Roman" w:hAnsi="Arial" w:cs="Arial"/>
          <w:sz w:val="24"/>
          <w:szCs w:val="24"/>
          <w:lang w:eastAsia="es-MX"/>
        </w:rPr>
        <w:t>dictar una sentencia congruente, exhaustiva e integral</w:t>
      </w:r>
      <w:r w:rsidR="00E46C96" w:rsidRPr="005D4A7D">
        <w:rPr>
          <w:rFonts w:ascii="Arial" w:eastAsia="Times New Roman" w:hAnsi="Arial" w:cs="Arial"/>
          <w:sz w:val="24"/>
          <w:szCs w:val="24"/>
          <w:lang w:eastAsia="es-MX"/>
        </w:rPr>
        <w:t xml:space="preserve">, </w:t>
      </w:r>
      <w:r w:rsidRPr="005D4A7D">
        <w:rPr>
          <w:rFonts w:ascii="Arial" w:eastAsia="Times New Roman" w:hAnsi="Arial" w:cs="Arial"/>
          <w:sz w:val="24"/>
          <w:szCs w:val="24"/>
          <w:lang w:eastAsia="es-MX"/>
        </w:rPr>
        <w:t>lo conducente es decretar la acumulación del expediente SUP-REP-627/2018 al diverso recurso SUP-REP-623/2018, por ser éste, el que fue registrado en primer orden en el índice de la Sala Superior.</w:t>
      </w:r>
      <w:r w:rsidR="00E97162" w:rsidRPr="005D4A7D">
        <w:rPr>
          <w:rStyle w:val="Refdenotaalpie"/>
          <w:rFonts w:ascii="Arial" w:eastAsia="Times New Roman" w:hAnsi="Arial"/>
          <w:sz w:val="24"/>
          <w:szCs w:val="24"/>
          <w:lang w:eastAsia="es-MX"/>
        </w:rPr>
        <w:footnoteReference w:id="8"/>
      </w:r>
    </w:p>
    <w:p w:rsidR="00534F67" w:rsidRPr="005D4A7D" w:rsidRDefault="00534F67" w:rsidP="0074744F">
      <w:pPr>
        <w:spacing w:before="120" w:after="120" w:line="360" w:lineRule="auto"/>
        <w:jc w:val="both"/>
        <w:rPr>
          <w:rFonts w:ascii="Arial" w:eastAsia="Times New Roman" w:hAnsi="Arial" w:cs="Arial"/>
          <w:sz w:val="24"/>
          <w:szCs w:val="24"/>
          <w:lang w:eastAsia="es-MX"/>
        </w:rPr>
      </w:pPr>
      <w:r w:rsidRPr="005D4A7D">
        <w:rPr>
          <w:rFonts w:ascii="Arial" w:eastAsia="Times New Roman" w:hAnsi="Arial" w:cs="Arial"/>
          <w:sz w:val="24"/>
          <w:szCs w:val="24"/>
          <w:lang w:eastAsia="es-MX"/>
        </w:rPr>
        <w:t>Por lo expuesto, se deberá agregar una copia certificada de los puntos resolutivos de la presente ejecutoria a</w:t>
      </w:r>
      <w:r w:rsidR="00E97162" w:rsidRPr="005D4A7D">
        <w:rPr>
          <w:rFonts w:ascii="Arial" w:eastAsia="Times New Roman" w:hAnsi="Arial" w:cs="Arial"/>
          <w:sz w:val="24"/>
          <w:szCs w:val="24"/>
          <w:lang w:eastAsia="es-MX"/>
        </w:rPr>
        <w:t>l</w:t>
      </w:r>
      <w:r w:rsidRPr="005D4A7D">
        <w:rPr>
          <w:rFonts w:ascii="Arial" w:eastAsia="Times New Roman" w:hAnsi="Arial" w:cs="Arial"/>
          <w:sz w:val="24"/>
          <w:szCs w:val="24"/>
          <w:lang w:eastAsia="es-MX"/>
        </w:rPr>
        <w:t xml:space="preserve"> expediente acumulado.</w:t>
      </w:r>
    </w:p>
    <w:p w:rsidR="00F33108" w:rsidRPr="005D4A7D" w:rsidRDefault="00E97162" w:rsidP="0074744F">
      <w:pPr>
        <w:pStyle w:val="Ttulo1"/>
        <w:spacing w:before="120" w:beforeAutospacing="0" w:after="120" w:afterAutospacing="0"/>
        <w:rPr>
          <w:lang w:val="it-IT"/>
        </w:rPr>
      </w:pPr>
      <w:bookmarkStart w:id="9" w:name="_Toc519067214"/>
      <w:r w:rsidRPr="005D4A7D">
        <w:rPr>
          <w:lang w:val="it-IT"/>
        </w:rPr>
        <w:lastRenderedPageBreak/>
        <w:t>IV. REQUISITOS DE PROCEDENCIA</w:t>
      </w:r>
      <w:r w:rsidRPr="005D4A7D">
        <w:rPr>
          <w:sz w:val="16"/>
          <w:lang w:val="it-IT"/>
        </w:rPr>
        <w:t>.</w:t>
      </w:r>
      <w:r w:rsidRPr="005D4A7D">
        <w:rPr>
          <w:rStyle w:val="Refdenotaalpie"/>
          <w:sz w:val="16"/>
          <w:lang w:val="it-IT"/>
        </w:rPr>
        <w:footnoteReference w:id="9"/>
      </w:r>
      <w:bookmarkEnd w:id="9"/>
    </w:p>
    <w:p w:rsidR="00F33108" w:rsidRPr="005D4A7D" w:rsidRDefault="00F33108" w:rsidP="0074744F">
      <w:pPr>
        <w:spacing w:before="120" w:after="120" w:line="360" w:lineRule="auto"/>
        <w:jc w:val="both"/>
        <w:rPr>
          <w:rFonts w:ascii="Arial" w:eastAsia="Times New Roman" w:hAnsi="Arial" w:cs="Arial"/>
          <w:sz w:val="24"/>
          <w:szCs w:val="24"/>
          <w:lang w:eastAsia="es-MX"/>
        </w:rPr>
      </w:pPr>
      <w:r w:rsidRPr="005D4A7D">
        <w:rPr>
          <w:rFonts w:ascii="Arial" w:eastAsia="Times New Roman" w:hAnsi="Arial" w:cs="Arial"/>
          <w:b/>
          <w:sz w:val="24"/>
          <w:szCs w:val="24"/>
          <w:lang w:eastAsia="es-MX"/>
        </w:rPr>
        <w:t>1. Forma.</w:t>
      </w:r>
      <w:r w:rsidRPr="005D4A7D">
        <w:rPr>
          <w:rFonts w:ascii="Arial" w:eastAsia="Times New Roman" w:hAnsi="Arial" w:cs="Arial"/>
          <w:sz w:val="24"/>
          <w:szCs w:val="24"/>
          <w:lang w:eastAsia="es-MX"/>
        </w:rPr>
        <w:t xml:space="preserve"> </w:t>
      </w:r>
      <w:r w:rsidR="009768E2" w:rsidRPr="005D4A7D">
        <w:rPr>
          <w:rFonts w:ascii="Arial" w:eastAsia="Times New Roman" w:hAnsi="Arial" w:cs="Arial"/>
          <w:sz w:val="24"/>
          <w:szCs w:val="24"/>
          <w:lang w:eastAsia="es-MX"/>
        </w:rPr>
        <w:t>Los</w:t>
      </w:r>
      <w:r w:rsidRPr="005D4A7D">
        <w:rPr>
          <w:rFonts w:ascii="Arial" w:eastAsia="Times New Roman" w:hAnsi="Arial" w:cs="Arial"/>
          <w:sz w:val="24"/>
          <w:szCs w:val="24"/>
          <w:lang w:eastAsia="es-MX"/>
        </w:rPr>
        <w:t xml:space="preserve"> recurso</w:t>
      </w:r>
      <w:r w:rsidR="009768E2" w:rsidRPr="005D4A7D">
        <w:rPr>
          <w:rFonts w:ascii="Arial" w:eastAsia="Times New Roman" w:hAnsi="Arial" w:cs="Arial"/>
          <w:sz w:val="24"/>
          <w:szCs w:val="24"/>
          <w:lang w:eastAsia="es-MX"/>
        </w:rPr>
        <w:t>s</w:t>
      </w:r>
      <w:r w:rsidRPr="005D4A7D">
        <w:rPr>
          <w:rFonts w:ascii="Arial" w:eastAsia="Times New Roman" w:hAnsi="Arial" w:cs="Arial"/>
          <w:sz w:val="24"/>
          <w:szCs w:val="24"/>
          <w:lang w:eastAsia="es-MX"/>
        </w:rPr>
        <w:t xml:space="preserve"> se interpus</w:t>
      </w:r>
      <w:r w:rsidR="009768E2" w:rsidRPr="005D4A7D">
        <w:rPr>
          <w:rFonts w:ascii="Arial" w:eastAsia="Times New Roman" w:hAnsi="Arial" w:cs="Arial"/>
          <w:sz w:val="24"/>
          <w:szCs w:val="24"/>
          <w:lang w:eastAsia="es-MX"/>
        </w:rPr>
        <w:t>ier</w:t>
      </w:r>
      <w:r w:rsidRPr="005D4A7D">
        <w:rPr>
          <w:rFonts w:ascii="Arial" w:eastAsia="Times New Roman" w:hAnsi="Arial" w:cs="Arial"/>
          <w:sz w:val="24"/>
          <w:szCs w:val="24"/>
          <w:lang w:eastAsia="es-MX"/>
        </w:rPr>
        <w:t>o</w:t>
      </w:r>
      <w:r w:rsidR="009768E2" w:rsidRPr="005D4A7D">
        <w:rPr>
          <w:rFonts w:ascii="Arial" w:eastAsia="Times New Roman" w:hAnsi="Arial" w:cs="Arial"/>
          <w:sz w:val="24"/>
          <w:szCs w:val="24"/>
          <w:lang w:eastAsia="es-MX"/>
        </w:rPr>
        <w:t>n</w:t>
      </w:r>
      <w:r w:rsidRPr="005D4A7D">
        <w:rPr>
          <w:rFonts w:ascii="Arial" w:eastAsia="Times New Roman" w:hAnsi="Arial" w:cs="Arial"/>
          <w:sz w:val="24"/>
          <w:szCs w:val="24"/>
          <w:lang w:eastAsia="es-MX"/>
        </w:rPr>
        <w:t xml:space="preserve"> por escrito ante la autoridad responsable y en </w:t>
      </w:r>
      <w:r w:rsidR="009768E2" w:rsidRPr="005D4A7D">
        <w:rPr>
          <w:rFonts w:ascii="Arial" w:eastAsia="Times New Roman" w:hAnsi="Arial" w:cs="Arial"/>
          <w:sz w:val="24"/>
          <w:szCs w:val="24"/>
          <w:lang w:eastAsia="es-MX"/>
        </w:rPr>
        <w:t>ellos</w:t>
      </w:r>
      <w:r w:rsidRPr="005D4A7D">
        <w:rPr>
          <w:rFonts w:ascii="Arial" w:eastAsia="Times New Roman" w:hAnsi="Arial" w:cs="Arial"/>
          <w:sz w:val="24"/>
          <w:szCs w:val="24"/>
          <w:lang w:eastAsia="es-MX"/>
        </w:rPr>
        <w:t xml:space="preserve"> se precisa: 1) el nombre y firma autógrafa </w:t>
      </w:r>
      <w:r w:rsidR="009768E2" w:rsidRPr="005D4A7D">
        <w:rPr>
          <w:rFonts w:ascii="Arial" w:eastAsia="Times New Roman" w:hAnsi="Arial" w:cs="Arial"/>
          <w:sz w:val="24"/>
          <w:szCs w:val="24"/>
          <w:lang w:eastAsia="es-MX"/>
        </w:rPr>
        <w:t xml:space="preserve">del entonces candidato y del </w:t>
      </w:r>
      <w:r w:rsidRPr="005D4A7D">
        <w:rPr>
          <w:rFonts w:ascii="Arial" w:eastAsia="Times New Roman" w:hAnsi="Arial" w:cs="Arial"/>
          <w:sz w:val="24"/>
          <w:szCs w:val="24"/>
          <w:lang w:eastAsia="es-MX"/>
        </w:rPr>
        <w:t xml:space="preserve">representante del </w:t>
      </w:r>
      <w:r w:rsidR="009768E2" w:rsidRPr="005D4A7D">
        <w:rPr>
          <w:rFonts w:ascii="Arial" w:eastAsia="Times New Roman" w:hAnsi="Arial" w:cs="Arial"/>
          <w:sz w:val="24"/>
          <w:szCs w:val="24"/>
          <w:lang w:eastAsia="es-MX"/>
        </w:rPr>
        <w:t xml:space="preserve">partido </w:t>
      </w:r>
      <w:r w:rsidRPr="005D4A7D">
        <w:rPr>
          <w:rFonts w:ascii="Arial" w:eastAsia="Times New Roman" w:hAnsi="Arial" w:cs="Arial"/>
          <w:sz w:val="24"/>
          <w:szCs w:val="24"/>
          <w:lang w:eastAsia="es-MX"/>
        </w:rPr>
        <w:t>recurrente</w:t>
      </w:r>
      <w:r w:rsidR="009768E2" w:rsidRPr="005D4A7D">
        <w:rPr>
          <w:rFonts w:ascii="Arial" w:eastAsia="Times New Roman" w:hAnsi="Arial" w:cs="Arial"/>
          <w:sz w:val="24"/>
          <w:szCs w:val="24"/>
          <w:lang w:eastAsia="es-MX"/>
        </w:rPr>
        <w:t>s</w:t>
      </w:r>
      <w:r w:rsidRPr="005D4A7D">
        <w:rPr>
          <w:rFonts w:ascii="Arial" w:eastAsia="Times New Roman" w:hAnsi="Arial" w:cs="Arial"/>
          <w:sz w:val="24"/>
          <w:szCs w:val="24"/>
          <w:lang w:eastAsia="es-MX"/>
        </w:rPr>
        <w:t>; 2) el domicilio para oír y recibir notificaciones y las personas autorizadas para ello; 3) se identifica el acto impugnado; 4) los hechos en que se basa la impugnación; y 5) los agravios y los preceptos jurídicos presuntamente violados.</w:t>
      </w:r>
    </w:p>
    <w:p w:rsidR="00E46C96" w:rsidRPr="005D4A7D" w:rsidRDefault="00F33108" w:rsidP="0074744F">
      <w:pPr>
        <w:spacing w:before="120" w:after="120" w:line="360" w:lineRule="auto"/>
        <w:jc w:val="both"/>
        <w:rPr>
          <w:rFonts w:ascii="Arial" w:eastAsia="Times New Roman" w:hAnsi="Arial" w:cs="Arial"/>
          <w:sz w:val="24"/>
          <w:szCs w:val="24"/>
          <w:lang w:eastAsia="es-MX"/>
        </w:rPr>
      </w:pPr>
      <w:r w:rsidRPr="005D4A7D">
        <w:rPr>
          <w:rFonts w:ascii="Arial" w:eastAsia="Times New Roman" w:hAnsi="Arial" w:cs="Arial"/>
          <w:b/>
          <w:sz w:val="24"/>
          <w:szCs w:val="24"/>
          <w:lang w:eastAsia="es-MX"/>
        </w:rPr>
        <w:t xml:space="preserve">2. Oportunidad. </w:t>
      </w:r>
      <w:r w:rsidR="00B56C38" w:rsidRPr="005D4A7D">
        <w:rPr>
          <w:rFonts w:ascii="Arial" w:eastAsia="Times New Roman" w:hAnsi="Arial" w:cs="Arial"/>
          <w:sz w:val="24"/>
          <w:szCs w:val="24"/>
          <w:lang w:eastAsia="es-MX"/>
        </w:rPr>
        <w:t>Los</w:t>
      </w:r>
      <w:r w:rsidRPr="005D4A7D">
        <w:rPr>
          <w:rFonts w:ascii="Arial" w:eastAsia="Times New Roman" w:hAnsi="Arial" w:cs="Arial"/>
          <w:sz w:val="24"/>
          <w:szCs w:val="24"/>
          <w:lang w:eastAsia="es-MX"/>
        </w:rPr>
        <w:t xml:space="preserve"> medio</w:t>
      </w:r>
      <w:r w:rsidR="00B56C38" w:rsidRPr="005D4A7D">
        <w:rPr>
          <w:rFonts w:ascii="Arial" w:eastAsia="Times New Roman" w:hAnsi="Arial" w:cs="Arial"/>
          <w:sz w:val="24"/>
          <w:szCs w:val="24"/>
          <w:lang w:eastAsia="es-MX"/>
        </w:rPr>
        <w:t>s</w:t>
      </w:r>
      <w:r w:rsidRPr="005D4A7D">
        <w:rPr>
          <w:rFonts w:ascii="Arial" w:eastAsia="Times New Roman" w:hAnsi="Arial" w:cs="Arial"/>
          <w:sz w:val="24"/>
          <w:szCs w:val="24"/>
          <w:lang w:eastAsia="es-MX"/>
        </w:rPr>
        <w:t xml:space="preserve"> de impugnación se present</w:t>
      </w:r>
      <w:r w:rsidR="00B56C38" w:rsidRPr="005D4A7D">
        <w:rPr>
          <w:rFonts w:ascii="Arial" w:eastAsia="Times New Roman" w:hAnsi="Arial" w:cs="Arial"/>
          <w:sz w:val="24"/>
          <w:szCs w:val="24"/>
          <w:lang w:eastAsia="es-MX"/>
        </w:rPr>
        <w:t>aron</w:t>
      </w:r>
      <w:r w:rsidRPr="005D4A7D">
        <w:rPr>
          <w:rFonts w:ascii="Arial" w:eastAsia="Times New Roman" w:hAnsi="Arial" w:cs="Arial"/>
          <w:sz w:val="24"/>
          <w:szCs w:val="24"/>
          <w:lang w:eastAsia="es-MX"/>
        </w:rPr>
        <w:t xml:space="preserve"> en tiempo, porque </w:t>
      </w:r>
      <w:r w:rsidR="00B56C38" w:rsidRPr="005D4A7D">
        <w:rPr>
          <w:rFonts w:ascii="Arial" w:eastAsia="Times New Roman" w:hAnsi="Arial" w:cs="Arial"/>
          <w:sz w:val="24"/>
          <w:szCs w:val="24"/>
          <w:lang w:eastAsia="es-MX"/>
        </w:rPr>
        <w:t>la resolución</w:t>
      </w:r>
      <w:r w:rsidRPr="005D4A7D">
        <w:rPr>
          <w:rFonts w:ascii="Arial" w:eastAsia="Times New Roman" w:hAnsi="Arial" w:cs="Arial"/>
          <w:sz w:val="24"/>
          <w:szCs w:val="24"/>
          <w:lang w:eastAsia="es-MX"/>
        </w:rPr>
        <w:t xml:space="preserve"> se notificó a</w:t>
      </w:r>
      <w:r w:rsidR="00F8302C" w:rsidRPr="005D4A7D">
        <w:rPr>
          <w:rFonts w:ascii="Arial" w:eastAsia="Times New Roman" w:hAnsi="Arial" w:cs="Arial"/>
          <w:sz w:val="24"/>
          <w:szCs w:val="24"/>
          <w:lang w:eastAsia="es-MX"/>
        </w:rPr>
        <w:t xml:space="preserve"> </w:t>
      </w:r>
      <w:r w:rsidR="00B56C38" w:rsidRPr="005D4A7D">
        <w:rPr>
          <w:rFonts w:ascii="Arial" w:eastAsia="Times New Roman" w:hAnsi="Arial" w:cs="Arial"/>
          <w:sz w:val="24"/>
          <w:szCs w:val="24"/>
          <w:lang w:eastAsia="es-MX"/>
        </w:rPr>
        <w:t>José Enrique Doger Guerrero</w:t>
      </w:r>
      <w:r w:rsidR="00F8302C" w:rsidRPr="005D4A7D">
        <w:rPr>
          <w:rFonts w:ascii="Arial" w:eastAsia="Times New Roman" w:hAnsi="Arial" w:cs="Arial"/>
          <w:sz w:val="24"/>
          <w:szCs w:val="24"/>
          <w:lang w:eastAsia="es-MX"/>
        </w:rPr>
        <w:t xml:space="preserve"> y al PRI</w:t>
      </w:r>
      <w:r w:rsidR="00B56C38" w:rsidRPr="005D4A7D">
        <w:rPr>
          <w:rFonts w:ascii="Arial" w:eastAsia="Times New Roman" w:hAnsi="Arial" w:cs="Arial"/>
          <w:sz w:val="24"/>
          <w:szCs w:val="24"/>
          <w:lang w:eastAsia="es-MX"/>
        </w:rPr>
        <w:t xml:space="preserve"> </w:t>
      </w:r>
      <w:r w:rsidRPr="005D4A7D">
        <w:rPr>
          <w:rFonts w:ascii="Arial" w:eastAsia="Times New Roman" w:hAnsi="Arial" w:cs="Arial"/>
          <w:sz w:val="24"/>
          <w:szCs w:val="24"/>
          <w:lang w:eastAsia="es-MX"/>
        </w:rPr>
        <w:t xml:space="preserve">el </w:t>
      </w:r>
      <w:r w:rsidR="00034F41" w:rsidRPr="005D4A7D">
        <w:rPr>
          <w:rFonts w:ascii="Arial" w:eastAsia="Times New Roman" w:hAnsi="Arial" w:cs="Arial"/>
          <w:b/>
          <w:sz w:val="24"/>
          <w:szCs w:val="24"/>
          <w:lang w:eastAsia="es-MX"/>
        </w:rPr>
        <w:t>cuatro</w:t>
      </w:r>
      <w:r w:rsidR="00E54596" w:rsidRPr="005D4A7D">
        <w:rPr>
          <w:rFonts w:ascii="Arial" w:eastAsia="Times New Roman" w:hAnsi="Arial" w:cs="Arial"/>
          <w:b/>
          <w:sz w:val="24"/>
          <w:szCs w:val="24"/>
          <w:lang w:eastAsia="es-MX"/>
        </w:rPr>
        <w:t xml:space="preserve"> </w:t>
      </w:r>
      <w:r w:rsidR="00034F41" w:rsidRPr="005D4A7D">
        <w:rPr>
          <w:rFonts w:ascii="Arial" w:eastAsia="Times New Roman" w:hAnsi="Arial" w:cs="Arial"/>
          <w:b/>
          <w:sz w:val="24"/>
          <w:szCs w:val="24"/>
          <w:lang w:eastAsia="es-MX"/>
        </w:rPr>
        <w:t xml:space="preserve">y dos </w:t>
      </w:r>
      <w:r w:rsidRPr="005D4A7D">
        <w:rPr>
          <w:rFonts w:ascii="Arial" w:eastAsia="Times New Roman" w:hAnsi="Arial" w:cs="Arial"/>
          <w:b/>
          <w:sz w:val="24"/>
          <w:szCs w:val="24"/>
          <w:lang w:eastAsia="es-MX"/>
        </w:rPr>
        <w:t>de ju</w:t>
      </w:r>
      <w:r w:rsidR="00F8302C" w:rsidRPr="005D4A7D">
        <w:rPr>
          <w:rFonts w:ascii="Arial" w:eastAsia="Times New Roman" w:hAnsi="Arial" w:cs="Arial"/>
          <w:b/>
          <w:sz w:val="24"/>
          <w:szCs w:val="24"/>
          <w:lang w:eastAsia="es-MX"/>
        </w:rPr>
        <w:t>l</w:t>
      </w:r>
      <w:r w:rsidRPr="005D4A7D">
        <w:rPr>
          <w:rFonts w:ascii="Arial" w:eastAsia="Times New Roman" w:hAnsi="Arial" w:cs="Arial"/>
          <w:b/>
          <w:sz w:val="24"/>
          <w:szCs w:val="24"/>
          <w:lang w:eastAsia="es-MX"/>
        </w:rPr>
        <w:t>io</w:t>
      </w:r>
      <w:r w:rsidR="00034F41" w:rsidRPr="005D4A7D">
        <w:rPr>
          <w:rFonts w:ascii="Arial" w:eastAsia="Times New Roman" w:hAnsi="Arial" w:cs="Arial"/>
          <w:sz w:val="24"/>
          <w:szCs w:val="24"/>
          <w:lang w:eastAsia="es-MX"/>
        </w:rPr>
        <w:t>, respectivamente, mientras que ambos</w:t>
      </w:r>
      <w:r w:rsidRPr="005D4A7D">
        <w:rPr>
          <w:rFonts w:ascii="Arial" w:eastAsia="Times New Roman" w:hAnsi="Arial" w:cs="Arial"/>
          <w:sz w:val="24"/>
          <w:szCs w:val="24"/>
          <w:lang w:eastAsia="es-MX"/>
        </w:rPr>
        <w:t xml:space="preserve"> recurso</w:t>
      </w:r>
      <w:r w:rsidR="00F8302C" w:rsidRPr="005D4A7D">
        <w:rPr>
          <w:rFonts w:ascii="Arial" w:eastAsia="Times New Roman" w:hAnsi="Arial" w:cs="Arial"/>
          <w:sz w:val="24"/>
          <w:szCs w:val="24"/>
          <w:lang w:eastAsia="es-MX"/>
        </w:rPr>
        <w:t>s</w:t>
      </w:r>
      <w:r w:rsidRPr="005D4A7D">
        <w:rPr>
          <w:rFonts w:ascii="Arial" w:eastAsia="Times New Roman" w:hAnsi="Arial" w:cs="Arial"/>
          <w:sz w:val="24"/>
          <w:szCs w:val="24"/>
          <w:lang w:eastAsia="es-MX"/>
        </w:rPr>
        <w:t xml:space="preserve"> </w:t>
      </w:r>
      <w:r w:rsidR="00F8302C" w:rsidRPr="005D4A7D">
        <w:rPr>
          <w:rFonts w:ascii="Arial" w:eastAsia="Times New Roman" w:hAnsi="Arial" w:cs="Arial"/>
          <w:sz w:val="24"/>
          <w:szCs w:val="24"/>
          <w:lang w:eastAsia="es-MX"/>
        </w:rPr>
        <w:t>fueron</w:t>
      </w:r>
      <w:r w:rsidRPr="005D4A7D">
        <w:rPr>
          <w:rFonts w:ascii="Arial" w:eastAsia="Times New Roman" w:hAnsi="Arial" w:cs="Arial"/>
          <w:sz w:val="24"/>
          <w:szCs w:val="24"/>
          <w:lang w:eastAsia="es-MX"/>
        </w:rPr>
        <w:t xml:space="preserve"> interpu</w:t>
      </w:r>
      <w:r w:rsidR="00F8302C" w:rsidRPr="005D4A7D">
        <w:rPr>
          <w:rFonts w:ascii="Arial" w:eastAsia="Times New Roman" w:hAnsi="Arial" w:cs="Arial"/>
          <w:sz w:val="24"/>
          <w:szCs w:val="24"/>
          <w:lang w:eastAsia="es-MX"/>
        </w:rPr>
        <w:t>estos</w:t>
      </w:r>
      <w:r w:rsidRPr="005D4A7D">
        <w:rPr>
          <w:rFonts w:ascii="Arial" w:eastAsia="Times New Roman" w:hAnsi="Arial" w:cs="Arial"/>
          <w:sz w:val="24"/>
          <w:szCs w:val="24"/>
          <w:lang w:eastAsia="es-MX"/>
        </w:rPr>
        <w:t xml:space="preserve"> el </w:t>
      </w:r>
      <w:r w:rsidRPr="005D4A7D">
        <w:rPr>
          <w:rFonts w:ascii="Arial" w:eastAsia="Times New Roman" w:hAnsi="Arial" w:cs="Arial"/>
          <w:b/>
          <w:sz w:val="24"/>
          <w:szCs w:val="24"/>
          <w:lang w:eastAsia="es-MX"/>
        </w:rPr>
        <w:t>cuatro</w:t>
      </w:r>
      <w:r w:rsidR="00034F41" w:rsidRPr="005D4A7D">
        <w:rPr>
          <w:rFonts w:ascii="Arial" w:eastAsia="Times New Roman" w:hAnsi="Arial" w:cs="Arial"/>
          <w:b/>
          <w:sz w:val="24"/>
          <w:szCs w:val="24"/>
          <w:lang w:eastAsia="es-MX"/>
        </w:rPr>
        <w:t xml:space="preserve"> </w:t>
      </w:r>
      <w:r w:rsidR="00034F41" w:rsidRPr="005D4A7D">
        <w:rPr>
          <w:rFonts w:ascii="Arial" w:eastAsia="Times New Roman" w:hAnsi="Arial" w:cs="Arial"/>
          <w:sz w:val="24"/>
          <w:szCs w:val="24"/>
          <w:lang w:eastAsia="es-MX"/>
        </w:rPr>
        <w:t>del citado mes</w:t>
      </w:r>
      <w:r w:rsidR="00F8302C" w:rsidRPr="005D4A7D">
        <w:rPr>
          <w:rFonts w:ascii="Arial" w:eastAsia="Times New Roman" w:hAnsi="Arial" w:cs="Arial"/>
          <w:sz w:val="24"/>
          <w:szCs w:val="24"/>
          <w:lang w:eastAsia="es-MX"/>
        </w:rPr>
        <w:t>,</w:t>
      </w:r>
      <w:r w:rsidR="00E46C96" w:rsidRPr="005D4A7D">
        <w:rPr>
          <w:rFonts w:ascii="Arial" w:eastAsia="Times New Roman" w:hAnsi="Arial" w:cs="Arial"/>
          <w:sz w:val="24"/>
          <w:szCs w:val="24"/>
          <w:lang w:eastAsia="es-MX"/>
        </w:rPr>
        <w:t xml:space="preserve"> con lo cual se evidencia su oportunidad</w:t>
      </w:r>
      <w:r w:rsidR="00E46C96" w:rsidRPr="005D4A7D">
        <w:rPr>
          <w:rStyle w:val="Refdenotaalpie"/>
          <w:rFonts w:ascii="Arial" w:eastAsia="Times New Roman" w:hAnsi="Arial" w:cs="Arial"/>
          <w:sz w:val="24"/>
          <w:szCs w:val="24"/>
          <w:lang w:eastAsia="es-MX"/>
        </w:rPr>
        <w:footnoteReference w:id="10"/>
      </w:r>
      <w:r w:rsidR="00E46C96" w:rsidRPr="005D4A7D">
        <w:rPr>
          <w:rFonts w:ascii="Arial" w:eastAsia="Times New Roman" w:hAnsi="Arial" w:cs="Arial"/>
          <w:sz w:val="24"/>
          <w:szCs w:val="24"/>
          <w:lang w:eastAsia="es-MX"/>
        </w:rPr>
        <w:t>.</w:t>
      </w:r>
    </w:p>
    <w:p w:rsidR="00F33108" w:rsidRPr="005D4A7D" w:rsidRDefault="00F33108" w:rsidP="0074744F">
      <w:pPr>
        <w:spacing w:before="120" w:after="120" w:line="360" w:lineRule="auto"/>
        <w:jc w:val="both"/>
        <w:rPr>
          <w:rFonts w:ascii="Arial" w:eastAsia="Times New Roman" w:hAnsi="Arial" w:cs="Arial"/>
          <w:sz w:val="24"/>
          <w:szCs w:val="24"/>
          <w:lang w:eastAsia="es-MX"/>
        </w:rPr>
      </w:pPr>
      <w:r w:rsidRPr="005D4A7D">
        <w:rPr>
          <w:rFonts w:ascii="Arial" w:eastAsia="Times New Roman" w:hAnsi="Arial" w:cs="Arial"/>
          <w:b/>
          <w:sz w:val="24"/>
          <w:szCs w:val="24"/>
          <w:lang w:eastAsia="es-MX"/>
        </w:rPr>
        <w:t>3. Legitimación y personería</w:t>
      </w:r>
      <w:r w:rsidRPr="005D4A7D">
        <w:rPr>
          <w:rFonts w:ascii="Arial" w:eastAsia="Times New Roman" w:hAnsi="Arial" w:cs="Arial"/>
          <w:sz w:val="24"/>
          <w:szCs w:val="24"/>
          <w:lang w:eastAsia="es-MX"/>
        </w:rPr>
        <w:t>. Estos requisitos se encuentran satisfechos</w:t>
      </w:r>
      <w:r w:rsidRPr="005D4A7D">
        <w:rPr>
          <w:rStyle w:val="Refdenotaalpie"/>
          <w:rFonts w:ascii="Arial" w:eastAsia="Times New Roman" w:hAnsi="Arial" w:cs="Arial"/>
          <w:sz w:val="24"/>
          <w:szCs w:val="24"/>
          <w:lang w:eastAsia="es-MX"/>
        </w:rPr>
        <w:footnoteReference w:id="11"/>
      </w:r>
      <w:r w:rsidRPr="005D4A7D">
        <w:rPr>
          <w:rFonts w:ascii="Arial" w:eastAsia="Times New Roman" w:hAnsi="Arial" w:cs="Arial"/>
          <w:sz w:val="24"/>
          <w:szCs w:val="24"/>
          <w:lang w:eastAsia="es-MX"/>
        </w:rPr>
        <w:t>, porque lo</w:t>
      </w:r>
      <w:r w:rsidR="00F8302C" w:rsidRPr="005D4A7D">
        <w:rPr>
          <w:rFonts w:ascii="Arial" w:eastAsia="Times New Roman" w:hAnsi="Arial" w:cs="Arial"/>
          <w:sz w:val="24"/>
          <w:szCs w:val="24"/>
          <w:lang w:eastAsia="es-MX"/>
        </w:rPr>
        <w:t>s recursos fueron interpuestos por José Enrique Doger Guerrero, en su calidad de candidato al gobierno del Estado de Puebla postulado por el PRI, y por dicho partido a través de su representante suplente ante el Consejo General del INE</w:t>
      </w:r>
      <w:r w:rsidRPr="005D4A7D">
        <w:rPr>
          <w:rFonts w:ascii="Arial" w:eastAsia="Calibri" w:hAnsi="Arial" w:cs="Arial"/>
          <w:bCs/>
          <w:sz w:val="24"/>
          <w:szCs w:val="24"/>
        </w:rPr>
        <w:t xml:space="preserve">, </w:t>
      </w:r>
      <w:r w:rsidR="00F8302C" w:rsidRPr="005D4A7D">
        <w:rPr>
          <w:rFonts w:ascii="Arial" w:eastAsia="Calibri" w:hAnsi="Arial" w:cs="Arial"/>
          <w:bCs/>
          <w:sz w:val="24"/>
          <w:szCs w:val="24"/>
        </w:rPr>
        <w:t>Morelos Jaime Carlos Canseco Gómez</w:t>
      </w:r>
      <w:r w:rsidRPr="005D4A7D">
        <w:rPr>
          <w:rFonts w:ascii="Arial" w:eastAsia="Times New Roman" w:hAnsi="Arial" w:cs="Arial"/>
          <w:sz w:val="24"/>
          <w:szCs w:val="24"/>
          <w:lang w:eastAsia="es-MX"/>
        </w:rPr>
        <w:t>, cuya personería le reconoce la autoridad responsable.</w:t>
      </w:r>
    </w:p>
    <w:p w:rsidR="00F33108" w:rsidRPr="005D4A7D" w:rsidRDefault="00F33108" w:rsidP="0074744F">
      <w:pPr>
        <w:spacing w:before="120" w:after="120" w:line="360" w:lineRule="auto"/>
        <w:jc w:val="both"/>
        <w:rPr>
          <w:rFonts w:ascii="Arial" w:eastAsia="Times New Roman" w:hAnsi="Arial" w:cs="Arial"/>
          <w:sz w:val="24"/>
          <w:szCs w:val="24"/>
          <w:lang w:eastAsia="es-MX"/>
        </w:rPr>
      </w:pPr>
      <w:r w:rsidRPr="005D4A7D">
        <w:rPr>
          <w:rFonts w:ascii="Arial" w:eastAsia="Times New Roman" w:hAnsi="Arial" w:cs="Arial"/>
          <w:b/>
          <w:sz w:val="24"/>
          <w:szCs w:val="24"/>
          <w:lang w:eastAsia="es-MX"/>
        </w:rPr>
        <w:t>4. Interés jurídico.</w:t>
      </w:r>
      <w:r w:rsidRPr="005D4A7D">
        <w:rPr>
          <w:rFonts w:ascii="Arial" w:eastAsia="Times New Roman" w:hAnsi="Arial" w:cs="Arial"/>
          <w:sz w:val="24"/>
          <w:szCs w:val="24"/>
          <w:lang w:eastAsia="es-MX"/>
        </w:rPr>
        <w:t xml:space="preserve"> Se surte el requisito, porque </w:t>
      </w:r>
      <w:r w:rsidR="006D2E4E" w:rsidRPr="005D4A7D">
        <w:rPr>
          <w:rFonts w:ascii="Arial" w:eastAsia="Times New Roman" w:hAnsi="Arial" w:cs="Arial"/>
          <w:sz w:val="24"/>
          <w:szCs w:val="24"/>
          <w:lang w:eastAsia="es-MX"/>
        </w:rPr>
        <w:t>los</w:t>
      </w:r>
      <w:r w:rsidRPr="005D4A7D">
        <w:rPr>
          <w:rFonts w:ascii="Arial" w:eastAsia="Times New Roman" w:hAnsi="Arial" w:cs="Arial"/>
          <w:sz w:val="24"/>
          <w:szCs w:val="24"/>
          <w:lang w:eastAsia="es-MX"/>
        </w:rPr>
        <w:t xml:space="preserve"> recurrente</w:t>
      </w:r>
      <w:r w:rsidR="006D2E4E" w:rsidRPr="005D4A7D">
        <w:rPr>
          <w:rFonts w:ascii="Arial" w:eastAsia="Times New Roman" w:hAnsi="Arial" w:cs="Arial"/>
          <w:sz w:val="24"/>
          <w:szCs w:val="24"/>
          <w:lang w:eastAsia="es-MX"/>
        </w:rPr>
        <w:t>s</w:t>
      </w:r>
      <w:r w:rsidRPr="005D4A7D">
        <w:rPr>
          <w:rFonts w:ascii="Arial" w:eastAsia="Times New Roman" w:hAnsi="Arial" w:cs="Arial"/>
          <w:sz w:val="24"/>
          <w:szCs w:val="24"/>
          <w:lang w:eastAsia="es-MX"/>
        </w:rPr>
        <w:t xml:space="preserve"> impugna</w:t>
      </w:r>
      <w:r w:rsidR="006D2E4E" w:rsidRPr="005D4A7D">
        <w:rPr>
          <w:rFonts w:ascii="Arial" w:eastAsia="Times New Roman" w:hAnsi="Arial" w:cs="Arial"/>
          <w:sz w:val="24"/>
          <w:szCs w:val="24"/>
          <w:lang w:eastAsia="es-MX"/>
        </w:rPr>
        <w:t>n</w:t>
      </w:r>
      <w:r w:rsidRPr="005D4A7D">
        <w:rPr>
          <w:rFonts w:ascii="Arial" w:eastAsia="Times New Roman" w:hAnsi="Arial" w:cs="Arial"/>
          <w:sz w:val="24"/>
          <w:szCs w:val="24"/>
          <w:lang w:eastAsia="es-MX"/>
        </w:rPr>
        <w:t xml:space="preserve"> la sentencia de la Sala Especializada que declaró existente la denuncia que </w:t>
      </w:r>
      <w:r w:rsidR="006D2E4E" w:rsidRPr="005D4A7D">
        <w:rPr>
          <w:rFonts w:ascii="Arial" w:eastAsia="Times New Roman" w:hAnsi="Arial" w:cs="Arial"/>
          <w:sz w:val="24"/>
          <w:szCs w:val="24"/>
          <w:lang w:eastAsia="es-MX"/>
        </w:rPr>
        <w:t xml:space="preserve">se presentó </w:t>
      </w:r>
      <w:r w:rsidRPr="005D4A7D">
        <w:rPr>
          <w:rFonts w:ascii="Arial" w:eastAsia="Times New Roman" w:hAnsi="Arial" w:cs="Arial"/>
          <w:sz w:val="24"/>
          <w:szCs w:val="24"/>
          <w:lang w:eastAsia="es-MX"/>
        </w:rPr>
        <w:t>en</w:t>
      </w:r>
      <w:r w:rsidR="006D2E4E" w:rsidRPr="005D4A7D">
        <w:rPr>
          <w:rFonts w:ascii="Arial" w:eastAsia="Times New Roman" w:hAnsi="Arial" w:cs="Arial"/>
          <w:sz w:val="24"/>
          <w:szCs w:val="24"/>
          <w:lang w:eastAsia="es-MX"/>
        </w:rPr>
        <w:t xml:space="preserve"> </w:t>
      </w:r>
      <w:r w:rsidRPr="005D4A7D">
        <w:rPr>
          <w:rFonts w:ascii="Arial" w:eastAsia="Times New Roman" w:hAnsi="Arial" w:cs="Arial"/>
          <w:sz w:val="24"/>
          <w:szCs w:val="24"/>
          <w:lang w:eastAsia="es-MX"/>
        </w:rPr>
        <w:t xml:space="preserve">contra </w:t>
      </w:r>
      <w:r w:rsidR="006D2E4E" w:rsidRPr="005D4A7D">
        <w:rPr>
          <w:rFonts w:ascii="Arial" w:eastAsia="Times New Roman" w:hAnsi="Arial" w:cs="Arial"/>
          <w:sz w:val="24"/>
          <w:szCs w:val="24"/>
          <w:lang w:eastAsia="es-MX"/>
        </w:rPr>
        <w:t xml:space="preserve">de los recurrentes el PAN a nivel local y nacional, así como su candidata a la gubernatura en Puebla, Martha Erika Alonso Hidalgo, a través de su representante. </w:t>
      </w:r>
    </w:p>
    <w:p w:rsidR="00F33108" w:rsidRPr="005D4A7D" w:rsidRDefault="00F33108" w:rsidP="0074744F">
      <w:pPr>
        <w:spacing w:before="120" w:after="120" w:line="360" w:lineRule="auto"/>
        <w:jc w:val="both"/>
        <w:rPr>
          <w:rFonts w:ascii="Arial" w:eastAsia="Times New Roman" w:hAnsi="Arial" w:cs="Arial"/>
          <w:sz w:val="24"/>
          <w:szCs w:val="24"/>
          <w:lang w:eastAsia="es-MX"/>
        </w:rPr>
      </w:pPr>
      <w:r w:rsidRPr="005D4A7D">
        <w:rPr>
          <w:rFonts w:ascii="Arial" w:eastAsia="Times New Roman" w:hAnsi="Arial" w:cs="Arial"/>
          <w:b/>
          <w:sz w:val="24"/>
          <w:szCs w:val="24"/>
          <w:lang w:eastAsia="es-MX"/>
        </w:rPr>
        <w:t>5. Definitividad</w:t>
      </w:r>
      <w:r w:rsidRPr="005D4A7D">
        <w:rPr>
          <w:rFonts w:ascii="Arial" w:eastAsia="Times New Roman" w:hAnsi="Arial" w:cs="Arial"/>
          <w:sz w:val="24"/>
          <w:szCs w:val="24"/>
          <w:lang w:eastAsia="es-MX"/>
        </w:rPr>
        <w:t>. De la normativa aplicable se desprende que no se prevé algún otro medio de impugnación que deba agotarse antes de acudir a esta instancia, por lo cual se tiene por colmado este requisito.</w:t>
      </w:r>
    </w:p>
    <w:p w:rsidR="00F9277D" w:rsidRPr="005D4A7D" w:rsidRDefault="007F1D31" w:rsidP="0074744F">
      <w:pPr>
        <w:pStyle w:val="Ttulo1"/>
        <w:spacing w:before="120" w:beforeAutospacing="0" w:after="120" w:afterAutospacing="0"/>
        <w:rPr>
          <w:b w:val="0"/>
        </w:rPr>
      </w:pPr>
      <w:bookmarkStart w:id="10" w:name="_Toc511234127"/>
      <w:bookmarkStart w:id="11" w:name="_Toc519067215"/>
      <w:bookmarkStart w:id="12" w:name="_Hlk514874550"/>
      <w:bookmarkEnd w:id="0"/>
      <w:r w:rsidRPr="005D4A7D">
        <w:lastRenderedPageBreak/>
        <w:t xml:space="preserve">V. </w:t>
      </w:r>
      <w:r w:rsidR="00F9277D" w:rsidRPr="005D4A7D">
        <w:t>ESTUDIO DE FONDO</w:t>
      </w:r>
      <w:bookmarkEnd w:id="10"/>
      <w:bookmarkEnd w:id="11"/>
    </w:p>
    <w:p w:rsidR="00F9277D" w:rsidRPr="005D4A7D" w:rsidRDefault="00F9277D" w:rsidP="0074744F">
      <w:pPr>
        <w:pStyle w:val="Ttulo2"/>
        <w:spacing w:before="120" w:beforeAutospacing="0" w:after="120" w:afterAutospacing="0"/>
      </w:pPr>
      <w:bookmarkStart w:id="13" w:name="_Toc504033210"/>
      <w:bookmarkStart w:id="14" w:name="_Toc505158456"/>
      <w:bookmarkStart w:id="15" w:name="_Toc511234128"/>
      <w:bookmarkStart w:id="16" w:name="_Toc519067216"/>
      <w:r w:rsidRPr="005D4A7D">
        <w:t>Apartado A. Síntesis de agravios.</w:t>
      </w:r>
      <w:bookmarkEnd w:id="13"/>
      <w:bookmarkEnd w:id="14"/>
      <w:bookmarkEnd w:id="15"/>
      <w:bookmarkEnd w:id="16"/>
    </w:p>
    <w:p w:rsidR="00F9277D" w:rsidRPr="005D4A7D" w:rsidRDefault="00F9277D" w:rsidP="0074744F">
      <w:pPr>
        <w:widowControl w:val="0"/>
        <w:spacing w:before="120" w:after="120" w:line="360" w:lineRule="auto"/>
        <w:ind w:left="66"/>
        <w:jc w:val="both"/>
        <w:rPr>
          <w:rFonts w:ascii="Arial" w:hAnsi="Arial" w:cs="Arial"/>
          <w:sz w:val="24"/>
          <w:szCs w:val="24"/>
        </w:rPr>
      </w:pPr>
      <w:r w:rsidRPr="005D4A7D">
        <w:rPr>
          <w:rFonts w:ascii="Arial" w:hAnsi="Arial" w:cs="Arial"/>
          <w:b/>
          <w:sz w:val="24"/>
          <w:szCs w:val="24"/>
        </w:rPr>
        <w:t>1.</w:t>
      </w:r>
      <w:r w:rsidRPr="005D4A7D">
        <w:rPr>
          <w:rFonts w:ascii="Arial" w:hAnsi="Arial" w:cs="Arial"/>
          <w:sz w:val="24"/>
          <w:szCs w:val="24"/>
        </w:rPr>
        <w:t xml:space="preserve"> José Enrique Doger Guerrero, señala que la conducta que se le atribuye debió haber sido conocida por la autoridad electoral local, al tratarse de una publicación en Twitter. </w:t>
      </w:r>
    </w:p>
    <w:p w:rsidR="00F9277D" w:rsidRPr="005D4A7D" w:rsidRDefault="00F9277D" w:rsidP="0074744F">
      <w:pPr>
        <w:pStyle w:val="Prrafodelista"/>
        <w:widowControl w:val="0"/>
        <w:numPr>
          <w:ilvl w:val="0"/>
          <w:numId w:val="37"/>
        </w:numPr>
        <w:spacing w:before="120" w:after="120" w:line="360" w:lineRule="auto"/>
        <w:ind w:left="284"/>
        <w:contextualSpacing w:val="0"/>
        <w:jc w:val="both"/>
        <w:rPr>
          <w:rFonts w:ascii="Arial" w:hAnsi="Arial" w:cs="Arial"/>
          <w:sz w:val="24"/>
          <w:szCs w:val="24"/>
        </w:rPr>
      </w:pPr>
      <w:r w:rsidRPr="005D4A7D">
        <w:rPr>
          <w:rFonts w:ascii="Arial" w:hAnsi="Arial" w:cs="Arial"/>
          <w:sz w:val="24"/>
          <w:szCs w:val="24"/>
        </w:rPr>
        <w:t>La responsable no consideró que la publicación denunciada no la realizó el ahora recurrente, sino la empresa XY AD SAS de CV, quien administraba su cuenta de Twitter</w:t>
      </w:r>
      <w:r w:rsidR="00990FC2" w:rsidRPr="005D4A7D">
        <w:rPr>
          <w:rFonts w:ascii="Arial" w:hAnsi="Arial" w:cs="Arial"/>
          <w:sz w:val="24"/>
          <w:szCs w:val="24"/>
        </w:rPr>
        <w:t>.</w:t>
      </w:r>
      <w:r w:rsidRPr="005D4A7D">
        <w:rPr>
          <w:rFonts w:ascii="Arial" w:hAnsi="Arial" w:cs="Arial"/>
          <w:sz w:val="24"/>
          <w:szCs w:val="24"/>
        </w:rPr>
        <w:t xml:space="preserve"> </w:t>
      </w:r>
    </w:p>
    <w:p w:rsidR="00F9277D" w:rsidRPr="005D4A7D" w:rsidRDefault="00F9277D" w:rsidP="0074744F">
      <w:pPr>
        <w:widowControl w:val="0"/>
        <w:spacing w:before="120" w:after="120" w:line="360" w:lineRule="auto"/>
        <w:jc w:val="both"/>
        <w:rPr>
          <w:rFonts w:ascii="Arial" w:hAnsi="Arial" w:cs="Arial"/>
          <w:sz w:val="24"/>
          <w:szCs w:val="24"/>
        </w:rPr>
      </w:pPr>
      <w:r w:rsidRPr="005D4A7D">
        <w:rPr>
          <w:rFonts w:ascii="Arial" w:hAnsi="Arial" w:cs="Arial"/>
          <w:b/>
          <w:sz w:val="24"/>
          <w:szCs w:val="24"/>
        </w:rPr>
        <w:t>2.</w:t>
      </w:r>
      <w:r w:rsidRPr="005D4A7D">
        <w:rPr>
          <w:rFonts w:ascii="Arial" w:hAnsi="Arial" w:cs="Arial"/>
          <w:sz w:val="24"/>
          <w:szCs w:val="24"/>
        </w:rPr>
        <w:t xml:space="preserve"> Ambos recurrentes señalan que la responsable no atiende de manera adecuada el fondo del asunto al calificar el hecho, en atención a lo siguiente: </w:t>
      </w:r>
    </w:p>
    <w:p w:rsidR="00F9277D" w:rsidRPr="005D4A7D" w:rsidRDefault="00F9277D" w:rsidP="0074744F">
      <w:pPr>
        <w:pStyle w:val="Prrafodelista"/>
        <w:widowControl w:val="0"/>
        <w:numPr>
          <w:ilvl w:val="0"/>
          <w:numId w:val="31"/>
        </w:numPr>
        <w:spacing w:before="120" w:after="120" w:line="360" w:lineRule="auto"/>
        <w:ind w:left="426"/>
        <w:contextualSpacing w:val="0"/>
        <w:jc w:val="both"/>
        <w:rPr>
          <w:rFonts w:ascii="Arial" w:hAnsi="Arial" w:cs="Arial"/>
          <w:sz w:val="24"/>
          <w:szCs w:val="24"/>
        </w:rPr>
      </w:pPr>
      <w:r w:rsidRPr="005D4A7D">
        <w:rPr>
          <w:rFonts w:ascii="Arial" w:hAnsi="Arial" w:cs="Arial"/>
          <w:sz w:val="24"/>
          <w:szCs w:val="24"/>
        </w:rPr>
        <w:t>Los señalami</w:t>
      </w:r>
      <w:r w:rsidR="002473ED" w:rsidRPr="005D4A7D">
        <w:rPr>
          <w:rFonts w:ascii="Arial" w:hAnsi="Arial" w:cs="Arial"/>
          <w:sz w:val="24"/>
          <w:szCs w:val="24"/>
        </w:rPr>
        <w:t>entos en contra de la candidata</w:t>
      </w:r>
      <w:r w:rsidRPr="005D4A7D">
        <w:rPr>
          <w:rFonts w:ascii="Arial" w:hAnsi="Arial" w:cs="Arial"/>
          <w:sz w:val="24"/>
          <w:szCs w:val="24"/>
        </w:rPr>
        <w:t xml:space="preserve"> no implican violencia política de género</w:t>
      </w:r>
      <w:r w:rsidR="002473ED" w:rsidRPr="005D4A7D">
        <w:rPr>
          <w:rFonts w:ascii="Arial" w:hAnsi="Arial" w:cs="Arial"/>
          <w:sz w:val="24"/>
          <w:szCs w:val="24"/>
        </w:rPr>
        <w:t>, pues se trata de una crítica en uso de la libertad de expresión.</w:t>
      </w:r>
    </w:p>
    <w:p w:rsidR="00F9277D" w:rsidRPr="005D4A7D" w:rsidRDefault="00F9277D" w:rsidP="0074744F">
      <w:pPr>
        <w:pStyle w:val="Prrafodelista"/>
        <w:widowControl w:val="0"/>
        <w:numPr>
          <w:ilvl w:val="0"/>
          <w:numId w:val="31"/>
        </w:numPr>
        <w:spacing w:before="120" w:after="120" w:line="360" w:lineRule="auto"/>
        <w:ind w:left="426"/>
        <w:contextualSpacing w:val="0"/>
        <w:jc w:val="both"/>
        <w:rPr>
          <w:rFonts w:ascii="Arial" w:hAnsi="Arial" w:cs="Arial"/>
          <w:sz w:val="24"/>
          <w:szCs w:val="24"/>
        </w:rPr>
      </w:pPr>
      <w:r w:rsidRPr="005D4A7D">
        <w:rPr>
          <w:rFonts w:ascii="Arial" w:hAnsi="Arial" w:cs="Arial"/>
          <w:sz w:val="24"/>
          <w:szCs w:val="24"/>
        </w:rPr>
        <w:t>La escena del cuento que se representa (Blancanieves), trata de una lucha de poder entre dos personas de género femenino: la reina y su hijastra; y</w:t>
      </w:r>
      <w:r w:rsidR="002473ED" w:rsidRPr="005D4A7D">
        <w:rPr>
          <w:rFonts w:ascii="Arial" w:hAnsi="Arial" w:cs="Arial"/>
          <w:sz w:val="24"/>
          <w:szCs w:val="24"/>
        </w:rPr>
        <w:t xml:space="preserve"> no denota dominación masculina</w:t>
      </w:r>
      <w:r w:rsidRPr="005D4A7D">
        <w:rPr>
          <w:rFonts w:ascii="Arial" w:hAnsi="Arial" w:cs="Arial"/>
          <w:sz w:val="24"/>
          <w:szCs w:val="24"/>
        </w:rPr>
        <w:t xml:space="preserve">. </w:t>
      </w:r>
    </w:p>
    <w:p w:rsidR="00F9277D" w:rsidRPr="005D4A7D" w:rsidRDefault="00F9277D" w:rsidP="0074744F">
      <w:pPr>
        <w:pStyle w:val="Prrafodelista"/>
        <w:widowControl w:val="0"/>
        <w:numPr>
          <w:ilvl w:val="0"/>
          <w:numId w:val="31"/>
        </w:numPr>
        <w:spacing w:before="120" w:after="120" w:line="360" w:lineRule="auto"/>
        <w:ind w:left="426"/>
        <w:contextualSpacing w:val="0"/>
        <w:jc w:val="both"/>
        <w:rPr>
          <w:rFonts w:ascii="Arial" w:hAnsi="Arial" w:cs="Arial"/>
          <w:sz w:val="24"/>
          <w:szCs w:val="24"/>
        </w:rPr>
      </w:pPr>
      <w:r w:rsidRPr="005D4A7D">
        <w:rPr>
          <w:rFonts w:ascii="Arial" w:hAnsi="Arial" w:cs="Arial"/>
          <w:sz w:val="24"/>
          <w:szCs w:val="24"/>
        </w:rPr>
        <w:t xml:space="preserve"> Se critica la intención de los cónyuges, de que la entonces candidata, suceda a su esposo en el cargo, pues busca generar “</w:t>
      </w:r>
      <w:r w:rsidRPr="005D4A7D">
        <w:rPr>
          <w:rFonts w:ascii="Arial" w:hAnsi="Arial" w:cs="Arial"/>
          <w:i/>
          <w:sz w:val="24"/>
          <w:szCs w:val="24"/>
        </w:rPr>
        <w:t>una opinión respecto a la continuidad de poder que representa la candidata</w:t>
      </w:r>
      <w:r w:rsidRPr="005D4A7D">
        <w:rPr>
          <w:rFonts w:ascii="Arial" w:hAnsi="Arial" w:cs="Arial"/>
          <w:sz w:val="24"/>
          <w:szCs w:val="24"/>
        </w:rPr>
        <w:t>”.</w:t>
      </w:r>
    </w:p>
    <w:p w:rsidR="00F9277D" w:rsidRPr="005D4A7D" w:rsidRDefault="00F9277D" w:rsidP="0074744F">
      <w:pPr>
        <w:widowControl w:val="0"/>
        <w:spacing w:before="120" w:after="120" w:line="360" w:lineRule="auto"/>
        <w:jc w:val="both"/>
        <w:rPr>
          <w:rFonts w:ascii="Arial" w:hAnsi="Arial" w:cs="Arial"/>
          <w:sz w:val="24"/>
          <w:szCs w:val="24"/>
        </w:rPr>
      </w:pPr>
      <w:r w:rsidRPr="005D4A7D">
        <w:rPr>
          <w:rFonts w:ascii="Arial" w:hAnsi="Arial" w:cs="Arial"/>
          <w:b/>
          <w:sz w:val="24"/>
          <w:szCs w:val="24"/>
        </w:rPr>
        <w:t xml:space="preserve">3. </w:t>
      </w:r>
      <w:r w:rsidRPr="005D4A7D">
        <w:rPr>
          <w:rFonts w:ascii="Arial" w:hAnsi="Arial" w:cs="Arial"/>
          <w:sz w:val="24"/>
          <w:szCs w:val="24"/>
        </w:rPr>
        <w:t>En cuanto a la determinación de la sanción, se alega que</w:t>
      </w:r>
      <w:r w:rsidRPr="005D4A7D">
        <w:rPr>
          <w:rFonts w:ascii="Arial" w:hAnsi="Arial" w:cs="Arial"/>
          <w:b/>
          <w:sz w:val="24"/>
          <w:szCs w:val="24"/>
        </w:rPr>
        <w:t xml:space="preserve"> </w:t>
      </w:r>
      <w:r w:rsidRPr="005D4A7D">
        <w:rPr>
          <w:rFonts w:ascii="Arial" w:hAnsi="Arial" w:cs="Arial"/>
          <w:sz w:val="24"/>
          <w:szCs w:val="24"/>
        </w:rPr>
        <w:t>no se consideraron las particulares del hecho, es decir, no se atendieron los elementos establecidos en el artículo 458 de la Ley Electoral</w:t>
      </w:r>
      <w:r w:rsidR="00990FC2" w:rsidRPr="005D4A7D">
        <w:rPr>
          <w:rFonts w:ascii="Arial" w:hAnsi="Arial" w:cs="Arial"/>
          <w:sz w:val="24"/>
          <w:szCs w:val="24"/>
        </w:rPr>
        <w:t>.</w:t>
      </w:r>
      <w:r w:rsidRPr="005D4A7D">
        <w:rPr>
          <w:rFonts w:ascii="Arial" w:hAnsi="Arial" w:cs="Arial"/>
          <w:sz w:val="24"/>
          <w:szCs w:val="24"/>
        </w:rPr>
        <w:t xml:space="preserve"> </w:t>
      </w:r>
    </w:p>
    <w:p w:rsidR="00F9277D" w:rsidRPr="005D4A7D" w:rsidRDefault="00F9277D" w:rsidP="0074744F">
      <w:pPr>
        <w:pStyle w:val="Ttulo2"/>
        <w:spacing w:before="120" w:beforeAutospacing="0" w:after="120" w:afterAutospacing="0"/>
      </w:pPr>
      <w:bookmarkStart w:id="17" w:name="_Toc505158457"/>
      <w:bookmarkStart w:id="18" w:name="_Toc511234129"/>
      <w:bookmarkStart w:id="19" w:name="_Toc519067217"/>
      <w:r w:rsidRPr="005D4A7D">
        <w:t xml:space="preserve">Apartado B. Fijación de la </w:t>
      </w:r>
      <w:r w:rsidRPr="005D4A7D">
        <w:rPr>
          <w:i/>
        </w:rPr>
        <w:t>litis</w:t>
      </w:r>
      <w:r w:rsidRPr="005D4A7D">
        <w:t>.</w:t>
      </w:r>
      <w:bookmarkEnd w:id="17"/>
      <w:bookmarkEnd w:id="18"/>
      <w:bookmarkEnd w:id="19"/>
    </w:p>
    <w:p w:rsidR="00F9277D" w:rsidRPr="005D4A7D" w:rsidRDefault="00F9277D" w:rsidP="0074744F">
      <w:pPr>
        <w:spacing w:before="120" w:after="120" w:line="360" w:lineRule="auto"/>
        <w:jc w:val="both"/>
        <w:rPr>
          <w:rFonts w:ascii="Arial" w:hAnsi="Arial" w:cs="Arial"/>
          <w:sz w:val="24"/>
          <w:szCs w:val="24"/>
        </w:rPr>
      </w:pPr>
      <w:r w:rsidRPr="005D4A7D">
        <w:rPr>
          <w:rFonts w:ascii="Arial" w:hAnsi="Arial" w:cs="Arial"/>
          <w:sz w:val="24"/>
          <w:szCs w:val="24"/>
        </w:rPr>
        <w:t>La controversia se centra en establecer si la sanción que fijó la Sala Especializada a los recurrentes por haber pautado el promocional denunciado</w:t>
      </w:r>
      <w:r w:rsidR="00990FC2" w:rsidRPr="005D4A7D">
        <w:rPr>
          <w:rFonts w:ascii="Arial" w:hAnsi="Arial" w:cs="Arial"/>
          <w:sz w:val="24"/>
          <w:szCs w:val="24"/>
        </w:rPr>
        <w:t xml:space="preserve"> (el PRI)</w:t>
      </w:r>
      <w:r w:rsidRPr="005D4A7D">
        <w:rPr>
          <w:rFonts w:ascii="Arial" w:hAnsi="Arial" w:cs="Arial"/>
          <w:sz w:val="24"/>
          <w:szCs w:val="24"/>
        </w:rPr>
        <w:t xml:space="preserve"> y su publicación en la cuenta de Twitter </w:t>
      </w:r>
      <w:r w:rsidR="00990FC2" w:rsidRPr="005D4A7D">
        <w:rPr>
          <w:rFonts w:ascii="Arial" w:hAnsi="Arial" w:cs="Arial"/>
          <w:sz w:val="24"/>
          <w:szCs w:val="24"/>
        </w:rPr>
        <w:t>(el candidato de dicho partido)</w:t>
      </w:r>
      <w:r w:rsidRPr="005D4A7D">
        <w:rPr>
          <w:rFonts w:ascii="Arial" w:hAnsi="Arial" w:cs="Arial"/>
          <w:sz w:val="24"/>
          <w:szCs w:val="24"/>
        </w:rPr>
        <w:t xml:space="preserve">, se encuentra </w:t>
      </w:r>
      <w:r w:rsidR="00FC51FD" w:rsidRPr="005D4A7D">
        <w:rPr>
          <w:rFonts w:ascii="Arial" w:hAnsi="Arial" w:cs="Arial"/>
          <w:sz w:val="24"/>
          <w:szCs w:val="24"/>
        </w:rPr>
        <w:t>apegada a la normatividad o si</w:t>
      </w:r>
      <w:r w:rsidR="00E97783" w:rsidRPr="005D4A7D">
        <w:rPr>
          <w:rFonts w:ascii="Arial" w:hAnsi="Arial" w:cs="Arial"/>
          <w:sz w:val="24"/>
          <w:szCs w:val="24"/>
        </w:rPr>
        <w:t>,</w:t>
      </w:r>
      <w:r w:rsidRPr="005D4A7D">
        <w:rPr>
          <w:rFonts w:ascii="Arial" w:hAnsi="Arial" w:cs="Arial"/>
          <w:sz w:val="24"/>
          <w:szCs w:val="24"/>
        </w:rPr>
        <w:t xml:space="preserve"> por el contrario, la responsable indebidamente impuso las sanciones recurridas. </w:t>
      </w:r>
    </w:p>
    <w:p w:rsidR="00F9277D" w:rsidRPr="005D4A7D" w:rsidRDefault="00F9277D" w:rsidP="0074744F">
      <w:pPr>
        <w:pStyle w:val="Ttulo2"/>
        <w:spacing w:before="120" w:beforeAutospacing="0" w:after="120" w:afterAutospacing="0"/>
      </w:pPr>
      <w:bookmarkStart w:id="20" w:name="_Toc519067218"/>
      <w:r w:rsidRPr="005D4A7D">
        <w:lastRenderedPageBreak/>
        <w:t>Apartado C. Metodología.</w:t>
      </w:r>
      <w:bookmarkEnd w:id="20"/>
    </w:p>
    <w:p w:rsidR="00F9277D" w:rsidRPr="005D4A7D" w:rsidRDefault="00F9277D"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Por cuestión de método, los agravios serán analizados </w:t>
      </w:r>
      <w:r w:rsidR="00FC51FD" w:rsidRPr="005D4A7D">
        <w:rPr>
          <w:rFonts w:ascii="Arial" w:hAnsi="Arial" w:cs="Arial"/>
          <w:sz w:val="24"/>
          <w:szCs w:val="24"/>
        </w:rPr>
        <w:t>atendiendo a los temas que se refieren</w:t>
      </w:r>
      <w:r w:rsidRPr="005D4A7D">
        <w:rPr>
          <w:rFonts w:ascii="Arial" w:hAnsi="Arial" w:cs="Arial"/>
          <w:sz w:val="24"/>
          <w:szCs w:val="24"/>
        </w:rPr>
        <w:t>, sin que ello genere afectación a</w:t>
      </w:r>
      <w:r w:rsidR="009434E2" w:rsidRPr="005D4A7D">
        <w:rPr>
          <w:rFonts w:ascii="Arial" w:hAnsi="Arial" w:cs="Arial"/>
          <w:sz w:val="24"/>
          <w:szCs w:val="24"/>
        </w:rPr>
        <w:t xml:space="preserve"> los</w:t>
      </w:r>
      <w:r w:rsidRPr="005D4A7D">
        <w:rPr>
          <w:rFonts w:ascii="Arial" w:hAnsi="Arial" w:cs="Arial"/>
          <w:sz w:val="24"/>
          <w:szCs w:val="24"/>
        </w:rPr>
        <w:t xml:space="preserve"> recurrente</w:t>
      </w:r>
      <w:r w:rsidR="009434E2" w:rsidRPr="005D4A7D">
        <w:rPr>
          <w:rFonts w:ascii="Arial" w:hAnsi="Arial" w:cs="Arial"/>
          <w:sz w:val="24"/>
          <w:szCs w:val="24"/>
        </w:rPr>
        <w:t>s</w:t>
      </w:r>
      <w:r w:rsidRPr="005D4A7D">
        <w:rPr>
          <w:rFonts w:ascii="Arial" w:hAnsi="Arial" w:cs="Arial"/>
          <w:sz w:val="24"/>
          <w:szCs w:val="24"/>
        </w:rPr>
        <w:t>, pues lo relevante es que todos sus planteamientos sean analizados</w:t>
      </w:r>
      <w:r w:rsidRPr="005D4A7D">
        <w:rPr>
          <w:rStyle w:val="Refdenotaalpie"/>
          <w:rFonts w:ascii="Arial" w:hAnsi="Arial" w:cs="Arial"/>
          <w:sz w:val="24"/>
          <w:szCs w:val="24"/>
        </w:rPr>
        <w:footnoteReference w:id="12"/>
      </w:r>
      <w:r w:rsidRPr="005D4A7D">
        <w:rPr>
          <w:rFonts w:ascii="Arial" w:hAnsi="Arial" w:cs="Arial"/>
          <w:sz w:val="24"/>
          <w:szCs w:val="24"/>
        </w:rPr>
        <w:t>.</w:t>
      </w:r>
    </w:p>
    <w:p w:rsidR="00E97783" w:rsidRPr="005D4A7D" w:rsidRDefault="00E1592E" w:rsidP="0074744F">
      <w:pPr>
        <w:pStyle w:val="Prrafodelista"/>
        <w:numPr>
          <w:ilvl w:val="0"/>
          <w:numId w:val="36"/>
        </w:numPr>
        <w:spacing w:before="120" w:after="120" w:line="360" w:lineRule="auto"/>
        <w:ind w:left="283" w:hanging="357"/>
        <w:contextualSpacing w:val="0"/>
        <w:jc w:val="both"/>
        <w:rPr>
          <w:rFonts w:ascii="Arial" w:hAnsi="Arial" w:cs="Arial"/>
          <w:sz w:val="24"/>
          <w:szCs w:val="24"/>
        </w:rPr>
      </w:pPr>
      <w:r w:rsidRPr="005D4A7D">
        <w:rPr>
          <w:rFonts w:ascii="Arial" w:hAnsi="Arial" w:cs="Arial"/>
          <w:sz w:val="24"/>
          <w:szCs w:val="24"/>
        </w:rPr>
        <w:t>I</w:t>
      </w:r>
      <w:r w:rsidR="00E97783" w:rsidRPr="005D4A7D">
        <w:rPr>
          <w:rFonts w:ascii="Arial" w:hAnsi="Arial" w:cs="Arial"/>
          <w:sz w:val="24"/>
          <w:szCs w:val="24"/>
        </w:rPr>
        <w:t>ncompetencia de la Sala Especializada</w:t>
      </w:r>
      <w:r w:rsidR="00990FC2" w:rsidRPr="005D4A7D">
        <w:rPr>
          <w:rFonts w:ascii="Arial" w:hAnsi="Arial" w:cs="Arial"/>
          <w:sz w:val="24"/>
          <w:szCs w:val="24"/>
        </w:rPr>
        <w:t xml:space="preserve"> para conocer de la denuncia en contra de José Enrique Doger Guerrero.</w:t>
      </w:r>
    </w:p>
    <w:p w:rsidR="00822C12" w:rsidRPr="005D4A7D" w:rsidRDefault="00822C12" w:rsidP="0074744F">
      <w:pPr>
        <w:pStyle w:val="Prrafodelista"/>
        <w:numPr>
          <w:ilvl w:val="0"/>
          <w:numId w:val="36"/>
        </w:numPr>
        <w:spacing w:before="120" w:after="120" w:line="360" w:lineRule="auto"/>
        <w:ind w:left="283" w:hanging="357"/>
        <w:contextualSpacing w:val="0"/>
        <w:jc w:val="both"/>
        <w:rPr>
          <w:rFonts w:ascii="Arial" w:hAnsi="Arial" w:cs="Arial"/>
          <w:sz w:val="24"/>
          <w:szCs w:val="24"/>
        </w:rPr>
      </w:pPr>
      <w:r w:rsidRPr="005D4A7D">
        <w:rPr>
          <w:rFonts w:ascii="Arial" w:hAnsi="Arial" w:cs="Arial"/>
          <w:sz w:val="24"/>
          <w:szCs w:val="24"/>
        </w:rPr>
        <w:t xml:space="preserve">Inexistencia de la infracción. </w:t>
      </w:r>
    </w:p>
    <w:p w:rsidR="00822C12" w:rsidRPr="005D4A7D" w:rsidRDefault="00822C12" w:rsidP="0074744F">
      <w:pPr>
        <w:pStyle w:val="Prrafodelista"/>
        <w:numPr>
          <w:ilvl w:val="0"/>
          <w:numId w:val="36"/>
        </w:numPr>
        <w:spacing w:before="120" w:after="120" w:line="360" w:lineRule="auto"/>
        <w:ind w:left="283" w:hanging="357"/>
        <w:contextualSpacing w:val="0"/>
        <w:jc w:val="both"/>
        <w:rPr>
          <w:rFonts w:ascii="Arial" w:hAnsi="Arial" w:cs="Arial"/>
          <w:sz w:val="24"/>
          <w:szCs w:val="24"/>
        </w:rPr>
      </w:pPr>
      <w:r w:rsidRPr="005D4A7D">
        <w:rPr>
          <w:rFonts w:ascii="Arial" w:hAnsi="Arial" w:cs="Arial"/>
          <w:sz w:val="24"/>
          <w:szCs w:val="24"/>
        </w:rPr>
        <w:t>Ejercicio de libertad de expresión.</w:t>
      </w:r>
    </w:p>
    <w:p w:rsidR="00822C12" w:rsidRPr="005D4A7D" w:rsidRDefault="00822C12" w:rsidP="0074744F">
      <w:pPr>
        <w:pStyle w:val="Prrafodelista"/>
        <w:numPr>
          <w:ilvl w:val="0"/>
          <w:numId w:val="36"/>
        </w:numPr>
        <w:spacing w:before="120" w:after="120" w:line="360" w:lineRule="auto"/>
        <w:ind w:left="283" w:hanging="357"/>
        <w:contextualSpacing w:val="0"/>
        <w:jc w:val="both"/>
        <w:rPr>
          <w:rFonts w:ascii="Arial" w:hAnsi="Arial" w:cs="Arial"/>
          <w:sz w:val="24"/>
          <w:szCs w:val="24"/>
        </w:rPr>
      </w:pPr>
      <w:r w:rsidRPr="005D4A7D">
        <w:rPr>
          <w:rFonts w:ascii="Arial" w:hAnsi="Arial" w:cs="Arial"/>
          <w:sz w:val="24"/>
          <w:szCs w:val="24"/>
        </w:rPr>
        <w:t xml:space="preserve">En el promocional se muestra la lucha de poder de dos mujeres de género femenino. </w:t>
      </w:r>
    </w:p>
    <w:p w:rsidR="00822C12" w:rsidRPr="005D4A7D" w:rsidRDefault="00822C12" w:rsidP="0074744F">
      <w:pPr>
        <w:pStyle w:val="Prrafodelista"/>
        <w:numPr>
          <w:ilvl w:val="0"/>
          <w:numId w:val="36"/>
        </w:numPr>
        <w:spacing w:before="120" w:after="120" w:line="360" w:lineRule="auto"/>
        <w:ind w:left="283" w:hanging="357"/>
        <w:contextualSpacing w:val="0"/>
        <w:jc w:val="both"/>
        <w:rPr>
          <w:rFonts w:ascii="Arial" w:hAnsi="Arial" w:cs="Arial"/>
          <w:sz w:val="24"/>
          <w:szCs w:val="24"/>
        </w:rPr>
      </w:pPr>
      <w:r w:rsidRPr="005D4A7D">
        <w:rPr>
          <w:rFonts w:ascii="Arial" w:hAnsi="Arial" w:cs="Arial"/>
          <w:sz w:val="24"/>
          <w:szCs w:val="24"/>
        </w:rPr>
        <w:t xml:space="preserve">No se consideró que la cuenta de Twitter de José Enrique Doger Guerrero era administrada por un tercero. </w:t>
      </w:r>
    </w:p>
    <w:p w:rsidR="00822C12" w:rsidRPr="005D4A7D" w:rsidRDefault="00822C12" w:rsidP="0074744F">
      <w:pPr>
        <w:pStyle w:val="Prrafodelista"/>
        <w:numPr>
          <w:ilvl w:val="0"/>
          <w:numId w:val="36"/>
        </w:numPr>
        <w:spacing w:before="120" w:after="120" w:line="360" w:lineRule="auto"/>
        <w:ind w:left="283" w:hanging="357"/>
        <w:contextualSpacing w:val="0"/>
        <w:jc w:val="both"/>
        <w:rPr>
          <w:rFonts w:ascii="Arial" w:hAnsi="Arial" w:cs="Arial"/>
          <w:sz w:val="24"/>
          <w:szCs w:val="24"/>
        </w:rPr>
      </w:pPr>
      <w:r w:rsidRPr="005D4A7D">
        <w:rPr>
          <w:rFonts w:ascii="Arial" w:hAnsi="Arial" w:cs="Arial"/>
          <w:sz w:val="24"/>
          <w:szCs w:val="24"/>
        </w:rPr>
        <w:t xml:space="preserve">Individualización de la sanción. </w:t>
      </w:r>
    </w:p>
    <w:p w:rsidR="00F9277D" w:rsidRPr="005D4A7D" w:rsidRDefault="00F9277D" w:rsidP="0074744F">
      <w:pPr>
        <w:pStyle w:val="Ttulo2"/>
        <w:spacing w:before="120" w:beforeAutospacing="0" w:after="120" w:afterAutospacing="0"/>
      </w:pPr>
      <w:bookmarkStart w:id="21" w:name="_Toc511234132"/>
      <w:bookmarkStart w:id="22" w:name="_Toc519067219"/>
      <w:r w:rsidRPr="005D4A7D">
        <w:t>Apartado E. Decisión de la Sala Superior.</w:t>
      </w:r>
      <w:bookmarkEnd w:id="21"/>
      <w:bookmarkEnd w:id="22"/>
    </w:p>
    <w:p w:rsidR="00F9277D" w:rsidRPr="005D4A7D" w:rsidRDefault="00F9277D" w:rsidP="0074744F">
      <w:pPr>
        <w:widowControl w:val="0"/>
        <w:spacing w:before="120" w:after="120" w:line="360" w:lineRule="auto"/>
        <w:jc w:val="both"/>
        <w:rPr>
          <w:rFonts w:ascii="Arial" w:hAnsi="Arial" w:cs="Arial"/>
          <w:sz w:val="24"/>
          <w:szCs w:val="24"/>
        </w:rPr>
      </w:pPr>
      <w:r w:rsidRPr="005D4A7D">
        <w:rPr>
          <w:rFonts w:ascii="Arial" w:hAnsi="Arial" w:cs="Arial"/>
          <w:sz w:val="24"/>
          <w:szCs w:val="24"/>
        </w:rPr>
        <w:t xml:space="preserve">Los planteamientos del recurrente son </w:t>
      </w:r>
      <w:r w:rsidRPr="005D4A7D">
        <w:rPr>
          <w:rFonts w:ascii="Arial" w:hAnsi="Arial" w:cs="Arial"/>
          <w:b/>
          <w:sz w:val="24"/>
          <w:szCs w:val="24"/>
        </w:rPr>
        <w:t>en parte inoperantes y en parte</w:t>
      </w:r>
      <w:r w:rsidRPr="005D4A7D">
        <w:rPr>
          <w:rFonts w:ascii="Arial" w:hAnsi="Arial" w:cs="Arial"/>
          <w:sz w:val="24"/>
          <w:szCs w:val="24"/>
        </w:rPr>
        <w:t xml:space="preserve"> </w:t>
      </w:r>
      <w:r w:rsidRPr="005D4A7D">
        <w:rPr>
          <w:rFonts w:ascii="Arial" w:hAnsi="Arial" w:cs="Arial"/>
          <w:b/>
          <w:sz w:val="24"/>
          <w:szCs w:val="24"/>
        </w:rPr>
        <w:t>infundados</w:t>
      </w:r>
      <w:r w:rsidRPr="005D4A7D">
        <w:rPr>
          <w:rFonts w:ascii="Arial" w:hAnsi="Arial" w:cs="Arial"/>
          <w:sz w:val="24"/>
          <w:szCs w:val="24"/>
        </w:rPr>
        <w:t xml:space="preserve">; en consecuencia, se </w:t>
      </w:r>
      <w:r w:rsidRPr="005D4A7D">
        <w:rPr>
          <w:rFonts w:ascii="Arial" w:hAnsi="Arial" w:cs="Arial"/>
          <w:b/>
          <w:sz w:val="24"/>
          <w:szCs w:val="24"/>
        </w:rPr>
        <w:t>confirma</w:t>
      </w:r>
      <w:r w:rsidRPr="005D4A7D">
        <w:rPr>
          <w:rFonts w:ascii="Arial" w:hAnsi="Arial" w:cs="Arial"/>
          <w:sz w:val="24"/>
          <w:szCs w:val="24"/>
        </w:rPr>
        <w:t xml:space="preserve"> la resolución impugnada en atención a lo siguiente:</w:t>
      </w:r>
    </w:p>
    <w:p w:rsidR="00F9277D" w:rsidRPr="005D4A7D" w:rsidRDefault="00F9277D" w:rsidP="0074744F">
      <w:pPr>
        <w:pStyle w:val="Ttulo2"/>
        <w:spacing w:before="120" w:beforeAutospacing="0" w:after="120" w:afterAutospacing="0"/>
      </w:pPr>
      <w:bookmarkStart w:id="23" w:name="_Toc517459208"/>
      <w:bookmarkStart w:id="24" w:name="_Toc519067220"/>
      <w:r w:rsidRPr="005D4A7D">
        <w:t>Apartado F: Justificación de la decisión.</w:t>
      </w:r>
      <w:bookmarkEnd w:id="23"/>
      <w:bookmarkEnd w:id="24"/>
    </w:p>
    <w:p w:rsidR="00F9277D" w:rsidRPr="005D4A7D" w:rsidRDefault="00F9277D" w:rsidP="0074744F">
      <w:pPr>
        <w:pStyle w:val="Ttulo2"/>
        <w:spacing w:before="120" w:beforeAutospacing="0" w:after="120" w:afterAutospacing="0"/>
      </w:pPr>
      <w:bookmarkStart w:id="25" w:name="_Toc517459209"/>
      <w:bookmarkStart w:id="26" w:name="_Toc519067221"/>
      <w:r w:rsidRPr="005D4A7D">
        <w:t>1. Marco normativo.</w:t>
      </w:r>
      <w:bookmarkEnd w:id="25"/>
      <w:bookmarkEnd w:id="26"/>
    </w:p>
    <w:p w:rsidR="00F9277D" w:rsidRPr="005D4A7D" w:rsidRDefault="00AE3E60" w:rsidP="0074744F">
      <w:pPr>
        <w:spacing w:before="120" w:after="120" w:line="360" w:lineRule="auto"/>
        <w:jc w:val="both"/>
        <w:rPr>
          <w:rFonts w:ascii="Arial" w:hAnsi="Arial" w:cs="Arial"/>
          <w:b/>
          <w:sz w:val="24"/>
          <w:szCs w:val="24"/>
        </w:rPr>
      </w:pPr>
      <w:r w:rsidRPr="005D4A7D">
        <w:rPr>
          <w:rFonts w:ascii="Arial" w:hAnsi="Arial" w:cs="Arial"/>
          <w:b/>
          <w:sz w:val="24"/>
          <w:szCs w:val="24"/>
        </w:rPr>
        <w:t>1.1</w:t>
      </w:r>
      <w:r w:rsidR="00F9277D" w:rsidRPr="005D4A7D">
        <w:rPr>
          <w:rFonts w:ascii="Arial" w:hAnsi="Arial" w:cs="Arial"/>
          <w:b/>
          <w:sz w:val="24"/>
          <w:szCs w:val="24"/>
        </w:rPr>
        <w:t>. Marco normativo para juzgar con perspectiva de género.</w:t>
      </w:r>
    </w:p>
    <w:p w:rsidR="00F9277D" w:rsidRPr="005D4A7D" w:rsidRDefault="00F9277D" w:rsidP="0074744F">
      <w:pPr>
        <w:spacing w:before="120" w:after="120" w:line="360" w:lineRule="auto"/>
        <w:jc w:val="both"/>
        <w:rPr>
          <w:rFonts w:ascii="Arial" w:hAnsi="Arial" w:cs="Arial"/>
          <w:bCs/>
          <w:sz w:val="24"/>
          <w:szCs w:val="24"/>
          <w:bdr w:val="none" w:sz="0" w:space="0" w:color="auto" w:frame="1"/>
        </w:rPr>
      </w:pPr>
      <w:r w:rsidRPr="005D4A7D">
        <w:rPr>
          <w:rFonts w:ascii="Arial" w:hAnsi="Arial" w:cs="Arial"/>
          <w:sz w:val="24"/>
          <w:szCs w:val="24"/>
        </w:rPr>
        <w:t>Es criterio de esta Sala Superior</w:t>
      </w:r>
      <w:r w:rsidRPr="005D4A7D">
        <w:rPr>
          <w:rStyle w:val="Refdenotaalpie"/>
          <w:rFonts w:ascii="Arial" w:hAnsi="Arial" w:cs="Arial"/>
          <w:sz w:val="24"/>
          <w:szCs w:val="24"/>
        </w:rPr>
        <w:footnoteReference w:id="13"/>
      </w:r>
      <w:r w:rsidRPr="005D4A7D">
        <w:rPr>
          <w:rFonts w:ascii="Arial" w:hAnsi="Arial" w:cs="Arial"/>
          <w:sz w:val="24"/>
          <w:szCs w:val="24"/>
        </w:rPr>
        <w:t xml:space="preserve"> y la Suprema Corte</w:t>
      </w:r>
      <w:r w:rsidRPr="005D4A7D">
        <w:rPr>
          <w:rStyle w:val="Refdenotaalpie"/>
          <w:rFonts w:ascii="Arial" w:hAnsi="Arial" w:cs="Arial"/>
          <w:sz w:val="24"/>
          <w:szCs w:val="24"/>
        </w:rPr>
        <w:footnoteReference w:id="14"/>
      </w:r>
      <w:r w:rsidRPr="005D4A7D">
        <w:rPr>
          <w:rFonts w:ascii="Arial" w:hAnsi="Arial" w:cs="Arial"/>
          <w:sz w:val="24"/>
          <w:szCs w:val="24"/>
        </w:rPr>
        <w:t xml:space="preserve">, que la </w:t>
      </w:r>
      <w:r w:rsidRPr="005D4A7D">
        <w:rPr>
          <w:rFonts w:ascii="Arial" w:hAnsi="Arial" w:cs="Arial"/>
          <w:bCs/>
          <w:sz w:val="24"/>
          <w:szCs w:val="24"/>
          <w:bdr w:val="none" w:sz="0" w:space="0" w:color="auto" w:frame="1"/>
        </w:rPr>
        <w:t xml:space="preserve">impartición de justicia con perspectiva de género consiste en una aproximación de análisis de los casos, que permita detectar las asimetrías de poder que comprometen el acceso a la justicia, considerando las situaciones de desventaja, de violencia, o de discriminación o vulnerabilidad por razones de género, ya que, debe velarse porque toda controversia jurisdiccional </w:t>
      </w:r>
      <w:r w:rsidRPr="005D4A7D">
        <w:rPr>
          <w:rFonts w:ascii="Arial" w:hAnsi="Arial" w:cs="Arial"/>
          <w:bCs/>
          <w:sz w:val="24"/>
          <w:szCs w:val="24"/>
          <w:bdr w:val="none" w:sz="0" w:space="0" w:color="auto" w:frame="1"/>
        </w:rPr>
        <w:lastRenderedPageBreak/>
        <w:t xml:space="preserve">garantice el acceso a la justicia de forma efectiva e igualitaria, </w:t>
      </w:r>
      <w:r w:rsidRPr="005D4A7D">
        <w:rPr>
          <w:rFonts w:ascii="Arial" w:hAnsi="Arial" w:cs="Arial"/>
          <w:b/>
          <w:bCs/>
          <w:sz w:val="24"/>
          <w:szCs w:val="24"/>
          <w:bdr w:val="none" w:sz="0" w:space="0" w:color="auto" w:frame="1"/>
        </w:rPr>
        <w:t xml:space="preserve">cuestionando los posibles estereotipos </w:t>
      </w:r>
      <w:r w:rsidR="00905467" w:rsidRPr="005D4A7D">
        <w:rPr>
          <w:rFonts w:ascii="Arial" w:hAnsi="Arial" w:cs="Arial"/>
          <w:b/>
          <w:bCs/>
          <w:sz w:val="24"/>
          <w:szCs w:val="24"/>
          <w:bdr w:val="none" w:sz="0" w:space="0" w:color="auto" w:frame="1"/>
        </w:rPr>
        <w:t xml:space="preserve">discriminatorios </w:t>
      </w:r>
      <w:r w:rsidRPr="005D4A7D">
        <w:rPr>
          <w:rFonts w:ascii="Arial" w:hAnsi="Arial" w:cs="Arial"/>
          <w:b/>
          <w:bCs/>
          <w:sz w:val="24"/>
          <w:szCs w:val="24"/>
          <w:bdr w:val="none" w:sz="0" w:space="0" w:color="auto" w:frame="1"/>
        </w:rPr>
        <w:t>de género</w:t>
      </w:r>
      <w:r w:rsidRPr="005D4A7D">
        <w:rPr>
          <w:rFonts w:ascii="Arial" w:hAnsi="Arial" w:cs="Arial"/>
          <w:bCs/>
          <w:sz w:val="24"/>
          <w:szCs w:val="24"/>
          <w:bdr w:val="none" w:sz="0" w:space="0" w:color="auto" w:frame="1"/>
        </w:rPr>
        <w:t xml:space="preserve"> y evitando invisibilizar las violaciones alegadas</w:t>
      </w:r>
      <w:r w:rsidRPr="005D4A7D">
        <w:rPr>
          <w:rStyle w:val="Refdenotaalpie"/>
          <w:rFonts w:ascii="Arial" w:eastAsiaTheme="majorEastAsia" w:hAnsi="Arial" w:cs="Arial"/>
          <w:sz w:val="24"/>
          <w:szCs w:val="24"/>
          <w:bdr w:val="none" w:sz="0" w:space="0" w:color="auto" w:frame="1"/>
        </w:rPr>
        <w:footnoteReference w:id="15"/>
      </w:r>
      <w:r w:rsidRPr="005D4A7D">
        <w:rPr>
          <w:rFonts w:ascii="Arial" w:hAnsi="Arial" w:cs="Arial"/>
          <w:bCs/>
          <w:sz w:val="24"/>
          <w:szCs w:val="24"/>
          <w:bdr w:val="none" w:sz="0" w:space="0" w:color="auto" w:frame="1"/>
        </w:rPr>
        <w:t>.</w:t>
      </w:r>
    </w:p>
    <w:p w:rsidR="00F9277D" w:rsidRPr="005D4A7D" w:rsidRDefault="00F9277D" w:rsidP="0074744F">
      <w:pPr>
        <w:spacing w:before="120" w:after="120" w:line="360" w:lineRule="auto"/>
        <w:jc w:val="both"/>
        <w:rPr>
          <w:rFonts w:ascii="Arial" w:hAnsi="Arial" w:cs="Arial"/>
          <w:sz w:val="24"/>
          <w:szCs w:val="24"/>
        </w:rPr>
      </w:pPr>
      <w:r w:rsidRPr="005D4A7D">
        <w:rPr>
          <w:rFonts w:ascii="Arial" w:hAnsi="Arial" w:cs="Arial"/>
          <w:sz w:val="24"/>
          <w:szCs w:val="24"/>
        </w:rPr>
        <w:t>Así, el cumplimiento de los principios de igualdad y no discriminación, y en específico, la atención de la violencia contra las mujeres debe procurarse tanto por las autoridades electorales como por los partidos políticos, en tan</w:t>
      </w:r>
      <w:r w:rsidR="002473ED" w:rsidRPr="005D4A7D">
        <w:rPr>
          <w:rFonts w:ascii="Arial" w:hAnsi="Arial" w:cs="Arial"/>
          <w:sz w:val="24"/>
          <w:szCs w:val="24"/>
        </w:rPr>
        <w:t>to entidades de interés público, l</w:t>
      </w:r>
      <w:r w:rsidRPr="005D4A7D">
        <w:rPr>
          <w:rFonts w:ascii="Arial" w:hAnsi="Arial" w:cs="Arial"/>
          <w:sz w:val="24"/>
          <w:szCs w:val="24"/>
        </w:rPr>
        <w:t>o cual exige un actuar responsable y efectivo de los poderes públicos, pero también de los partidos políticos</w:t>
      </w:r>
      <w:r w:rsidR="0068402B" w:rsidRPr="005D4A7D">
        <w:rPr>
          <w:rFonts w:ascii="Arial" w:hAnsi="Arial" w:cs="Arial"/>
          <w:sz w:val="24"/>
          <w:szCs w:val="24"/>
        </w:rPr>
        <w:t>.</w:t>
      </w:r>
    </w:p>
    <w:p w:rsidR="00F9277D" w:rsidRPr="005D4A7D" w:rsidRDefault="00F9277D" w:rsidP="0074744F">
      <w:pPr>
        <w:spacing w:before="120" w:after="120" w:line="360" w:lineRule="auto"/>
        <w:jc w:val="both"/>
        <w:rPr>
          <w:rFonts w:ascii="Arial" w:hAnsi="Arial" w:cs="Arial"/>
          <w:sz w:val="24"/>
          <w:szCs w:val="24"/>
        </w:rPr>
      </w:pPr>
      <w:r w:rsidRPr="005D4A7D">
        <w:rPr>
          <w:rFonts w:ascii="Arial" w:hAnsi="Arial" w:cs="Arial"/>
          <w:sz w:val="24"/>
          <w:szCs w:val="24"/>
        </w:rPr>
        <w:t>Ese mandato se reconoce en los artículos 1º, párrafo 1 y 4° de la Constitución Federal, así como en el artículo 5 y 10.c de la Convención sobre la Eliminación de todas las formas de Discriminación contra la Mujer</w:t>
      </w:r>
      <w:r w:rsidRPr="005D4A7D">
        <w:rPr>
          <w:rStyle w:val="Refdenotaalpie"/>
          <w:rFonts w:ascii="Arial" w:eastAsiaTheme="majorEastAsia" w:hAnsi="Arial" w:cs="Arial"/>
          <w:sz w:val="24"/>
          <w:szCs w:val="24"/>
        </w:rPr>
        <w:footnoteReference w:id="16"/>
      </w:r>
      <w:r w:rsidRPr="005D4A7D">
        <w:rPr>
          <w:rFonts w:ascii="Arial" w:hAnsi="Arial" w:cs="Arial"/>
          <w:sz w:val="24"/>
          <w:szCs w:val="24"/>
        </w:rPr>
        <w:t>, así como los artículos 6.b y 8.b de la Convención interamericana para prevenir, sancionar y erradicar la violencia contra la mujer, que obligan al Estado mexicano a tomar medidas para modificar los patrones socioculturales de género, a fin de eliminar los prejuicios y prácticas basadas en el estereotipo de hombres y mujeres.</w:t>
      </w:r>
    </w:p>
    <w:p w:rsidR="00F9277D" w:rsidRPr="005D4A7D" w:rsidRDefault="00F9277D" w:rsidP="0074744F">
      <w:pPr>
        <w:spacing w:before="120" w:after="120" w:line="360" w:lineRule="auto"/>
        <w:jc w:val="both"/>
        <w:rPr>
          <w:rFonts w:ascii="Arial" w:hAnsi="Arial" w:cs="Arial"/>
          <w:sz w:val="24"/>
          <w:szCs w:val="24"/>
        </w:rPr>
      </w:pPr>
      <w:r w:rsidRPr="005D4A7D">
        <w:rPr>
          <w:rFonts w:ascii="Arial" w:hAnsi="Arial" w:cs="Arial"/>
          <w:sz w:val="24"/>
          <w:szCs w:val="24"/>
        </w:rPr>
        <w:t>Por su parte el artículo 1° de la propia Convención interamericana para prevenir, sancionar y erradicar la violencia contra la mujer, considera violencia contra las mujeres cualquier acción o conducta, basada en su género, que cause la muerte, daño o sufrimiento físico, sexual o psicológico a las mujeres tanto en el ámbito público como el privado.</w:t>
      </w:r>
    </w:p>
    <w:p w:rsidR="00F9277D" w:rsidRPr="005D4A7D" w:rsidRDefault="00F9277D" w:rsidP="0074744F">
      <w:pPr>
        <w:spacing w:before="120" w:after="120" w:line="360" w:lineRule="auto"/>
        <w:jc w:val="both"/>
        <w:rPr>
          <w:rFonts w:ascii="Arial" w:hAnsi="Arial" w:cs="Arial"/>
          <w:sz w:val="24"/>
          <w:szCs w:val="24"/>
        </w:rPr>
      </w:pPr>
      <w:r w:rsidRPr="005D4A7D">
        <w:rPr>
          <w:rFonts w:ascii="Arial" w:hAnsi="Arial" w:cs="Arial"/>
          <w:sz w:val="24"/>
          <w:szCs w:val="24"/>
        </w:rPr>
        <w:t>De igual forma, en la legislación nacional se define a la violencia contra las mujeres</w:t>
      </w:r>
      <w:bookmarkStart w:id="27" w:name="LPHit5"/>
      <w:bookmarkEnd w:id="27"/>
      <w:r w:rsidRPr="005D4A7D">
        <w:rPr>
          <w:rStyle w:val="Refdenotaalpie"/>
          <w:rFonts w:ascii="Arial" w:hAnsi="Arial" w:cs="Arial"/>
          <w:sz w:val="24"/>
          <w:szCs w:val="24"/>
        </w:rPr>
        <w:footnoteReference w:id="17"/>
      </w:r>
      <w:r w:rsidRPr="005D4A7D">
        <w:rPr>
          <w:rFonts w:ascii="Arial" w:hAnsi="Arial" w:cs="Arial"/>
          <w:sz w:val="24"/>
          <w:szCs w:val="24"/>
        </w:rPr>
        <w:t xml:space="preserve"> como cualquier acción u omisión, basada en su género, que les cause daño o sufrimiento psicológico, físico, patrimonial, económico, sexual o la muerte tanto en el ám</w:t>
      </w:r>
      <w:r w:rsidR="0068402B" w:rsidRPr="005D4A7D">
        <w:rPr>
          <w:rFonts w:ascii="Arial" w:hAnsi="Arial" w:cs="Arial"/>
          <w:sz w:val="24"/>
          <w:szCs w:val="24"/>
        </w:rPr>
        <w:t>bito privado como en el público</w:t>
      </w:r>
      <w:r w:rsidRPr="005D4A7D">
        <w:rPr>
          <w:rFonts w:ascii="Arial" w:hAnsi="Arial" w:cs="Arial"/>
          <w:sz w:val="24"/>
          <w:szCs w:val="24"/>
        </w:rPr>
        <w:t>.</w:t>
      </w:r>
    </w:p>
    <w:p w:rsidR="00F9277D" w:rsidRPr="005D4A7D" w:rsidRDefault="00F9277D" w:rsidP="0074744F">
      <w:pPr>
        <w:spacing w:before="120" w:after="120" w:line="360" w:lineRule="auto"/>
        <w:jc w:val="both"/>
        <w:rPr>
          <w:rFonts w:ascii="Arial" w:hAnsi="Arial" w:cs="Arial"/>
          <w:sz w:val="24"/>
          <w:szCs w:val="24"/>
        </w:rPr>
      </w:pPr>
      <w:r w:rsidRPr="005D4A7D">
        <w:rPr>
          <w:rFonts w:ascii="Arial" w:hAnsi="Arial" w:cs="Arial"/>
          <w:sz w:val="24"/>
          <w:szCs w:val="24"/>
        </w:rPr>
        <w:lastRenderedPageBreak/>
        <w:t xml:space="preserve">Conforme a lo anterior, es obligación de los partidos políticos atender al citado deber en su propaganda electoral, </w:t>
      </w:r>
      <w:r w:rsidR="006062AF" w:rsidRPr="005D4A7D">
        <w:rPr>
          <w:rFonts w:ascii="Arial" w:hAnsi="Arial" w:cs="Arial"/>
          <w:sz w:val="24"/>
          <w:szCs w:val="24"/>
        </w:rPr>
        <w:t>a efecto de contribuir</w:t>
      </w:r>
      <w:r w:rsidRPr="005D4A7D">
        <w:rPr>
          <w:rFonts w:ascii="Arial" w:hAnsi="Arial" w:cs="Arial"/>
          <w:sz w:val="24"/>
          <w:szCs w:val="24"/>
        </w:rPr>
        <w:t xml:space="preserve"> a la eliminación de la violencia en la comunicación de sus mensajes y/o propuestas electorales, así como en la reproducción de estereotipos discriminatorios contra la mujer.</w:t>
      </w:r>
    </w:p>
    <w:p w:rsidR="00F9277D" w:rsidRPr="005D4A7D" w:rsidRDefault="00F9277D"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En el mismo sentido, esta Sala Superior tiene la obligación de que, en el análisis de los casos que se plantean, atendiendo a las particularidades y contextos, debe juzgar con perspectiva de género, a efecto de detectar la existencia de posibles estereotipos discriminadores. </w:t>
      </w:r>
    </w:p>
    <w:p w:rsidR="00F9277D" w:rsidRPr="005D4A7D" w:rsidRDefault="00F9277D" w:rsidP="0074744F">
      <w:pPr>
        <w:spacing w:before="120" w:after="120" w:line="360" w:lineRule="auto"/>
        <w:jc w:val="both"/>
        <w:rPr>
          <w:rFonts w:ascii="Arial" w:hAnsi="Arial" w:cs="Arial"/>
          <w:b/>
          <w:sz w:val="24"/>
          <w:szCs w:val="24"/>
        </w:rPr>
      </w:pPr>
      <w:r w:rsidRPr="005D4A7D">
        <w:rPr>
          <w:rFonts w:ascii="Arial" w:hAnsi="Arial" w:cs="Arial"/>
          <w:b/>
          <w:sz w:val="24"/>
          <w:szCs w:val="24"/>
        </w:rPr>
        <w:t>1.</w:t>
      </w:r>
      <w:r w:rsidR="00AE3E60" w:rsidRPr="005D4A7D">
        <w:rPr>
          <w:rFonts w:ascii="Arial" w:hAnsi="Arial" w:cs="Arial"/>
          <w:b/>
          <w:sz w:val="24"/>
          <w:szCs w:val="24"/>
        </w:rPr>
        <w:t>2</w:t>
      </w:r>
      <w:r w:rsidRPr="005D4A7D">
        <w:rPr>
          <w:rFonts w:ascii="Arial" w:hAnsi="Arial" w:cs="Arial"/>
          <w:b/>
          <w:sz w:val="24"/>
          <w:szCs w:val="24"/>
        </w:rPr>
        <w:t>. Marco jurídico sobre el desarrollo relativo a que el contenido que elaboren los partidos políticos para su pauta, no implique violencia política de género.</w:t>
      </w:r>
    </w:p>
    <w:p w:rsidR="00F9277D" w:rsidRPr="005D4A7D" w:rsidRDefault="00F9277D"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En ese sentido, un aspecto que se ha considerado relevante, en el contexto apuntado, es el deber de que los promocionales no afecten directa o indirectamente a un género, </w:t>
      </w:r>
      <w:r w:rsidRPr="005D4A7D">
        <w:rPr>
          <w:rFonts w:ascii="Arial" w:hAnsi="Arial" w:cs="Arial"/>
          <w:b/>
          <w:sz w:val="24"/>
          <w:szCs w:val="24"/>
        </w:rPr>
        <w:t>a través del fortalecimiento de estereotipos y promoción de violencia</w:t>
      </w:r>
      <w:r w:rsidRPr="005D4A7D">
        <w:rPr>
          <w:rFonts w:ascii="Arial" w:hAnsi="Arial" w:cs="Arial"/>
          <w:sz w:val="24"/>
          <w:szCs w:val="24"/>
        </w:rPr>
        <w:t>.</w:t>
      </w:r>
    </w:p>
    <w:p w:rsidR="00F9277D" w:rsidRPr="005D4A7D" w:rsidRDefault="00F9277D"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Así, debe considerarse que un estereotipo de género es:  </w:t>
      </w:r>
    </w:p>
    <w:p w:rsidR="00F9277D" w:rsidRPr="005D4A7D" w:rsidRDefault="00F9277D" w:rsidP="0074744F">
      <w:pPr>
        <w:pStyle w:val="Prrafodelista"/>
        <w:numPr>
          <w:ilvl w:val="0"/>
          <w:numId w:val="32"/>
        </w:numPr>
        <w:spacing w:before="120" w:after="120" w:line="360" w:lineRule="auto"/>
        <w:ind w:left="714" w:hanging="357"/>
        <w:contextualSpacing w:val="0"/>
        <w:jc w:val="both"/>
        <w:rPr>
          <w:rFonts w:ascii="Arial" w:hAnsi="Arial" w:cs="Arial"/>
          <w:sz w:val="24"/>
          <w:szCs w:val="24"/>
        </w:rPr>
      </w:pPr>
      <w:r w:rsidRPr="005D4A7D">
        <w:rPr>
          <w:rFonts w:ascii="Arial" w:hAnsi="Arial" w:cs="Arial"/>
          <w:sz w:val="24"/>
          <w:szCs w:val="24"/>
        </w:rPr>
        <w:t xml:space="preserve">Aquella manifestación, opinión o prejuicio generalizado relacionado con los roles sociales y culturales que deben poseer o desempeñar los hombres y mujeres. </w:t>
      </w:r>
    </w:p>
    <w:p w:rsidR="00F9277D" w:rsidRPr="005D4A7D" w:rsidRDefault="00F9277D" w:rsidP="0074744F">
      <w:pPr>
        <w:pStyle w:val="Prrafodelista"/>
        <w:numPr>
          <w:ilvl w:val="0"/>
          <w:numId w:val="32"/>
        </w:numPr>
        <w:spacing w:before="120" w:after="120" w:line="360" w:lineRule="auto"/>
        <w:ind w:left="714" w:hanging="357"/>
        <w:contextualSpacing w:val="0"/>
        <w:jc w:val="both"/>
        <w:rPr>
          <w:rFonts w:ascii="Arial" w:hAnsi="Arial" w:cs="Arial"/>
          <w:color w:val="000000"/>
          <w:sz w:val="24"/>
          <w:szCs w:val="24"/>
          <w:shd w:val="clear" w:color="auto" w:fill="FFFFFF"/>
        </w:rPr>
      </w:pPr>
      <w:r w:rsidRPr="005D4A7D">
        <w:rPr>
          <w:rFonts w:ascii="Arial" w:hAnsi="Arial" w:cs="Arial"/>
          <w:color w:val="000000"/>
          <w:sz w:val="24"/>
          <w:szCs w:val="24"/>
          <w:shd w:val="clear" w:color="auto" w:fill="FFFFFF"/>
        </w:rPr>
        <w:t xml:space="preserve">En la práctica, el uso de esos estereotipos de género se refleja en la asignación de una persona determinada, hombre o mujer, atributos, características o funciones específicas, únicamente por su pertenencia al grupo social masculino o femenino. </w:t>
      </w:r>
    </w:p>
    <w:p w:rsidR="00F9277D" w:rsidRPr="005D4A7D" w:rsidRDefault="00F9277D" w:rsidP="0074744F">
      <w:pPr>
        <w:pStyle w:val="Prrafodelista"/>
        <w:numPr>
          <w:ilvl w:val="0"/>
          <w:numId w:val="32"/>
        </w:numPr>
        <w:spacing w:before="120" w:after="120" w:line="360" w:lineRule="auto"/>
        <w:ind w:left="714" w:hanging="357"/>
        <w:contextualSpacing w:val="0"/>
        <w:jc w:val="both"/>
        <w:rPr>
          <w:rFonts w:ascii="Arial" w:hAnsi="Arial" w:cs="Arial"/>
          <w:color w:val="000000"/>
          <w:sz w:val="24"/>
          <w:szCs w:val="24"/>
          <w:shd w:val="clear" w:color="auto" w:fill="FFFFFF"/>
        </w:rPr>
      </w:pPr>
      <w:r w:rsidRPr="005D4A7D">
        <w:rPr>
          <w:rFonts w:ascii="Arial" w:hAnsi="Arial" w:cs="Arial"/>
          <w:color w:val="000000"/>
          <w:sz w:val="24"/>
          <w:szCs w:val="24"/>
          <w:shd w:val="clear" w:color="auto" w:fill="FFFFFF"/>
        </w:rPr>
        <w:t xml:space="preserve">Estos estereotipos pueden ser positivos o negativos: 1) los primeros </w:t>
      </w:r>
      <w:r w:rsidR="002157D3" w:rsidRPr="005D4A7D">
        <w:rPr>
          <w:rFonts w:ascii="Arial" w:hAnsi="Arial" w:cs="Arial"/>
          <w:color w:val="000000"/>
          <w:sz w:val="24"/>
          <w:szCs w:val="24"/>
          <w:shd w:val="clear" w:color="auto" w:fill="FFFFFF"/>
        </w:rPr>
        <w:t xml:space="preserve">son </w:t>
      </w:r>
      <w:r w:rsidRPr="005D4A7D">
        <w:rPr>
          <w:rFonts w:ascii="Arial" w:hAnsi="Arial" w:cs="Arial"/>
          <w:color w:val="000000"/>
          <w:sz w:val="24"/>
          <w:szCs w:val="24"/>
          <w:shd w:val="clear" w:color="auto" w:fill="FFFFFF"/>
        </w:rPr>
        <w:t>aquellos que se consideran una vi</w:t>
      </w:r>
      <w:r w:rsidR="004B0417" w:rsidRPr="005D4A7D">
        <w:rPr>
          <w:rFonts w:ascii="Arial" w:hAnsi="Arial" w:cs="Arial"/>
          <w:color w:val="000000"/>
          <w:sz w:val="24"/>
          <w:szCs w:val="24"/>
          <w:shd w:val="clear" w:color="auto" w:fill="FFFFFF"/>
        </w:rPr>
        <w:t>rtud o buena acción relacionada</w:t>
      </w:r>
      <w:r w:rsidRPr="005D4A7D">
        <w:rPr>
          <w:rFonts w:ascii="Arial" w:hAnsi="Arial" w:cs="Arial"/>
          <w:color w:val="000000"/>
          <w:sz w:val="24"/>
          <w:szCs w:val="24"/>
          <w:shd w:val="clear" w:color="auto" w:fill="FFFFFF"/>
        </w:rPr>
        <w:t xml:space="preserve">; 2) los segundos, son los que marcan defectos </w:t>
      </w:r>
      <w:r w:rsidR="004B0417" w:rsidRPr="005D4A7D">
        <w:rPr>
          <w:rFonts w:ascii="Arial" w:hAnsi="Arial" w:cs="Arial"/>
          <w:color w:val="000000"/>
          <w:sz w:val="24"/>
          <w:szCs w:val="24"/>
          <w:shd w:val="clear" w:color="auto" w:fill="FFFFFF"/>
        </w:rPr>
        <w:t>o generalizan actitudes nocivas</w:t>
      </w:r>
      <w:r w:rsidRPr="005D4A7D">
        <w:rPr>
          <w:rFonts w:ascii="Arial" w:hAnsi="Arial" w:cs="Arial"/>
          <w:color w:val="000000"/>
          <w:sz w:val="24"/>
          <w:szCs w:val="24"/>
          <w:shd w:val="clear" w:color="auto" w:fill="FFFFFF"/>
        </w:rPr>
        <w:t xml:space="preserve">.  </w:t>
      </w:r>
    </w:p>
    <w:p w:rsidR="00F9277D" w:rsidRPr="005D4A7D" w:rsidRDefault="00F9277D" w:rsidP="0074744F">
      <w:pPr>
        <w:pStyle w:val="Prrafodelista"/>
        <w:numPr>
          <w:ilvl w:val="0"/>
          <w:numId w:val="32"/>
        </w:numPr>
        <w:spacing w:before="120" w:after="120" w:line="360" w:lineRule="auto"/>
        <w:ind w:left="714" w:hanging="357"/>
        <w:contextualSpacing w:val="0"/>
        <w:jc w:val="both"/>
        <w:rPr>
          <w:rFonts w:ascii="Arial" w:hAnsi="Arial" w:cs="Arial"/>
          <w:color w:val="000000"/>
          <w:sz w:val="24"/>
          <w:szCs w:val="24"/>
          <w:shd w:val="clear" w:color="auto" w:fill="FFFFFF"/>
        </w:rPr>
      </w:pPr>
      <w:r w:rsidRPr="005D4A7D">
        <w:rPr>
          <w:rFonts w:ascii="Arial" w:hAnsi="Arial" w:cs="Arial"/>
          <w:color w:val="000000"/>
          <w:sz w:val="24"/>
          <w:szCs w:val="24"/>
          <w:shd w:val="clear" w:color="auto" w:fill="FFFFFF"/>
        </w:rPr>
        <w:lastRenderedPageBreak/>
        <w:t xml:space="preserve">En ese sentido, estos estereotipos, </w:t>
      </w:r>
      <w:r w:rsidR="004B0417" w:rsidRPr="005D4A7D">
        <w:rPr>
          <w:rFonts w:ascii="Arial" w:hAnsi="Arial" w:cs="Arial"/>
          <w:color w:val="000000"/>
          <w:sz w:val="24"/>
          <w:szCs w:val="24"/>
          <w:shd w:val="clear" w:color="auto" w:fill="FFFFFF"/>
        </w:rPr>
        <w:t xml:space="preserve">pueden </w:t>
      </w:r>
      <w:r w:rsidR="004B0417" w:rsidRPr="005D4A7D">
        <w:rPr>
          <w:rFonts w:ascii="Arial" w:hAnsi="Arial" w:cs="Arial"/>
          <w:sz w:val="24"/>
          <w:szCs w:val="24"/>
        </w:rPr>
        <w:t>crear y recrear</w:t>
      </w:r>
      <w:r w:rsidRPr="005D4A7D">
        <w:rPr>
          <w:rFonts w:ascii="Arial" w:hAnsi="Arial" w:cs="Arial"/>
          <w:sz w:val="24"/>
          <w:szCs w:val="24"/>
        </w:rPr>
        <w:t xml:space="preserve"> un imaginario colectivo negativo para las mujeres, </w:t>
      </w:r>
      <w:r w:rsidR="00523240" w:rsidRPr="005D4A7D">
        <w:rPr>
          <w:rFonts w:ascii="Arial" w:hAnsi="Arial" w:cs="Arial"/>
          <w:b/>
          <w:sz w:val="24"/>
          <w:szCs w:val="24"/>
        </w:rPr>
        <w:t>lo que puede generar</w:t>
      </w:r>
      <w:r w:rsidRPr="005D4A7D">
        <w:rPr>
          <w:rFonts w:ascii="Arial" w:hAnsi="Arial" w:cs="Arial"/>
          <w:b/>
          <w:sz w:val="24"/>
          <w:szCs w:val="24"/>
        </w:rPr>
        <w:t xml:space="preserve"> violencia en contra de ellas y discriminación</w:t>
      </w:r>
      <w:r w:rsidRPr="005D4A7D">
        <w:rPr>
          <w:rStyle w:val="Refdenotaalpie"/>
          <w:rFonts w:ascii="Arial" w:hAnsi="Arial" w:cs="Arial"/>
          <w:sz w:val="24"/>
          <w:szCs w:val="24"/>
        </w:rPr>
        <w:footnoteReference w:id="18"/>
      </w:r>
      <w:r w:rsidRPr="005D4A7D">
        <w:rPr>
          <w:rFonts w:ascii="Arial" w:hAnsi="Arial" w:cs="Arial"/>
          <w:sz w:val="24"/>
          <w:szCs w:val="24"/>
        </w:rPr>
        <w:t xml:space="preserve">. </w:t>
      </w:r>
    </w:p>
    <w:p w:rsidR="004B0417" w:rsidRPr="005D4A7D" w:rsidRDefault="00523240" w:rsidP="0074744F">
      <w:pPr>
        <w:spacing w:before="120" w:after="120" w:line="360" w:lineRule="auto"/>
        <w:jc w:val="both"/>
        <w:rPr>
          <w:rFonts w:ascii="Arial" w:hAnsi="Arial" w:cs="Arial"/>
          <w:color w:val="000000"/>
          <w:sz w:val="24"/>
          <w:szCs w:val="24"/>
          <w:shd w:val="clear" w:color="auto" w:fill="FFFFFF"/>
        </w:rPr>
      </w:pPr>
      <w:r w:rsidRPr="005D4A7D">
        <w:rPr>
          <w:rFonts w:ascii="Arial" w:hAnsi="Arial" w:cs="Arial"/>
          <w:color w:val="000000"/>
          <w:sz w:val="24"/>
          <w:szCs w:val="24"/>
          <w:shd w:val="clear" w:color="auto" w:fill="FFFFFF"/>
        </w:rPr>
        <w:t xml:space="preserve">Sobre el </w:t>
      </w:r>
      <w:r w:rsidRPr="005D4A7D">
        <w:rPr>
          <w:rFonts w:ascii="Arial" w:hAnsi="Arial" w:cs="Arial"/>
          <w:sz w:val="24"/>
          <w:szCs w:val="24"/>
        </w:rPr>
        <w:t>particular</w:t>
      </w:r>
      <w:r w:rsidRPr="005D4A7D">
        <w:rPr>
          <w:rFonts w:ascii="Arial" w:hAnsi="Arial" w:cs="Arial"/>
          <w:color w:val="000000"/>
          <w:sz w:val="24"/>
          <w:szCs w:val="24"/>
          <w:shd w:val="clear" w:color="auto" w:fill="FFFFFF"/>
        </w:rPr>
        <w:t>, la Corte Interamericana, ha señalado que “…</w:t>
      </w:r>
      <w:r w:rsidRPr="005D4A7D">
        <w:rPr>
          <w:rFonts w:ascii="Arial" w:hAnsi="Arial" w:cs="Arial"/>
          <w:i/>
          <w:color w:val="000000"/>
          <w:sz w:val="24"/>
          <w:szCs w:val="24"/>
          <w:shd w:val="clear" w:color="auto" w:fill="FFFFFF"/>
        </w:rPr>
        <w:t>el estereotipo de género se refiere a una pre-concepción de atributos o características poseídas o papeles que son o deberían ser ejecutados por hombres y mujeres respectivamente</w:t>
      </w:r>
      <w:r w:rsidRPr="005D4A7D">
        <w:rPr>
          <w:rFonts w:ascii="Arial" w:hAnsi="Arial" w:cs="Arial"/>
          <w:color w:val="000000"/>
          <w:sz w:val="24"/>
          <w:szCs w:val="24"/>
          <w:shd w:val="clear" w:color="auto" w:fill="FFFFFF"/>
        </w:rPr>
        <w:t>.</w:t>
      </w:r>
      <w:r w:rsidRPr="005D4A7D">
        <w:rPr>
          <w:rStyle w:val="Refdenotaalpie"/>
          <w:rFonts w:ascii="Arial" w:hAnsi="Arial"/>
          <w:color w:val="000000"/>
          <w:sz w:val="24"/>
          <w:szCs w:val="24"/>
          <w:shd w:val="clear" w:color="auto" w:fill="FFFFFF"/>
        </w:rPr>
        <w:footnoteReference w:id="19"/>
      </w:r>
      <w:r w:rsidRPr="005D4A7D">
        <w:rPr>
          <w:rFonts w:ascii="Arial" w:hAnsi="Arial" w:cs="Arial"/>
          <w:color w:val="000000"/>
          <w:sz w:val="24"/>
          <w:szCs w:val="24"/>
          <w:shd w:val="clear" w:color="auto" w:fill="FFFFFF"/>
        </w:rPr>
        <w:t>”.</w:t>
      </w:r>
    </w:p>
    <w:p w:rsidR="00523240" w:rsidRPr="005D4A7D" w:rsidRDefault="000950E0" w:rsidP="0074744F">
      <w:pPr>
        <w:spacing w:before="120" w:after="120" w:line="360" w:lineRule="auto"/>
        <w:jc w:val="both"/>
        <w:rPr>
          <w:rFonts w:ascii="Arial" w:hAnsi="Arial" w:cs="Arial"/>
          <w:sz w:val="24"/>
          <w:szCs w:val="24"/>
        </w:rPr>
      </w:pPr>
      <w:r w:rsidRPr="005D4A7D">
        <w:rPr>
          <w:rFonts w:ascii="Arial" w:hAnsi="Arial" w:cs="Arial"/>
          <w:sz w:val="24"/>
          <w:szCs w:val="24"/>
        </w:rPr>
        <w:t>De esta amanera, l</w:t>
      </w:r>
      <w:r w:rsidR="00523240" w:rsidRPr="005D4A7D">
        <w:rPr>
          <w:rFonts w:ascii="Arial" w:hAnsi="Arial" w:cs="Arial"/>
          <w:sz w:val="24"/>
          <w:szCs w:val="24"/>
        </w:rPr>
        <w:t xml:space="preserve">a construcción social de lo femenino y lo masculino, basada en la igualdad, el respeto y reconocimiento mutuo, no es lo que muestran los estereotipos </w:t>
      </w:r>
      <w:r w:rsidRPr="005D4A7D">
        <w:rPr>
          <w:rFonts w:ascii="Arial" w:hAnsi="Arial" w:cs="Arial"/>
          <w:sz w:val="24"/>
          <w:szCs w:val="24"/>
        </w:rPr>
        <w:t xml:space="preserve">que distorsionan las características propias de cada género para ensalzar o maximizar uno en detrimento de otro, </w:t>
      </w:r>
      <w:r w:rsidR="00523240" w:rsidRPr="005D4A7D">
        <w:rPr>
          <w:rFonts w:ascii="Arial" w:hAnsi="Arial" w:cs="Arial"/>
          <w:sz w:val="24"/>
          <w:szCs w:val="24"/>
        </w:rPr>
        <w:t>aunque podr</w:t>
      </w:r>
      <w:r w:rsidRPr="005D4A7D">
        <w:rPr>
          <w:rFonts w:ascii="Arial" w:hAnsi="Arial" w:cs="Arial"/>
          <w:sz w:val="24"/>
          <w:szCs w:val="24"/>
        </w:rPr>
        <w:t>ía haber estereotipos diversos</w:t>
      </w:r>
      <w:r w:rsidR="00523240" w:rsidRPr="005D4A7D">
        <w:rPr>
          <w:rFonts w:ascii="Arial" w:hAnsi="Arial" w:cs="Arial"/>
          <w:sz w:val="24"/>
          <w:szCs w:val="24"/>
        </w:rPr>
        <w:t>.</w:t>
      </w:r>
    </w:p>
    <w:p w:rsidR="00523240" w:rsidRPr="005D4A7D" w:rsidRDefault="000950E0"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Los </w:t>
      </w:r>
      <w:r w:rsidR="00523240" w:rsidRPr="005D4A7D">
        <w:rPr>
          <w:rFonts w:ascii="Arial" w:hAnsi="Arial" w:cs="Arial"/>
          <w:sz w:val="24"/>
          <w:szCs w:val="24"/>
        </w:rPr>
        <w:t xml:space="preserve">patrones socioculturales discriminatorios, </w:t>
      </w:r>
      <w:r w:rsidRPr="005D4A7D">
        <w:rPr>
          <w:rFonts w:ascii="Arial" w:hAnsi="Arial" w:cs="Arial"/>
          <w:sz w:val="24"/>
          <w:szCs w:val="24"/>
        </w:rPr>
        <w:t xml:space="preserve">retomados en estos estereotipos, </w:t>
      </w:r>
      <w:r w:rsidR="00523240" w:rsidRPr="005D4A7D">
        <w:rPr>
          <w:rFonts w:ascii="Arial" w:hAnsi="Arial" w:cs="Arial"/>
          <w:sz w:val="24"/>
          <w:szCs w:val="24"/>
        </w:rPr>
        <w:t>al ubicar a la mujer en un plano de inferioridad</w:t>
      </w:r>
      <w:r w:rsidR="00BD322A" w:rsidRPr="005D4A7D">
        <w:rPr>
          <w:rFonts w:ascii="Arial" w:hAnsi="Arial" w:cs="Arial"/>
          <w:sz w:val="24"/>
          <w:szCs w:val="24"/>
        </w:rPr>
        <w:t>,</w:t>
      </w:r>
      <w:r w:rsidR="00523240" w:rsidRPr="005D4A7D">
        <w:rPr>
          <w:rFonts w:ascii="Arial" w:hAnsi="Arial" w:cs="Arial"/>
          <w:sz w:val="24"/>
          <w:szCs w:val="24"/>
        </w:rPr>
        <w:t xml:space="preserve"> impiden o dificultan el desarrollo pleno de las mujeres en el ámbito político, entre otros.</w:t>
      </w:r>
    </w:p>
    <w:p w:rsidR="00F9277D" w:rsidRPr="005D4A7D" w:rsidRDefault="00F9277D" w:rsidP="0074744F">
      <w:pPr>
        <w:pStyle w:val="Ttulo2"/>
        <w:spacing w:before="120" w:beforeAutospacing="0" w:after="120" w:afterAutospacing="0"/>
      </w:pPr>
      <w:bookmarkStart w:id="32" w:name="_Toc517459210"/>
      <w:bookmarkStart w:id="33" w:name="_Toc519067222"/>
      <w:r w:rsidRPr="005D4A7D">
        <w:t>2. Material denunciado.</w:t>
      </w:r>
      <w:bookmarkEnd w:id="32"/>
      <w:bookmarkEnd w:id="33"/>
    </w:p>
    <w:p w:rsidR="004C1911" w:rsidRPr="005D4A7D" w:rsidRDefault="004C1911" w:rsidP="0074744F">
      <w:pPr>
        <w:spacing w:before="120" w:after="120" w:line="360" w:lineRule="auto"/>
        <w:jc w:val="both"/>
        <w:rPr>
          <w:rFonts w:ascii="Arial" w:hAnsi="Arial" w:cs="Arial"/>
          <w:sz w:val="24"/>
          <w:szCs w:val="24"/>
        </w:rPr>
      </w:pPr>
      <w:r w:rsidRPr="005D4A7D">
        <w:rPr>
          <w:rFonts w:ascii="Arial" w:hAnsi="Arial" w:cs="Arial"/>
          <w:sz w:val="24"/>
          <w:szCs w:val="24"/>
        </w:rPr>
        <w:t>El video denunciado es el siguiente: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9"/>
        <w:gridCol w:w="3278"/>
      </w:tblGrid>
      <w:tr w:rsidR="004C1911" w:rsidRPr="005D4A7D" w:rsidTr="00E97783">
        <w:trPr>
          <w:jc w:val="center"/>
        </w:trPr>
        <w:tc>
          <w:tcPr>
            <w:tcW w:w="7807" w:type="dxa"/>
            <w:gridSpan w:val="2"/>
            <w:shd w:val="clear" w:color="auto" w:fill="D9D9D9" w:themeFill="background1" w:themeFillShade="D9"/>
          </w:tcPr>
          <w:p w:rsidR="004C1911" w:rsidRPr="005D4A7D" w:rsidRDefault="004C1911" w:rsidP="00364F7F">
            <w:pPr>
              <w:spacing w:before="100" w:beforeAutospacing="1" w:after="100" w:afterAutospacing="1"/>
              <w:contextualSpacing/>
              <w:jc w:val="both"/>
              <w:rPr>
                <w:rFonts w:ascii="Arial" w:hAnsi="Arial" w:cs="Arial"/>
                <w:b/>
                <w:sz w:val="24"/>
                <w:szCs w:val="24"/>
              </w:rPr>
            </w:pPr>
            <w:r w:rsidRPr="005D4A7D">
              <w:rPr>
                <w:rFonts w:ascii="Arial" w:hAnsi="Arial" w:cs="Arial"/>
                <w:b/>
                <w:sz w:val="24"/>
                <w:szCs w:val="24"/>
              </w:rPr>
              <w:t xml:space="preserve">Contenido del promocional </w:t>
            </w:r>
            <w:r w:rsidRPr="005D4A7D">
              <w:rPr>
                <w:rFonts w:ascii="Arial" w:eastAsia="Calibri" w:hAnsi="Arial" w:cs="Arial"/>
                <w:bCs/>
                <w:i/>
                <w:color w:val="000000" w:themeColor="text1"/>
                <w:sz w:val="24"/>
                <w:szCs w:val="24"/>
              </w:rPr>
              <w:t>“PUE L ESPEJITO”</w:t>
            </w:r>
          </w:p>
        </w:tc>
      </w:tr>
      <w:tr w:rsidR="004C1911" w:rsidRPr="005D4A7D" w:rsidTr="00E97783">
        <w:trPr>
          <w:jc w:val="center"/>
        </w:trPr>
        <w:tc>
          <w:tcPr>
            <w:tcW w:w="4529" w:type="dxa"/>
          </w:tcPr>
          <w:p w:rsidR="004C1911" w:rsidRPr="005D4A7D" w:rsidRDefault="004C1911" w:rsidP="00364F7F">
            <w:pPr>
              <w:spacing w:before="100" w:beforeAutospacing="1" w:after="100" w:afterAutospacing="1"/>
              <w:contextualSpacing/>
              <w:jc w:val="both"/>
              <w:rPr>
                <w:rFonts w:ascii="Arial" w:hAnsi="Arial" w:cs="Arial"/>
                <w:sz w:val="24"/>
                <w:szCs w:val="24"/>
              </w:rPr>
            </w:pPr>
            <w:r w:rsidRPr="005D4A7D">
              <w:rPr>
                <w:rFonts w:ascii="Arial" w:hAnsi="Arial" w:cs="Arial"/>
                <w:noProof/>
                <w:sz w:val="24"/>
                <w:szCs w:val="24"/>
                <w:lang w:eastAsia="es-MX"/>
              </w:rPr>
              <w:drawing>
                <wp:inline distT="0" distB="0" distL="0" distR="0" wp14:anchorId="2462E907" wp14:editId="01927283">
                  <wp:extent cx="2296972" cy="1345997"/>
                  <wp:effectExtent l="0" t="0" r="8255"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9344" t="3833" r="8721" b="13756"/>
                          <a:stretch/>
                        </pic:blipFill>
                        <pic:spPr bwMode="auto">
                          <a:xfrm>
                            <a:off x="0" y="0"/>
                            <a:ext cx="2296972" cy="1345997"/>
                          </a:xfrm>
                          <a:prstGeom prst="rect">
                            <a:avLst/>
                          </a:prstGeom>
                          <a:ln>
                            <a:noFill/>
                          </a:ln>
                          <a:extLst>
                            <a:ext uri="{53640926-AAD7-44D8-BBD7-CCE9431645EC}">
                              <a14:shadowObscured xmlns:a14="http://schemas.microsoft.com/office/drawing/2010/main"/>
                            </a:ext>
                          </a:extLst>
                        </pic:spPr>
                      </pic:pic>
                    </a:graphicData>
                  </a:graphic>
                </wp:inline>
              </w:drawing>
            </w:r>
          </w:p>
        </w:tc>
        <w:tc>
          <w:tcPr>
            <w:tcW w:w="3278" w:type="dxa"/>
            <w:vAlign w:val="center"/>
          </w:tcPr>
          <w:p w:rsidR="004C1911" w:rsidRPr="005D4A7D" w:rsidRDefault="004C1911" w:rsidP="00364F7F">
            <w:pPr>
              <w:tabs>
                <w:tab w:val="left" w:pos="3120"/>
              </w:tabs>
              <w:autoSpaceDE w:val="0"/>
              <w:autoSpaceDN w:val="0"/>
              <w:adjustRightInd w:val="0"/>
              <w:ind w:right="-851"/>
              <w:jc w:val="both"/>
              <w:rPr>
                <w:rFonts w:ascii="Arial" w:hAnsi="Arial" w:cs="Arial"/>
                <w:sz w:val="24"/>
                <w:szCs w:val="24"/>
              </w:rPr>
            </w:pPr>
            <w:r w:rsidRPr="005D4A7D">
              <w:rPr>
                <w:rFonts w:ascii="Arial" w:hAnsi="Arial" w:cs="Arial"/>
                <w:b/>
                <w:sz w:val="24"/>
                <w:szCs w:val="24"/>
              </w:rPr>
              <w:t>Música de fondo.</w:t>
            </w:r>
            <w:r w:rsidRPr="005D4A7D">
              <w:rPr>
                <w:rFonts w:ascii="Arial" w:hAnsi="Arial" w:cs="Arial"/>
                <w:sz w:val="24"/>
                <w:szCs w:val="24"/>
              </w:rPr>
              <w:t xml:space="preserve"> Sonido de  una</w:t>
            </w:r>
          </w:p>
          <w:p w:rsidR="004C1911" w:rsidRPr="005D4A7D" w:rsidRDefault="004C1911" w:rsidP="00364F7F">
            <w:pPr>
              <w:jc w:val="both"/>
              <w:rPr>
                <w:rFonts w:ascii="Arial" w:hAnsi="Arial" w:cs="Arial"/>
                <w:sz w:val="24"/>
                <w:szCs w:val="24"/>
              </w:rPr>
            </w:pPr>
            <w:r w:rsidRPr="005D4A7D">
              <w:rPr>
                <w:rFonts w:ascii="Arial" w:hAnsi="Arial" w:cs="Arial"/>
                <w:sz w:val="24"/>
                <w:szCs w:val="24"/>
              </w:rPr>
              <w:t>puerta abriendo.</w:t>
            </w:r>
          </w:p>
        </w:tc>
      </w:tr>
      <w:tr w:rsidR="004C1911" w:rsidRPr="005D4A7D" w:rsidTr="00E97783">
        <w:trPr>
          <w:jc w:val="center"/>
        </w:trPr>
        <w:tc>
          <w:tcPr>
            <w:tcW w:w="4529" w:type="dxa"/>
          </w:tcPr>
          <w:p w:rsidR="004C1911" w:rsidRPr="005D4A7D" w:rsidRDefault="004C1911" w:rsidP="00364F7F">
            <w:pPr>
              <w:spacing w:before="100" w:beforeAutospacing="1" w:after="100" w:afterAutospacing="1"/>
              <w:contextualSpacing/>
              <w:jc w:val="both"/>
              <w:rPr>
                <w:rFonts w:ascii="Arial" w:hAnsi="Arial" w:cs="Arial"/>
                <w:sz w:val="24"/>
                <w:szCs w:val="24"/>
              </w:rPr>
            </w:pPr>
            <w:r w:rsidRPr="005D4A7D">
              <w:rPr>
                <w:rFonts w:ascii="Arial" w:hAnsi="Arial" w:cs="Arial"/>
                <w:noProof/>
                <w:sz w:val="24"/>
                <w:szCs w:val="24"/>
                <w:lang w:eastAsia="es-MX"/>
              </w:rPr>
              <w:lastRenderedPageBreak/>
              <w:drawing>
                <wp:inline distT="0" distB="0" distL="0" distR="0" wp14:anchorId="4EA7BED9" wp14:editId="14517442">
                  <wp:extent cx="2304288" cy="1484986"/>
                  <wp:effectExtent l="0" t="0" r="127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9344" t="5111" r="9080" b="13118"/>
                          <a:stretch/>
                        </pic:blipFill>
                        <pic:spPr bwMode="auto">
                          <a:xfrm>
                            <a:off x="0" y="0"/>
                            <a:ext cx="2323551" cy="1497400"/>
                          </a:xfrm>
                          <a:prstGeom prst="rect">
                            <a:avLst/>
                          </a:prstGeom>
                          <a:ln>
                            <a:noFill/>
                          </a:ln>
                          <a:extLst>
                            <a:ext uri="{53640926-AAD7-44D8-BBD7-CCE9431645EC}">
                              <a14:shadowObscured xmlns:a14="http://schemas.microsoft.com/office/drawing/2010/main"/>
                            </a:ext>
                          </a:extLst>
                        </pic:spPr>
                      </pic:pic>
                    </a:graphicData>
                  </a:graphic>
                </wp:inline>
              </w:drawing>
            </w:r>
          </w:p>
        </w:tc>
        <w:tc>
          <w:tcPr>
            <w:tcW w:w="3278" w:type="dxa"/>
            <w:vAlign w:val="center"/>
          </w:tcPr>
          <w:p w:rsidR="004C1911" w:rsidRPr="005D4A7D" w:rsidRDefault="004C1911" w:rsidP="00364F7F">
            <w:pPr>
              <w:jc w:val="both"/>
              <w:rPr>
                <w:rFonts w:ascii="Arial" w:hAnsi="Arial" w:cs="Arial"/>
                <w:b/>
                <w:noProof/>
                <w:sz w:val="24"/>
                <w:szCs w:val="24"/>
              </w:rPr>
            </w:pPr>
            <w:r w:rsidRPr="005D4A7D">
              <w:rPr>
                <w:rFonts w:ascii="Arial" w:hAnsi="Arial" w:cs="Arial"/>
                <w:b/>
                <w:sz w:val="24"/>
                <w:szCs w:val="24"/>
              </w:rPr>
              <w:t>Música de fondo.</w:t>
            </w:r>
            <w:r w:rsidRPr="005D4A7D">
              <w:rPr>
                <w:rFonts w:ascii="Arial" w:hAnsi="Arial" w:cs="Arial"/>
                <w:sz w:val="24"/>
                <w:szCs w:val="24"/>
              </w:rPr>
              <w:t xml:space="preserve"> Sonidos de pasos con tacones. </w:t>
            </w:r>
          </w:p>
          <w:p w:rsidR="004C1911" w:rsidRPr="005D4A7D" w:rsidRDefault="004C1911" w:rsidP="00364F7F">
            <w:pPr>
              <w:spacing w:before="100" w:beforeAutospacing="1" w:after="100" w:afterAutospacing="1"/>
              <w:contextualSpacing/>
              <w:jc w:val="both"/>
              <w:rPr>
                <w:rFonts w:ascii="Arial" w:hAnsi="Arial" w:cs="Arial"/>
                <w:sz w:val="24"/>
                <w:szCs w:val="24"/>
              </w:rPr>
            </w:pPr>
          </w:p>
        </w:tc>
      </w:tr>
      <w:tr w:rsidR="004C1911" w:rsidRPr="005D4A7D" w:rsidTr="00E97783">
        <w:trPr>
          <w:jc w:val="center"/>
        </w:trPr>
        <w:tc>
          <w:tcPr>
            <w:tcW w:w="4529" w:type="dxa"/>
          </w:tcPr>
          <w:p w:rsidR="004C1911" w:rsidRPr="005D4A7D" w:rsidRDefault="004C1911" w:rsidP="00364F7F">
            <w:pPr>
              <w:spacing w:before="100" w:beforeAutospacing="1" w:after="100" w:afterAutospacing="1"/>
              <w:contextualSpacing/>
              <w:jc w:val="both"/>
              <w:rPr>
                <w:rFonts w:ascii="Arial" w:hAnsi="Arial" w:cs="Arial"/>
                <w:sz w:val="24"/>
                <w:szCs w:val="24"/>
              </w:rPr>
            </w:pPr>
            <w:r w:rsidRPr="005D4A7D">
              <w:rPr>
                <w:rFonts w:ascii="Arial" w:hAnsi="Arial" w:cs="Arial"/>
                <w:noProof/>
                <w:sz w:val="24"/>
                <w:szCs w:val="24"/>
                <w:lang w:eastAsia="es-MX"/>
              </w:rPr>
              <w:drawing>
                <wp:inline distT="0" distB="0" distL="0" distR="0" wp14:anchorId="016B0386" wp14:editId="0172EA8C">
                  <wp:extent cx="2282342" cy="1565453"/>
                  <wp:effectExtent l="0" t="0" r="381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984" t="3194" r="9440" b="14395"/>
                          <a:stretch/>
                        </pic:blipFill>
                        <pic:spPr bwMode="auto">
                          <a:xfrm>
                            <a:off x="0" y="0"/>
                            <a:ext cx="2305031" cy="1581015"/>
                          </a:xfrm>
                          <a:prstGeom prst="rect">
                            <a:avLst/>
                          </a:prstGeom>
                          <a:ln>
                            <a:noFill/>
                          </a:ln>
                          <a:extLst>
                            <a:ext uri="{53640926-AAD7-44D8-BBD7-CCE9431645EC}">
                              <a14:shadowObscured xmlns:a14="http://schemas.microsoft.com/office/drawing/2010/main"/>
                            </a:ext>
                          </a:extLst>
                        </pic:spPr>
                      </pic:pic>
                    </a:graphicData>
                  </a:graphic>
                </wp:inline>
              </w:drawing>
            </w:r>
          </w:p>
        </w:tc>
        <w:tc>
          <w:tcPr>
            <w:tcW w:w="3278" w:type="dxa"/>
            <w:vAlign w:val="center"/>
          </w:tcPr>
          <w:p w:rsidR="004C1911" w:rsidRPr="005D4A7D" w:rsidRDefault="004C1911" w:rsidP="00364F7F">
            <w:pPr>
              <w:jc w:val="both"/>
              <w:rPr>
                <w:rFonts w:ascii="Arial" w:hAnsi="Arial" w:cs="Arial"/>
                <w:sz w:val="24"/>
                <w:szCs w:val="24"/>
              </w:rPr>
            </w:pPr>
            <w:r w:rsidRPr="005D4A7D">
              <w:rPr>
                <w:rFonts w:ascii="Arial" w:hAnsi="Arial" w:cs="Arial"/>
                <w:b/>
                <w:sz w:val="24"/>
                <w:szCs w:val="24"/>
              </w:rPr>
              <w:t>Voz femenina:</w:t>
            </w:r>
            <w:r w:rsidRPr="005D4A7D">
              <w:rPr>
                <w:rFonts w:ascii="Arial" w:hAnsi="Arial" w:cs="Arial"/>
                <w:sz w:val="24"/>
                <w:szCs w:val="24"/>
              </w:rPr>
              <w:t xml:space="preserve"> Espejito… espejito mágico… </w:t>
            </w:r>
          </w:p>
          <w:p w:rsidR="004C1911" w:rsidRPr="005D4A7D" w:rsidRDefault="004C1911" w:rsidP="00364F7F">
            <w:pPr>
              <w:spacing w:before="100" w:beforeAutospacing="1" w:after="100" w:afterAutospacing="1"/>
              <w:contextualSpacing/>
              <w:jc w:val="both"/>
              <w:rPr>
                <w:rFonts w:ascii="Arial" w:hAnsi="Arial" w:cs="Arial"/>
                <w:sz w:val="24"/>
                <w:szCs w:val="24"/>
              </w:rPr>
            </w:pPr>
          </w:p>
        </w:tc>
      </w:tr>
      <w:tr w:rsidR="004C1911" w:rsidRPr="005D4A7D" w:rsidTr="00E97783">
        <w:trPr>
          <w:jc w:val="center"/>
        </w:trPr>
        <w:tc>
          <w:tcPr>
            <w:tcW w:w="4529" w:type="dxa"/>
          </w:tcPr>
          <w:p w:rsidR="004C1911" w:rsidRPr="005D4A7D" w:rsidRDefault="004C1911" w:rsidP="00364F7F">
            <w:pPr>
              <w:spacing w:before="100" w:beforeAutospacing="1" w:after="100" w:afterAutospacing="1"/>
              <w:contextualSpacing/>
              <w:jc w:val="both"/>
              <w:rPr>
                <w:rFonts w:ascii="Arial" w:hAnsi="Arial" w:cs="Arial"/>
                <w:sz w:val="24"/>
                <w:szCs w:val="24"/>
              </w:rPr>
            </w:pPr>
            <w:r w:rsidRPr="005D4A7D">
              <w:rPr>
                <w:rFonts w:ascii="Arial" w:hAnsi="Arial" w:cs="Arial"/>
                <w:noProof/>
                <w:sz w:val="24"/>
                <w:szCs w:val="24"/>
                <w:lang w:eastAsia="es-MX"/>
              </w:rPr>
              <w:drawing>
                <wp:inline distT="0" distB="0" distL="0" distR="0" wp14:anchorId="604C212E" wp14:editId="63A1C810">
                  <wp:extent cx="2296972" cy="1572768"/>
                  <wp:effectExtent l="0" t="0" r="8255" b="889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0062" t="5111" r="9799" b="13756"/>
                          <a:stretch/>
                        </pic:blipFill>
                        <pic:spPr bwMode="auto">
                          <a:xfrm>
                            <a:off x="0" y="0"/>
                            <a:ext cx="2314915" cy="1585054"/>
                          </a:xfrm>
                          <a:prstGeom prst="rect">
                            <a:avLst/>
                          </a:prstGeom>
                          <a:ln>
                            <a:noFill/>
                          </a:ln>
                          <a:extLst>
                            <a:ext uri="{53640926-AAD7-44D8-BBD7-CCE9431645EC}">
                              <a14:shadowObscured xmlns:a14="http://schemas.microsoft.com/office/drawing/2010/main"/>
                            </a:ext>
                          </a:extLst>
                        </pic:spPr>
                      </pic:pic>
                    </a:graphicData>
                  </a:graphic>
                </wp:inline>
              </w:drawing>
            </w:r>
          </w:p>
        </w:tc>
        <w:tc>
          <w:tcPr>
            <w:tcW w:w="3278" w:type="dxa"/>
            <w:vAlign w:val="center"/>
          </w:tcPr>
          <w:p w:rsidR="004C1911" w:rsidRPr="005D4A7D" w:rsidRDefault="004C1911" w:rsidP="00364F7F">
            <w:pPr>
              <w:jc w:val="both"/>
              <w:rPr>
                <w:rFonts w:ascii="Arial" w:hAnsi="Arial" w:cs="Arial"/>
                <w:sz w:val="24"/>
                <w:szCs w:val="24"/>
              </w:rPr>
            </w:pPr>
            <w:r w:rsidRPr="005D4A7D">
              <w:rPr>
                <w:rFonts w:ascii="Arial" w:hAnsi="Arial" w:cs="Arial"/>
                <w:b/>
                <w:sz w:val="24"/>
                <w:szCs w:val="24"/>
              </w:rPr>
              <w:t xml:space="preserve">Voz femenina: </w:t>
            </w:r>
            <w:r w:rsidRPr="005D4A7D">
              <w:rPr>
                <w:rFonts w:ascii="Arial" w:hAnsi="Arial" w:cs="Arial"/>
                <w:sz w:val="24"/>
                <w:szCs w:val="24"/>
              </w:rPr>
              <w:t xml:space="preserve">¿Quién va a ser el nuevo Gobernador de Puebla? </w:t>
            </w:r>
          </w:p>
          <w:p w:rsidR="004C1911" w:rsidRPr="005D4A7D" w:rsidRDefault="004C1911" w:rsidP="00364F7F">
            <w:pPr>
              <w:spacing w:before="100" w:beforeAutospacing="1" w:after="100" w:afterAutospacing="1"/>
              <w:contextualSpacing/>
              <w:jc w:val="both"/>
              <w:rPr>
                <w:rFonts w:ascii="Arial" w:hAnsi="Arial" w:cs="Arial"/>
                <w:sz w:val="24"/>
                <w:szCs w:val="24"/>
              </w:rPr>
            </w:pPr>
          </w:p>
        </w:tc>
      </w:tr>
      <w:tr w:rsidR="004C1911" w:rsidRPr="005D4A7D" w:rsidTr="00E97783">
        <w:trPr>
          <w:jc w:val="center"/>
        </w:trPr>
        <w:tc>
          <w:tcPr>
            <w:tcW w:w="4529" w:type="dxa"/>
          </w:tcPr>
          <w:p w:rsidR="004C1911" w:rsidRPr="005D4A7D" w:rsidRDefault="004C1911" w:rsidP="00364F7F">
            <w:pPr>
              <w:spacing w:before="100" w:beforeAutospacing="1" w:after="100" w:afterAutospacing="1"/>
              <w:contextualSpacing/>
              <w:jc w:val="both"/>
              <w:rPr>
                <w:rFonts w:ascii="Arial" w:hAnsi="Arial" w:cs="Arial"/>
                <w:sz w:val="24"/>
                <w:szCs w:val="24"/>
              </w:rPr>
            </w:pPr>
            <w:r w:rsidRPr="005D4A7D">
              <w:rPr>
                <w:rFonts w:ascii="Arial" w:hAnsi="Arial" w:cs="Arial"/>
                <w:noProof/>
                <w:sz w:val="24"/>
                <w:szCs w:val="24"/>
                <w:lang w:eastAsia="es-MX"/>
              </w:rPr>
              <w:drawing>
                <wp:inline distT="0" distB="0" distL="0" distR="0" wp14:anchorId="1E5BB4EA" wp14:editId="3F3838BE">
                  <wp:extent cx="2286334" cy="1207911"/>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625" t="5111" r="9440" b="13756"/>
                          <a:stretch/>
                        </pic:blipFill>
                        <pic:spPr bwMode="auto">
                          <a:xfrm>
                            <a:off x="0" y="0"/>
                            <a:ext cx="2309688" cy="1220250"/>
                          </a:xfrm>
                          <a:prstGeom prst="rect">
                            <a:avLst/>
                          </a:prstGeom>
                          <a:ln>
                            <a:noFill/>
                          </a:ln>
                          <a:extLst>
                            <a:ext uri="{53640926-AAD7-44D8-BBD7-CCE9431645EC}">
                              <a14:shadowObscured xmlns:a14="http://schemas.microsoft.com/office/drawing/2010/main"/>
                            </a:ext>
                          </a:extLst>
                        </pic:spPr>
                      </pic:pic>
                    </a:graphicData>
                  </a:graphic>
                </wp:inline>
              </w:drawing>
            </w:r>
          </w:p>
        </w:tc>
        <w:tc>
          <w:tcPr>
            <w:tcW w:w="3278" w:type="dxa"/>
            <w:vAlign w:val="center"/>
          </w:tcPr>
          <w:p w:rsidR="004C1911" w:rsidRPr="005D4A7D" w:rsidRDefault="004C1911" w:rsidP="00364F7F">
            <w:pPr>
              <w:jc w:val="both"/>
              <w:rPr>
                <w:rFonts w:ascii="Arial" w:hAnsi="Arial" w:cs="Arial"/>
                <w:sz w:val="24"/>
                <w:szCs w:val="24"/>
              </w:rPr>
            </w:pPr>
            <w:r w:rsidRPr="005D4A7D">
              <w:rPr>
                <w:rFonts w:ascii="Arial" w:hAnsi="Arial" w:cs="Arial"/>
                <w:b/>
                <w:sz w:val="24"/>
                <w:szCs w:val="24"/>
              </w:rPr>
              <w:t xml:space="preserve">Voz masculina: </w:t>
            </w:r>
            <w:r w:rsidRPr="005D4A7D">
              <w:rPr>
                <w:rFonts w:ascii="Arial" w:hAnsi="Arial" w:cs="Arial"/>
                <w:sz w:val="24"/>
                <w:szCs w:val="24"/>
              </w:rPr>
              <w:t>¡Yo…!</w:t>
            </w:r>
          </w:p>
          <w:p w:rsidR="004C1911" w:rsidRPr="005D4A7D" w:rsidRDefault="004C1911" w:rsidP="00364F7F">
            <w:pPr>
              <w:spacing w:before="100" w:beforeAutospacing="1" w:after="100" w:afterAutospacing="1"/>
              <w:contextualSpacing/>
              <w:jc w:val="both"/>
              <w:rPr>
                <w:rFonts w:ascii="Arial" w:hAnsi="Arial" w:cs="Arial"/>
                <w:sz w:val="24"/>
                <w:szCs w:val="24"/>
              </w:rPr>
            </w:pPr>
          </w:p>
        </w:tc>
      </w:tr>
      <w:tr w:rsidR="004C1911" w:rsidRPr="005D4A7D" w:rsidTr="00E97783">
        <w:trPr>
          <w:jc w:val="center"/>
        </w:trPr>
        <w:tc>
          <w:tcPr>
            <w:tcW w:w="4529" w:type="dxa"/>
          </w:tcPr>
          <w:p w:rsidR="004C1911" w:rsidRPr="005D4A7D" w:rsidRDefault="004C1911" w:rsidP="00364F7F">
            <w:pPr>
              <w:spacing w:before="100" w:beforeAutospacing="1" w:after="100" w:afterAutospacing="1"/>
              <w:contextualSpacing/>
              <w:jc w:val="both"/>
              <w:rPr>
                <w:rFonts w:ascii="Arial" w:hAnsi="Arial" w:cs="Arial"/>
                <w:sz w:val="24"/>
                <w:szCs w:val="24"/>
              </w:rPr>
            </w:pPr>
            <w:r w:rsidRPr="005D4A7D">
              <w:rPr>
                <w:rFonts w:ascii="Arial" w:hAnsi="Arial" w:cs="Arial"/>
                <w:noProof/>
                <w:sz w:val="24"/>
                <w:szCs w:val="24"/>
                <w:lang w:eastAsia="es-MX"/>
              </w:rPr>
              <w:drawing>
                <wp:inline distT="0" distB="0" distL="0" distR="0" wp14:anchorId="0221DA6A" wp14:editId="67C4CAC1">
                  <wp:extent cx="2309894" cy="1331367"/>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1139" t="5111" r="10159" b="13756"/>
                          <a:stretch/>
                        </pic:blipFill>
                        <pic:spPr bwMode="auto">
                          <a:xfrm>
                            <a:off x="0" y="0"/>
                            <a:ext cx="2332993" cy="1344681"/>
                          </a:xfrm>
                          <a:prstGeom prst="rect">
                            <a:avLst/>
                          </a:prstGeom>
                          <a:ln>
                            <a:noFill/>
                          </a:ln>
                          <a:extLst>
                            <a:ext uri="{53640926-AAD7-44D8-BBD7-CCE9431645EC}">
                              <a14:shadowObscured xmlns:a14="http://schemas.microsoft.com/office/drawing/2010/main"/>
                            </a:ext>
                          </a:extLst>
                        </pic:spPr>
                      </pic:pic>
                    </a:graphicData>
                  </a:graphic>
                </wp:inline>
              </w:drawing>
            </w:r>
          </w:p>
        </w:tc>
        <w:tc>
          <w:tcPr>
            <w:tcW w:w="3278" w:type="dxa"/>
            <w:vAlign w:val="center"/>
          </w:tcPr>
          <w:p w:rsidR="004C1911" w:rsidRPr="005D4A7D" w:rsidRDefault="004C1911" w:rsidP="00364F7F">
            <w:pPr>
              <w:jc w:val="both"/>
              <w:rPr>
                <w:rFonts w:ascii="Arial" w:hAnsi="Arial" w:cs="Arial"/>
                <w:sz w:val="24"/>
                <w:szCs w:val="24"/>
              </w:rPr>
            </w:pPr>
            <w:r w:rsidRPr="005D4A7D">
              <w:rPr>
                <w:rFonts w:ascii="Arial" w:hAnsi="Arial" w:cs="Arial"/>
                <w:b/>
                <w:sz w:val="24"/>
                <w:szCs w:val="24"/>
              </w:rPr>
              <w:t>Voz femenina:</w:t>
            </w:r>
            <w:r w:rsidRPr="005D4A7D">
              <w:rPr>
                <w:rFonts w:ascii="Arial" w:hAnsi="Arial" w:cs="Arial"/>
                <w:sz w:val="24"/>
                <w:szCs w:val="24"/>
              </w:rPr>
              <w:t xml:space="preserve"> ¿Cómo? </w:t>
            </w:r>
          </w:p>
          <w:p w:rsidR="004C1911" w:rsidRPr="005D4A7D" w:rsidRDefault="004C1911" w:rsidP="00364F7F">
            <w:pPr>
              <w:jc w:val="both"/>
              <w:rPr>
                <w:rFonts w:ascii="Arial" w:hAnsi="Arial" w:cs="Arial"/>
                <w:b/>
                <w:sz w:val="24"/>
                <w:szCs w:val="24"/>
              </w:rPr>
            </w:pPr>
          </w:p>
        </w:tc>
      </w:tr>
      <w:tr w:rsidR="004C1911" w:rsidRPr="005D4A7D" w:rsidTr="00E97783">
        <w:trPr>
          <w:jc w:val="center"/>
        </w:trPr>
        <w:tc>
          <w:tcPr>
            <w:tcW w:w="4529" w:type="dxa"/>
          </w:tcPr>
          <w:p w:rsidR="004C1911" w:rsidRPr="005D4A7D" w:rsidRDefault="004C1911" w:rsidP="00364F7F">
            <w:pPr>
              <w:spacing w:before="100" w:beforeAutospacing="1" w:after="100" w:afterAutospacing="1"/>
              <w:contextualSpacing/>
              <w:jc w:val="both"/>
              <w:rPr>
                <w:rFonts w:ascii="Arial" w:hAnsi="Arial" w:cs="Arial"/>
                <w:sz w:val="24"/>
                <w:szCs w:val="24"/>
              </w:rPr>
            </w:pPr>
            <w:r w:rsidRPr="005D4A7D">
              <w:rPr>
                <w:rFonts w:ascii="Arial" w:hAnsi="Arial" w:cs="Arial"/>
                <w:noProof/>
                <w:sz w:val="24"/>
                <w:szCs w:val="24"/>
                <w:lang w:eastAsia="es-MX"/>
              </w:rPr>
              <w:drawing>
                <wp:inline distT="0" distB="0" distL="0" distR="0" wp14:anchorId="1CB19383" wp14:editId="6374CFD8">
                  <wp:extent cx="2309495" cy="1330960"/>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9703" t="7027" r="9440" b="15034"/>
                          <a:stretch/>
                        </pic:blipFill>
                        <pic:spPr bwMode="auto">
                          <a:xfrm>
                            <a:off x="0" y="0"/>
                            <a:ext cx="2366257" cy="1363672"/>
                          </a:xfrm>
                          <a:prstGeom prst="rect">
                            <a:avLst/>
                          </a:prstGeom>
                          <a:ln>
                            <a:noFill/>
                          </a:ln>
                          <a:extLst>
                            <a:ext uri="{53640926-AAD7-44D8-BBD7-CCE9431645EC}">
                              <a14:shadowObscured xmlns:a14="http://schemas.microsoft.com/office/drawing/2010/main"/>
                            </a:ext>
                          </a:extLst>
                        </pic:spPr>
                      </pic:pic>
                    </a:graphicData>
                  </a:graphic>
                </wp:inline>
              </w:drawing>
            </w:r>
          </w:p>
        </w:tc>
        <w:tc>
          <w:tcPr>
            <w:tcW w:w="3278" w:type="dxa"/>
            <w:vAlign w:val="center"/>
          </w:tcPr>
          <w:p w:rsidR="004C1911" w:rsidRPr="005D4A7D" w:rsidRDefault="004C1911" w:rsidP="00364F7F">
            <w:pPr>
              <w:jc w:val="both"/>
              <w:rPr>
                <w:rFonts w:ascii="Arial" w:hAnsi="Arial" w:cs="Arial"/>
                <w:sz w:val="24"/>
                <w:szCs w:val="24"/>
              </w:rPr>
            </w:pPr>
            <w:r w:rsidRPr="005D4A7D">
              <w:rPr>
                <w:rFonts w:ascii="Arial" w:hAnsi="Arial" w:cs="Arial"/>
                <w:b/>
                <w:sz w:val="24"/>
                <w:szCs w:val="24"/>
              </w:rPr>
              <w:t>Voz masculina:</w:t>
            </w:r>
            <w:r w:rsidRPr="005D4A7D">
              <w:rPr>
                <w:rFonts w:ascii="Arial" w:hAnsi="Arial" w:cs="Arial"/>
                <w:sz w:val="24"/>
                <w:szCs w:val="24"/>
              </w:rPr>
              <w:t xml:space="preserve"> Perdón… Perdón…</w:t>
            </w:r>
          </w:p>
          <w:p w:rsidR="004C1911" w:rsidRPr="005D4A7D" w:rsidRDefault="004C1911" w:rsidP="00364F7F">
            <w:pPr>
              <w:jc w:val="both"/>
              <w:rPr>
                <w:rFonts w:ascii="Arial" w:hAnsi="Arial" w:cs="Arial"/>
                <w:b/>
                <w:sz w:val="24"/>
                <w:szCs w:val="24"/>
              </w:rPr>
            </w:pPr>
          </w:p>
        </w:tc>
      </w:tr>
      <w:tr w:rsidR="004C1911" w:rsidRPr="005D4A7D" w:rsidTr="00E97783">
        <w:trPr>
          <w:jc w:val="center"/>
        </w:trPr>
        <w:tc>
          <w:tcPr>
            <w:tcW w:w="4529" w:type="dxa"/>
          </w:tcPr>
          <w:p w:rsidR="004C1911" w:rsidRPr="005D4A7D" w:rsidRDefault="004C1911" w:rsidP="00E97783">
            <w:pPr>
              <w:spacing w:before="100" w:beforeAutospacing="1" w:after="100" w:afterAutospacing="1"/>
              <w:contextualSpacing/>
              <w:jc w:val="both"/>
              <w:rPr>
                <w:rFonts w:ascii="Arial" w:hAnsi="Arial" w:cs="Arial"/>
                <w:sz w:val="24"/>
                <w:szCs w:val="24"/>
              </w:rPr>
            </w:pPr>
            <w:r w:rsidRPr="005D4A7D">
              <w:rPr>
                <w:rFonts w:ascii="Arial" w:hAnsi="Arial" w:cs="Arial"/>
                <w:noProof/>
                <w:sz w:val="24"/>
                <w:szCs w:val="24"/>
                <w:lang w:eastAsia="es-MX"/>
              </w:rPr>
              <w:lastRenderedPageBreak/>
              <w:drawing>
                <wp:inline distT="0" distB="0" distL="0" distR="0" wp14:anchorId="32372D93" wp14:editId="09DC3D9E">
                  <wp:extent cx="2259625" cy="1275645"/>
                  <wp:effectExtent l="0" t="0" r="7620" b="127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781" t="5111" r="9440" b="14395"/>
                          <a:stretch/>
                        </pic:blipFill>
                        <pic:spPr bwMode="auto">
                          <a:xfrm>
                            <a:off x="0" y="0"/>
                            <a:ext cx="2279236" cy="1286716"/>
                          </a:xfrm>
                          <a:prstGeom prst="rect">
                            <a:avLst/>
                          </a:prstGeom>
                          <a:ln>
                            <a:noFill/>
                          </a:ln>
                          <a:extLst>
                            <a:ext uri="{53640926-AAD7-44D8-BBD7-CCE9431645EC}">
                              <a14:shadowObscured xmlns:a14="http://schemas.microsoft.com/office/drawing/2010/main"/>
                            </a:ext>
                          </a:extLst>
                        </pic:spPr>
                      </pic:pic>
                    </a:graphicData>
                  </a:graphic>
                </wp:inline>
              </w:drawing>
            </w:r>
          </w:p>
        </w:tc>
        <w:tc>
          <w:tcPr>
            <w:tcW w:w="3278" w:type="dxa"/>
            <w:vAlign w:val="center"/>
          </w:tcPr>
          <w:p w:rsidR="004C1911" w:rsidRPr="005D4A7D" w:rsidRDefault="004C1911" w:rsidP="00364F7F">
            <w:pPr>
              <w:jc w:val="both"/>
              <w:rPr>
                <w:rFonts w:ascii="Arial" w:hAnsi="Arial" w:cs="Arial"/>
                <w:b/>
                <w:sz w:val="24"/>
                <w:szCs w:val="24"/>
              </w:rPr>
            </w:pPr>
            <w:r w:rsidRPr="005D4A7D">
              <w:rPr>
                <w:rFonts w:ascii="Arial" w:hAnsi="Arial" w:cs="Arial"/>
                <w:b/>
                <w:sz w:val="24"/>
                <w:szCs w:val="24"/>
              </w:rPr>
              <w:t>Voz masculina:</w:t>
            </w:r>
            <w:r w:rsidRPr="005D4A7D">
              <w:rPr>
                <w:rFonts w:ascii="Arial" w:hAnsi="Arial" w:cs="Arial"/>
                <w:sz w:val="24"/>
                <w:szCs w:val="24"/>
              </w:rPr>
              <w:t xml:space="preserve"> los dos</w:t>
            </w:r>
          </w:p>
        </w:tc>
      </w:tr>
      <w:tr w:rsidR="004C1911" w:rsidRPr="005D4A7D" w:rsidTr="00E97783">
        <w:trPr>
          <w:jc w:val="center"/>
        </w:trPr>
        <w:tc>
          <w:tcPr>
            <w:tcW w:w="4529" w:type="dxa"/>
          </w:tcPr>
          <w:p w:rsidR="004C1911" w:rsidRPr="005D4A7D" w:rsidRDefault="004C1911" w:rsidP="00364F7F">
            <w:pPr>
              <w:spacing w:before="100" w:beforeAutospacing="1" w:after="100" w:afterAutospacing="1"/>
              <w:contextualSpacing/>
              <w:jc w:val="both"/>
              <w:rPr>
                <w:rFonts w:ascii="Arial" w:hAnsi="Arial" w:cs="Arial"/>
                <w:sz w:val="24"/>
                <w:szCs w:val="24"/>
              </w:rPr>
            </w:pPr>
            <w:r w:rsidRPr="005D4A7D">
              <w:rPr>
                <w:rFonts w:ascii="Arial" w:hAnsi="Arial" w:cs="Arial"/>
                <w:noProof/>
                <w:sz w:val="24"/>
                <w:szCs w:val="24"/>
                <w:lang w:eastAsia="es-MX"/>
              </w:rPr>
              <w:drawing>
                <wp:inline distT="0" distB="0" distL="0" distR="0" wp14:anchorId="7C921A51" wp14:editId="0C088659">
                  <wp:extent cx="2246489" cy="1212393"/>
                  <wp:effectExtent l="0" t="0" r="1905" b="698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1500" t="6388" r="7642" b="15673"/>
                          <a:stretch/>
                        </pic:blipFill>
                        <pic:spPr bwMode="auto">
                          <a:xfrm>
                            <a:off x="0" y="0"/>
                            <a:ext cx="2252241" cy="1215497"/>
                          </a:xfrm>
                          <a:prstGeom prst="rect">
                            <a:avLst/>
                          </a:prstGeom>
                          <a:ln>
                            <a:noFill/>
                          </a:ln>
                          <a:extLst>
                            <a:ext uri="{53640926-AAD7-44D8-BBD7-CCE9431645EC}">
                              <a14:shadowObscured xmlns:a14="http://schemas.microsoft.com/office/drawing/2010/main"/>
                            </a:ext>
                          </a:extLst>
                        </pic:spPr>
                      </pic:pic>
                    </a:graphicData>
                  </a:graphic>
                </wp:inline>
              </w:drawing>
            </w:r>
          </w:p>
        </w:tc>
        <w:tc>
          <w:tcPr>
            <w:tcW w:w="3278" w:type="dxa"/>
            <w:vAlign w:val="center"/>
          </w:tcPr>
          <w:p w:rsidR="004C1911" w:rsidRPr="005D4A7D" w:rsidRDefault="004C1911" w:rsidP="00364F7F">
            <w:pPr>
              <w:jc w:val="both"/>
              <w:rPr>
                <w:rFonts w:ascii="Arial" w:hAnsi="Arial" w:cs="Arial"/>
                <w:sz w:val="24"/>
                <w:szCs w:val="24"/>
              </w:rPr>
            </w:pPr>
            <w:r w:rsidRPr="005D4A7D">
              <w:rPr>
                <w:rFonts w:ascii="Arial" w:hAnsi="Arial" w:cs="Arial"/>
                <w:sz w:val="24"/>
                <w:szCs w:val="24"/>
              </w:rPr>
              <w:t>Música de fondo y sonido de un zapatazo</w:t>
            </w:r>
          </w:p>
          <w:p w:rsidR="004C1911" w:rsidRPr="005D4A7D" w:rsidRDefault="004C1911" w:rsidP="00364F7F">
            <w:pPr>
              <w:spacing w:before="100" w:beforeAutospacing="1" w:after="100" w:afterAutospacing="1"/>
              <w:contextualSpacing/>
              <w:jc w:val="both"/>
              <w:rPr>
                <w:rFonts w:ascii="Arial" w:hAnsi="Arial" w:cs="Arial"/>
                <w:sz w:val="24"/>
                <w:szCs w:val="24"/>
              </w:rPr>
            </w:pPr>
          </w:p>
        </w:tc>
      </w:tr>
      <w:tr w:rsidR="004C1911" w:rsidRPr="005D4A7D" w:rsidTr="00E97783">
        <w:trPr>
          <w:jc w:val="center"/>
        </w:trPr>
        <w:tc>
          <w:tcPr>
            <w:tcW w:w="4529" w:type="dxa"/>
          </w:tcPr>
          <w:p w:rsidR="004C1911" w:rsidRPr="005D4A7D" w:rsidRDefault="004C1911" w:rsidP="00364F7F">
            <w:pPr>
              <w:spacing w:before="100" w:beforeAutospacing="1" w:after="100" w:afterAutospacing="1"/>
              <w:contextualSpacing/>
              <w:jc w:val="both"/>
              <w:rPr>
                <w:rFonts w:ascii="Arial" w:hAnsi="Arial" w:cs="Arial"/>
                <w:sz w:val="24"/>
                <w:szCs w:val="24"/>
              </w:rPr>
            </w:pPr>
            <w:r w:rsidRPr="005D4A7D">
              <w:rPr>
                <w:rFonts w:ascii="Arial" w:hAnsi="Arial" w:cs="Arial"/>
                <w:noProof/>
                <w:sz w:val="24"/>
                <w:szCs w:val="24"/>
                <w:lang w:eastAsia="es-MX"/>
              </w:rPr>
              <w:drawing>
                <wp:inline distT="0" distB="0" distL="0" distR="0" wp14:anchorId="40E81674" wp14:editId="22B244D9">
                  <wp:extent cx="2281160" cy="1397204"/>
                  <wp:effectExtent l="0" t="0" r="508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1859" t="6388" r="8002" b="15034"/>
                          <a:stretch/>
                        </pic:blipFill>
                        <pic:spPr bwMode="auto">
                          <a:xfrm>
                            <a:off x="0" y="0"/>
                            <a:ext cx="2325842" cy="1424571"/>
                          </a:xfrm>
                          <a:prstGeom prst="rect">
                            <a:avLst/>
                          </a:prstGeom>
                          <a:ln>
                            <a:noFill/>
                          </a:ln>
                          <a:extLst>
                            <a:ext uri="{53640926-AAD7-44D8-BBD7-CCE9431645EC}">
                              <a14:shadowObscured xmlns:a14="http://schemas.microsoft.com/office/drawing/2010/main"/>
                            </a:ext>
                          </a:extLst>
                        </pic:spPr>
                      </pic:pic>
                    </a:graphicData>
                  </a:graphic>
                </wp:inline>
              </w:drawing>
            </w:r>
          </w:p>
        </w:tc>
        <w:tc>
          <w:tcPr>
            <w:tcW w:w="3278" w:type="dxa"/>
            <w:vAlign w:val="center"/>
          </w:tcPr>
          <w:p w:rsidR="004C1911" w:rsidRPr="005D4A7D" w:rsidRDefault="004C1911" w:rsidP="00364F7F">
            <w:pPr>
              <w:jc w:val="both"/>
              <w:rPr>
                <w:rFonts w:ascii="Arial" w:hAnsi="Arial" w:cs="Arial"/>
                <w:sz w:val="24"/>
                <w:szCs w:val="24"/>
              </w:rPr>
            </w:pPr>
            <w:r w:rsidRPr="005D4A7D">
              <w:rPr>
                <w:rFonts w:ascii="Arial" w:hAnsi="Arial" w:cs="Arial"/>
                <w:b/>
                <w:sz w:val="24"/>
                <w:szCs w:val="24"/>
              </w:rPr>
              <w:t xml:space="preserve">Voz femenina: </w:t>
            </w:r>
            <w:r w:rsidRPr="005D4A7D">
              <w:rPr>
                <w:rFonts w:ascii="Arial" w:hAnsi="Arial" w:cs="Arial"/>
                <w:sz w:val="24"/>
                <w:szCs w:val="24"/>
              </w:rPr>
              <w:t xml:space="preserve">¡Espejito! ... </w:t>
            </w:r>
          </w:p>
          <w:p w:rsidR="004C1911" w:rsidRPr="005D4A7D" w:rsidRDefault="004C1911" w:rsidP="00364F7F">
            <w:pPr>
              <w:spacing w:before="100" w:beforeAutospacing="1" w:after="100" w:afterAutospacing="1"/>
              <w:contextualSpacing/>
              <w:jc w:val="both"/>
              <w:rPr>
                <w:rFonts w:ascii="Arial" w:hAnsi="Arial" w:cs="Arial"/>
                <w:sz w:val="24"/>
                <w:szCs w:val="24"/>
              </w:rPr>
            </w:pPr>
          </w:p>
        </w:tc>
      </w:tr>
      <w:tr w:rsidR="004C1911" w:rsidRPr="005D4A7D" w:rsidTr="00E97783">
        <w:trPr>
          <w:jc w:val="center"/>
        </w:trPr>
        <w:tc>
          <w:tcPr>
            <w:tcW w:w="4529" w:type="dxa"/>
          </w:tcPr>
          <w:p w:rsidR="004C1911" w:rsidRPr="005D4A7D" w:rsidRDefault="004C1911" w:rsidP="00364F7F">
            <w:pPr>
              <w:spacing w:before="100" w:beforeAutospacing="1" w:after="100" w:afterAutospacing="1"/>
              <w:contextualSpacing/>
              <w:jc w:val="both"/>
              <w:rPr>
                <w:rFonts w:ascii="Arial" w:hAnsi="Arial" w:cs="Arial"/>
                <w:sz w:val="24"/>
                <w:szCs w:val="24"/>
              </w:rPr>
            </w:pPr>
            <w:r w:rsidRPr="005D4A7D">
              <w:rPr>
                <w:rFonts w:ascii="Arial" w:hAnsi="Arial" w:cs="Arial"/>
                <w:noProof/>
                <w:sz w:val="24"/>
                <w:szCs w:val="24"/>
                <w:lang w:eastAsia="es-MX"/>
              </w:rPr>
              <w:drawing>
                <wp:inline distT="0" distB="0" distL="0" distR="0" wp14:anchorId="66D455D8" wp14:editId="7AEE2BF6">
                  <wp:extent cx="2271395" cy="1173304"/>
                  <wp:effectExtent l="0" t="0" r="0"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859" t="5111" r="7284" b="13118"/>
                          <a:stretch/>
                        </pic:blipFill>
                        <pic:spPr bwMode="auto">
                          <a:xfrm>
                            <a:off x="0" y="0"/>
                            <a:ext cx="2295996" cy="1186012"/>
                          </a:xfrm>
                          <a:prstGeom prst="rect">
                            <a:avLst/>
                          </a:prstGeom>
                          <a:ln>
                            <a:noFill/>
                          </a:ln>
                          <a:extLst>
                            <a:ext uri="{53640926-AAD7-44D8-BBD7-CCE9431645EC}">
                              <a14:shadowObscured xmlns:a14="http://schemas.microsoft.com/office/drawing/2010/main"/>
                            </a:ext>
                          </a:extLst>
                        </pic:spPr>
                      </pic:pic>
                    </a:graphicData>
                  </a:graphic>
                </wp:inline>
              </w:drawing>
            </w:r>
          </w:p>
        </w:tc>
        <w:tc>
          <w:tcPr>
            <w:tcW w:w="3278" w:type="dxa"/>
            <w:vAlign w:val="center"/>
          </w:tcPr>
          <w:p w:rsidR="004C1911" w:rsidRPr="005D4A7D" w:rsidRDefault="004C1911" w:rsidP="00364F7F">
            <w:pPr>
              <w:jc w:val="both"/>
              <w:rPr>
                <w:rFonts w:ascii="Arial" w:hAnsi="Arial" w:cs="Arial"/>
                <w:sz w:val="24"/>
                <w:szCs w:val="24"/>
              </w:rPr>
            </w:pPr>
            <w:r w:rsidRPr="005D4A7D">
              <w:rPr>
                <w:rFonts w:ascii="Arial" w:hAnsi="Arial" w:cs="Arial"/>
                <w:b/>
                <w:sz w:val="24"/>
                <w:szCs w:val="24"/>
              </w:rPr>
              <w:t>Voz masculina:</w:t>
            </w:r>
            <w:r w:rsidRPr="005D4A7D">
              <w:rPr>
                <w:rFonts w:ascii="Arial" w:hAnsi="Arial" w:cs="Arial"/>
                <w:sz w:val="24"/>
                <w:szCs w:val="24"/>
              </w:rPr>
              <w:t xml:space="preserve"> Tú mi vida, tú… </w:t>
            </w:r>
          </w:p>
          <w:p w:rsidR="004C1911" w:rsidRPr="005D4A7D" w:rsidRDefault="004C1911" w:rsidP="00364F7F">
            <w:pPr>
              <w:jc w:val="both"/>
              <w:rPr>
                <w:rFonts w:ascii="Arial" w:hAnsi="Arial" w:cs="Arial"/>
                <w:b/>
                <w:sz w:val="24"/>
                <w:szCs w:val="24"/>
              </w:rPr>
            </w:pPr>
          </w:p>
        </w:tc>
      </w:tr>
      <w:tr w:rsidR="004C1911" w:rsidRPr="005D4A7D" w:rsidTr="00E97783">
        <w:trPr>
          <w:jc w:val="center"/>
        </w:trPr>
        <w:tc>
          <w:tcPr>
            <w:tcW w:w="4529" w:type="dxa"/>
          </w:tcPr>
          <w:p w:rsidR="004C1911" w:rsidRPr="005D4A7D" w:rsidRDefault="004C1911" w:rsidP="00364F7F">
            <w:pPr>
              <w:spacing w:before="100" w:beforeAutospacing="1" w:after="100" w:afterAutospacing="1"/>
              <w:contextualSpacing/>
              <w:jc w:val="both"/>
              <w:rPr>
                <w:rFonts w:ascii="Arial" w:hAnsi="Arial" w:cs="Arial"/>
                <w:sz w:val="24"/>
                <w:szCs w:val="24"/>
              </w:rPr>
            </w:pPr>
            <w:r w:rsidRPr="005D4A7D">
              <w:rPr>
                <w:rFonts w:ascii="Arial" w:hAnsi="Arial" w:cs="Arial"/>
                <w:noProof/>
                <w:sz w:val="24"/>
                <w:szCs w:val="24"/>
                <w:lang w:eastAsia="es-MX"/>
              </w:rPr>
              <w:drawing>
                <wp:inline distT="0" distB="0" distL="0" distR="0" wp14:anchorId="026D16A6" wp14:editId="2E0A9B13">
                  <wp:extent cx="2289656" cy="128016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1859" t="5111" r="7284" b="15673"/>
                          <a:stretch/>
                        </pic:blipFill>
                        <pic:spPr bwMode="auto">
                          <a:xfrm>
                            <a:off x="0" y="0"/>
                            <a:ext cx="2303750" cy="1288040"/>
                          </a:xfrm>
                          <a:prstGeom prst="rect">
                            <a:avLst/>
                          </a:prstGeom>
                          <a:ln>
                            <a:noFill/>
                          </a:ln>
                          <a:extLst>
                            <a:ext uri="{53640926-AAD7-44D8-BBD7-CCE9431645EC}">
                              <a14:shadowObscured xmlns:a14="http://schemas.microsoft.com/office/drawing/2010/main"/>
                            </a:ext>
                          </a:extLst>
                        </pic:spPr>
                      </pic:pic>
                    </a:graphicData>
                  </a:graphic>
                </wp:inline>
              </w:drawing>
            </w:r>
          </w:p>
        </w:tc>
        <w:tc>
          <w:tcPr>
            <w:tcW w:w="3278" w:type="dxa"/>
            <w:vAlign w:val="center"/>
          </w:tcPr>
          <w:p w:rsidR="004C1911" w:rsidRPr="005D4A7D" w:rsidRDefault="004C1911" w:rsidP="00364F7F">
            <w:pPr>
              <w:jc w:val="both"/>
              <w:rPr>
                <w:rFonts w:ascii="Arial" w:hAnsi="Arial" w:cs="Arial"/>
                <w:sz w:val="24"/>
                <w:szCs w:val="24"/>
              </w:rPr>
            </w:pPr>
            <w:r w:rsidRPr="005D4A7D">
              <w:rPr>
                <w:rFonts w:ascii="Arial" w:hAnsi="Arial" w:cs="Arial"/>
                <w:b/>
                <w:sz w:val="24"/>
                <w:szCs w:val="24"/>
              </w:rPr>
              <w:t>Voz masculina 2:</w:t>
            </w:r>
            <w:r w:rsidRPr="005D4A7D">
              <w:rPr>
                <w:rFonts w:ascii="Arial" w:hAnsi="Arial" w:cs="Arial"/>
                <w:sz w:val="24"/>
                <w:szCs w:val="24"/>
              </w:rPr>
              <w:t xml:space="preserve"> Que no te platiquen cuentos, votar por Martha Erika</w:t>
            </w:r>
          </w:p>
          <w:p w:rsidR="004C1911" w:rsidRPr="005D4A7D" w:rsidRDefault="004C1911" w:rsidP="00364F7F">
            <w:pPr>
              <w:jc w:val="both"/>
              <w:rPr>
                <w:rFonts w:ascii="Arial" w:hAnsi="Arial" w:cs="Arial"/>
                <w:b/>
                <w:sz w:val="24"/>
                <w:szCs w:val="24"/>
              </w:rPr>
            </w:pPr>
          </w:p>
        </w:tc>
      </w:tr>
      <w:tr w:rsidR="004C1911" w:rsidRPr="005D4A7D" w:rsidTr="00E97783">
        <w:trPr>
          <w:jc w:val="center"/>
        </w:trPr>
        <w:tc>
          <w:tcPr>
            <w:tcW w:w="4529" w:type="dxa"/>
          </w:tcPr>
          <w:p w:rsidR="004C1911" w:rsidRPr="005D4A7D" w:rsidRDefault="004C1911" w:rsidP="00364F7F">
            <w:pPr>
              <w:spacing w:before="100" w:beforeAutospacing="1" w:after="100" w:afterAutospacing="1"/>
              <w:contextualSpacing/>
              <w:jc w:val="both"/>
              <w:rPr>
                <w:rFonts w:ascii="Arial" w:hAnsi="Arial" w:cs="Arial"/>
                <w:sz w:val="24"/>
                <w:szCs w:val="24"/>
              </w:rPr>
            </w:pPr>
            <w:r w:rsidRPr="005D4A7D">
              <w:rPr>
                <w:rFonts w:ascii="Arial" w:hAnsi="Arial" w:cs="Arial"/>
                <w:noProof/>
                <w:sz w:val="24"/>
                <w:szCs w:val="24"/>
                <w:lang w:eastAsia="es-MX"/>
              </w:rPr>
              <w:drawing>
                <wp:inline distT="0" distB="0" distL="0" distR="0" wp14:anchorId="1B1AF1A2" wp14:editId="73B48D9E">
                  <wp:extent cx="2280920" cy="1477402"/>
                  <wp:effectExtent l="0" t="0" r="5080" b="889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1859" t="5111" r="7284" b="15034"/>
                          <a:stretch/>
                        </pic:blipFill>
                        <pic:spPr bwMode="auto">
                          <a:xfrm>
                            <a:off x="0" y="0"/>
                            <a:ext cx="2299487" cy="1489428"/>
                          </a:xfrm>
                          <a:prstGeom prst="rect">
                            <a:avLst/>
                          </a:prstGeom>
                          <a:ln>
                            <a:noFill/>
                          </a:ln>
                          <a:extLst>
                            <a:ext uri="{53640926-AAD7-44D8-BBD7-CCE9431645EC}">
                              <a14:shadowObscured xmlns:a14="http://schemas.microsoft.com/office/drawing/2010/main"/>
                            </a:ext>
                          </a:extLst>
                        </pic:spPr>
                      </pic:pic>
                    </a:graphicData>
                  </a:graphic>
                </wp:inline>
              </w:drawing>
            </w:r>
          </w:p>
        </w:tc>
        <w:tc>
          <w:tcPr>
            <w:tcW w:w="3278" w:type="dxa"/>
            <w:vAlign w:val="center"/>
          </w:tcPr>
          <w:p w:rsidR="004C1911" w:rsidRPr="005D4A7D" w:rsidRDefault="004C1911" w:rsidP="00364F7F">
            <w:pPr>
              <w:jc w:val="both"/>
              <w:rPr>
                <w:rFonts w:ascii="Arial" w:hAnsi="Arial" w:cs="Arial"/>
                <w:sz w:val="24"/>
                <w:szCs w:val="24"/>
              </w:rPr>
            </w:pPr>
            <w:r w:rsidRPr="005D4A7D">
              <w:rPr>
                <w:rFonts w:ascii="Arial" w:hAnsi="Arial" w:cs="Arial"/>
                <w:b/>
                <w:sz w:val="24"/>
                <w:szCs w:val="24"/>
              </w:rPr>
              <w:t>Voz masculina 2:</w:t>
            </w:r>
            <w:r w:rsidRPr="005D4A7D">
              <w:rPr>
                <w:rFonts w:ascii="Arial" w:hAnsi="Arial" w:cs="Arial"/>
                <w:sz w:val="24"/>
                <w:szCs w:val="24"/>
              </w:rPr>
              <w:t xml:space="preserve"> es reelegir a Moreno Valle</w:t>
            </w:r>
          </w:p>
          <w:p w:rsidR="004C1911" w:rsidRPr="005D4A7D" w:rsidRDefault="004C1911" w:rsidP="00364F7F">
            <w:pPr>
              <w:spacing w:before="100" w:beforeAutospacing="1" w:after="100" w:afterAutospacing="1"/>
              <w:contextualSpacing/>
              <w:jc w:val="both"/>
              <w:rPr>
                <w:rFonts w:ascii="Arial" w:hAnsi="Arial" w:cs="Arial"/>
                <w:sz w:val="24"/>
                <w:szCs w:val="24"/>
              </w:rPr>
            </w:pPr>
          </w:p>
        </w:tc>
      </w:tr>
      <w:tr w:rsidR="004C1911" w:rsidRPr="005D4A7D" w:rsidTr="00E97783">
        <w:trPr>
          <w:jc w:val="center"/>
        </w:trPr>
        <w:tc>
          <w:tcPr>
            <w:tcW w:w="4529" w:type="dxa"/>
          </w:tcPr>
          <w:p w:rsidR="004C1911" w:rsidRPr="005D4A7D" w:rsidRDefault="004C1911" w:rsidP="00364F7F">
            <w:pPr>
              <w:spacing w:before="100" w:beforeAutospacing="1" w:after="100" w:afterAutospacing="1"/>
              <w:contextualSpacing/>
              <w:jc w:val="both"/>
              <w:rPr>
                <w:rFonts w:ascii="Arial" w:hAnsi="Arial" w:cs="Arial"/>
                <w:sz w:val="24"/>
                <w:szCs w:val="24"/>
              </w:rPr>
            </w:pPr>
            <w:r w:rsidRPr="005D4A7D">
              <w:rPr>
                <w:rFonts w:ascii="Arial" w:hAnsi="Arial" w:cs="Arial"/>
                <w:noProof/>
                <w:sz w:val="24"/>
                <w:szCs w:val="24"/>
                <w:lang w:eastAsia="es-MX"/>
              </w:rPr>
              <w:lastRenderedPageBreak/>
              <w:drawing>
                <wp:inline distT="0" distB="0" distL="0" distR="0" wp14:anchorId="58698B5D" wp14:editId="64144E04">
                  <wp:extent cx="2245995" cy="1183435"/>
                  <wp:effectExtent l="0" t="0" r="1905" b="0"/>
                  <wp:docPr id="46" name="Imagen 46" descr="C:\Users\luisa.ortiz\Documents\PES\nueva\NUEVA\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uisa.ortiz\Documents\PES\nueva\NUEVA\17.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3694" t="13387" r="23875" b="9940"/>
                          <a:stretch/>
                        </pic:blipFill>
                        <pic:spPr bwMode="auto">
                          <a:xfrm>
                            <a:off x="0" y="0"/>
                            <a:ext cx="2312158" cy="12182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78" w:type="dxa"/>
            <w:vAlign w:val="center"/>
          </w:tcPr>
          <w:p w:rsidR="004C1911" w:rsidRPr="005D4A7D" w:rsidRDefault="004C1911" w:rsidP="00364F7F">
            <w:pPr>
              <w:autoSpaceDE w:val="0"/>
              <w:autoSpaceDN w:val="0"/>
              <w:adjustRightInd w:val="0"/>
              <w:ind w:right="-851"/>
              <w:jc w:val="both"/>
              <w:rPr>
                <w:rFonts w:ascii="Arial" w:hAnsi="Arial" w:cs="Arial"/>
                <w:b/>
                <w:sz w:val="24"/>
                <w:szCs w:val="24"/>
              </w:rPr>
            </w:pPr>
            <w:r w:rsidRPr="005D4A7D">
              <w:rPr>
                <w:rFonts w:ascii="Arial" w:hAnsi="Arial" w:cs="Arial"/>
                <w:b/>
                <w:sz w:val="24"/>
                <w:szCs w:val="24"/>
              </w:rPr>
              <w:t xml:space="preserve">Música </w:t>
            </w:r>
          </w:p>
        </w:tc>
      </w:tr>
    </w:tbl>
    <w:p w:rsidR="004C1911" w:rsidRPr="005D4A7D" w:rsidRDefault="004C1911" w:rsidP="00364F7F">
      <w:pPr>
        <w:jc w:val="both"/>
        <w:rPr>
          <w:rFonts w:ascii="Arial" w:hAnsi="Arial" w:cs="Arial"/>
          <w:sz w:val="16"/>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12"/>
      </w:tblGrid>
      <w:tr w:rsidR="004C1911" w:rsidRPr="005D4A7D" w:rsidTr="00E97783">
        <w:trPr>
          <w:tblHeader/>
          <w:jc w:val="center"/>
        </w:trPr>
        <w:tc>
          <w:tcPr>
            <w:tcW w:w="7712" w:type="dxa"/>
            <w:shd w:val="clear" w:color="auto" w:fill="D9D9D9" w:themeFill="background1" w:themeFillShade="D9"/>
          </w:tcPr>
          <w:p w:rsidR="004C1911" w:rsidRPr="005D4A7D" w:rsidRDefault="004C1911" w:rsidP="00A741C5">
            <w:pPr>
              <w:spacing w:after="0" w:line="240" w:lineRule="auto"/>
              <w:contextualSpacing/>
              <w:jc w:val="center"/>
              <w:rPr>
                <w:rFonts w:ascii="Arial" w:hAnsi="Arial" w:cs="Arial"/>
                <w:b/>
                <w:sz w:val="24"/>
                <w:szCs w:val="24"/>
              </w:rPr>
            </w:pPr>
            <w:r w:rsidRPr="005D4A7D">
              <w:rPr>
                <w:rFonts w:ascii="Arial" w:hAnsi="Arial" w:cs="Arial"/>
                <w:b/>
                <w:sz w:val="24"/>
                <w:szCs w:val="24"/>
              </w:rPr>
              <w:t>Spot versión Radio</w:t>
            </w:r>
          </w:p>
        </w:tc>
      </w:tr>
      <w:tr w:rsidR="004C1911" w:rsidRPr="005D4A7D" w:rsidTr="00E97783">
        <w:trPr>
          <w:jc w:val="center"/>
        </w:trPr>
        <w:tc>
          <w:tcPr>
            <w:tcW w:w="7712" w:type="dxa"/>
          </w:tcPr>
          <w:p w:rsidR="004C1911" w:rsidRPr="005D4A7D" w:rsidRDefault="004C1911" w:rsidP="00A741C5">
            <w:pPr>
              <w:spacing w:after="0" w:line="240" w:lineRule="auto"/>
              <w:jc w:val="both"/>
              <w:rPr>
                <w:rFonts w:ascii="Arial" w:hAnsi="Arial" w:cs="Arial"/>
                <w:sz w:val="20"/>
                <w:szCs w:val="20"/>
              </w:rPr>
            </w:pPr>
            <w:r w:rsidRPr="005D4A7D">
              <w:rPr>
                <w:rFonts w:ascii="Arial" w:hAnsi="Arial" w:cs="Arial"/>
                <w:b/>
                <w:sz w:val="20"/>
                <w:szCs w:val="20"/>
              </w:rPr>
              <w:t>Música de fondo.</w:t>
            </w:r>
            <w:r w:rsidRPr="005D4A7D">
              <w:rPr>
                <w:rFonts w:ascii="Arial" w:hAnsi="Arial" w:cs="Arial"/>
                <w:sz w:val="20"/>
                <w:szCs w:val="20"/>
              </w:rPr>
              <w:t xml:space="preserve"> Sonido de una puerta abriendo. </w:t>
            </w:r>
          </w:p>
          <w:p w:rsidR="004C1911" w:rsidRPr="005D4A7D" w:rsidRDefault="004C1911" w:rsidP="00A741C5">
            <w:pPr>
              <w:spacing w:after="0" w:line="240" w:lineRule="auto"/>
              <w:jc w:val="both"/>
              <w:rPr>
                <w:rFonts w:ascii="Arial" w:hAnsi="Arial" w:cs="Arial"/>
                <w:sz w:val="20"/>
                <w:szCs w:val="20"/>
              </w:rPr>
            </w:pPr>
            <w:r w:rsidRPr="005D4A7D">
              <w:rPr>
                <w:rFonts w:ascii="Arial" w:hAnsi="Arial" w:cs="Arial"/>
                <w:b/>
                <w:sz w:val="20"/>
                <w:szCs w:val="20"/>
              </w:rPr>
              <w:t>Música de fondo.</w:t>
            </w:r>
            <w:r w:rsidRPr="005D4A7D">
              <w:rPr>
                <w:rFonts w:ascii="Arial" w:hAnsi="Arial" w:cs="Arial"/>
                <w:sz w:val="20"/>
                <w:szCs w:val="20"/>
              </w:rPr>
              <w:t xml:space="preserve"> Sonido de pasos con tacones.</w:t>
            </w:r>
          </w:p>
          <w:p w:rsidR="004C1911" w:rsidRPr="005D4A7D" w:rsidRDefault="004C1911" w:rsidP="00A741C5">
            <w:pPr>
              <w:spacing w:after="0" w:line="240" w:lineRule="auto"/>
              <w:jc w:val="both"/>
              <w:rPr>
                <w:rFonts w:ascii="Arial" w:hAnsi="Arial" w:cs="Arial"/>
                <w:sz w:val="20"/>
                <w:szCs w:val="20"/>
              </w:rPr>
            </w:pPr>
            <w:r w:rsidRPr="005D4A7D">
              <w:rPr>
                <w:rFonts w:ascii="Arial" w:hAnsi="Arial" w:cs="Arial"/>
                <w:b/>
                <w:sz w:val="20"/>
                <w:szCs w:val="20"/>
              </w:rPr>
              <w:t xml:space="preserve">Voz femenina: </w:t>
            </w:r>
            <w:r w:rsidRPr="005D4A7D">
              <w:rPr>
                <w:rFonts w:ascii="Arial" w:hAnsi="Arial" w:cs="Arial"/>
                <w:sz w:val="20"/>
                <w:szCs w:val="20"/>
              </w:rPr>
              <w:t xml:space="preserve">Espejito… espejito mágico… ¿Quién va a ser el nuevo gobernador de Puebla? </w:t>
            </w:r>
          </w:p>
          <w:p w:rsidR="004C1911" w:rsidRPr="005D4A7D" w:rsidRDefault="004C1911" w:rsidP="00A741C5">
            <w:pPr>
              <w:spacing w:after="0" w:line="240" w:lineRule="auto"/>
              <w:jc w:val="both"/>
              <w:rPr>
                <w:rFonts w:ascii="Arial" w:hAnsi="Arial" w:cs="Arial"/>
                <w:sz w:val="20"/>
                <w:szCs w:val="20"/>
              </w:rPr>
            </w:pPr>
            <w:r w:rsidRPr="005D4A7D">
              <w:rPr>
                <w:rFonts w:ascii="Arial" w:hAnsi="Arial" w:cs="Arial"/>
                <w:b/>
                <w:sz w:val="20"/>
                <w:szCs w:val="20"/>
              </w:rPr>
              <w:t>Voz masculina:</w:t>
            </w:r>
            <w:r w:rsidRPr="005D4A7D">
              <w:rPr>
                <w:rFonts w:ascii="Arial" w:hAnsi="Arial" w:cs="Arial"/>
                <w:sz w:val="20"/>
                <w:szCs w:val="20"/>
              </w:rPr>
              <w:t xml:space="preserve"> ¡Yo…!</w:t>
            </w:r>
          </w:p>
          <w:p w:rsidR="004C1911" w:rsidRPr="005D4A7D" w:rsidRDefault="004C1911" w:rsidP="00A741C5">
            <w:pPr>
              <w:spacing w:after="0" w:line="240" w:lineRule="auto"/>
              <w:jc w:val="both"/>
              <w:rPr>
                <w:rFonts w:ascii="Arial" w:hAnsi="Arial" w:cs="Arial"/>
                <w:sz w:val="20"/>
                <w:szCs w:val="20"/>
              </w:rPr>
            </w:pPr>
            <w:r w:rsidRPr="005D4A7D">
              <w:rPr>
                <w:rFonts w:ascii="Arial" w:hAnsi="Arial" w:cs="Arial"/>
                <w:b/>
                <w:sz w:val="20"/>
                <w:szCs w:val="20"/>
              </w:rPr>
              <w:t>Voz femenina:</w:t>
            </w:r>
            <w:r w:rsidRPr="005D4A7D">
              <w:rPr>
                <w:rFonts w:ascii="Arial" w:hAnsi="Arial" w:cs="Arial"/>
                <w:sz w:val="20"/>
                <w:szCs w:val="20"/>
              </w:rPr>
              <w:t xml:space="preserve"> ¿Cómo?</w:t>
            </w:r>
          </w:p>
          <w:p w:rsidR="004C1911" w:rsidRPr="005D4A7D" w:rsidRDefault="004C1911" w:rsidP="00A741C5">
            <w:pPr>
              <w:spacing w:after="0" w:line="240" w:lineRule="auto"/>
              <w:jc w:val="both"/>
              <w:rPr>
                <w:rFonts w:ascii="Arial" w:hAnsi="Arial" w:cs="Arial"/>
                <w:sz w:val="20"/>
                <w:szCs w:val="20"/>
              </w:rPr>
            </w:pPr>
            <w:r w:rsidRPr="005D4A7D">
              <w:rPr>
                <w:rFonts w:ascii="Arial" w:hAnsi="Arial" w:cs="Arial"/>
                <w:b/>
                <w:sz w:val="20"/>
                <w:szCs w:val="20"/>
              </w:rPr>
              <w:t>Voz masculina:</w:t>
            </w:r>
            <w:r w:rsidRPr="005D4A7D">
              <w:rPr>
                <w:rFonts w:ascii="Arial" w:hAnsi="Arial" w:cs="Arial"/>
                <w:sz w:val="20"/>
                <w:szCs w:val="20"/>
              </w:rPr>
              <w:t xml:space="preserve"> Perdón… Perdón…los dos.</w:t>
            </w:r>
          </w:p>
          <w:p w:rsidR="004C1911" w:rsidRPr="005D4A7D" w:rsidRDefault="004C1911" w:rsidP="00A741C5">
            <w:pPr>
              <w:spacing w:after="0" w:line="240" w:lineRule="auto"/>
              <w:jc w:val="both"/>
              <w:rPr>
                <w:rFonts w:ascii="Arial" w:hAnsi="Arial" w:cs="Arial"/>
                <w:sz w:val="20"/>
                <w:szCs w:val="20"/>
              </w:rPr>
            </w:pPr>
            <w:r w:rsidRPr="005D4A7D">
              <w:rPr>
                <w:rFonts w:ascii="Arial" w:hAnsi="Arial" w:cs="Arial"/>
                <w:b/>
                <w:sz w:val="20"/>
                <w:szCs w:val="20"/>
              </w:rPr>
              <w:t>Voz femenina:</w:t>
            </w:r>
            <w:r w:rsidRPr="005D4A7D">
              <w:rPr>
                <w:rFonts w:ascii="Arial" w:hAnsi="Arial" w:cs="Arial"/>
                <w:sz w:val="20"/>
                <w:szCs w:val="20"/>
              </w:rPr>
              <w:t xml:space="preserve"> ¡Espejito! ... </w:t>
            </w:r>
          </w:p>
          <w:p w:rsidR="004C1911" w:rsidRPr="005D4A7D" w:rsidRDefault="004C1911" w:rsidP="00A741C5">
            <w:pPr>
              <w:spacing w:after="0" w:line="240" w:lineRule="auto"/>
              <w:jc w:val="both"/>
              <w:rPr>
                <w:rFonts w:ascii="Arial" w:hAnsi="Arial" w:cs="Arial"/>
                <w:sz w:val="20"/>
                <w:szCs w:val="20"/>
              </w:rPr>
            </w:pPr>
            <w:r w:rsidRPr="005D4A7D">
              <w:rPr>
                <w:rFonts w:ascii="Arial" w:hAnsi="Arial" w:cs="Arial"/>
                <w:b/>
                <w:sz w:val="20"/>
                <w:szCs w:val="20"/>
              </w:rPr>
              <w:t xml:space="preserve">Voz masculina: </w:t>
            </w:r>
            <w:r w:rsidRPr="005D4A7D">
              <w:rPr>
                <w:rFonts w:ascii="Arial" w:hAnsi="Arial" w:cs="Arial"/>
                <w:sz w:val="20"/>
                <w:szCs w:val="20"/>
              </w:rPr>
              <w:t xml:space="preserve">Tú mi vida, tú… </w:t>
            </w:r>
          </w:p>
          <w:p w:rsidR="004C1911" w:rsidRPr="005D4A7D" w:rsidRDefault="004C1911" w:rsidP="00A741C5">
            <w:pPr>
              <w:spacing w:after="0" w:line="240" w:lineRule="auto"/>
              <w:jc w:val="both"/>
              <w:rPr>
                <w:rFonts w:ascii="Arial" w:hAnsi="Arial" w:cs="Arial"/>
                <w:sz w:val="20"/>
                <w:szCs w:val="20"/>
              </w:rPr>
            </w:pPr>
            <w:r w:rsidRPr="005D4A7D">
              <w:rPr>
                <w:rFonts w:ascii="Arial" w:hAnsi="Arial" w:cs="Arial"/>
                <w:b/>
                <w:sz w:val="20"/>
                <w:szCs w:val="20"/>
              </w:rPr>
              <w:t>Voz masculina 2:</w:t>
            </w:r>
            <w:r w:rsidRPr="005D4A7D">
              <w:rPr>
                <w:rFonts w:ascii="Arial" w:hAnsi="Arial" w:cs="Arial"/>
                <w:sz w:val="20"/>
                <w:szCs w:val="20"/>
              </w:rPr>
              <w:t xml:space="preserve"> Que no te platiquen cuentos, votar por Martha Erika es reelegir a Moreno Valle. </w:t>
            </w:r>
          </w:p>
          <w:p w:rsidR="004C1911" w:rsidRPr="005D4A7D" w:rsidRDefault="004C1911" w:rsidP="00A741C5">
            <w:pPr>
              <w:spacing w:after="0" w:line="240" w:lineRule="auto"/>
              <w:jc w:val="both"/>
              <w:rPr>
                <w:rFonts w:ascii="Arial" w:hAnsi="Arial" w:cs="Arial"/>
                <w:sz w:val="24"/>
                <w:szCs w:val="24"/>
              </w:rPr>
            </w:pPr>
            <w:r w:rsidRPr="005D4A7D">
              <w:rPr>
                <w:rFonts w:ascii="Arial" w:hAnsi="Arial" w:cs="Arial"/>
                <w:sz w:val="20"/>
                <w:szCs w:val="20"/>
              </w:rPr>
              <w:t>Sonido de un golpe.</w:t>
            </w:r>
          </w:p>
        </w:tc>
      </w:tr>
    </w:tbl>
    <w:p w:rsidR="004C1911" w:rsidRPr="005D4A7D" w:rsidRDefault="004C1911" w:rsidP="006062AF">
      <w:pPr>
        <w:spacing w:after="0" w:line="240" w:lineRule="auto"/>
        <w:jc w:val="both"/>
        <w:rPr>
          <w:rFonts w:ascii="Arial" w:hAnsi="Arial" w:cs="Arial"/>
          <w:sz w:val="14"/>
          <w:szCs w:val="24"/>
        </w:rPr>
      </w:pPr>
    </w:p>
    <w:p w:rsidR="00A741C5" w:rsidRPr="005D4A7D" w:rsidRDefault="00A741C5" w:rsidP="0074744F">
      <w:pPr>
        <w:spacing w:before="120" w:after="120" w:line="360" w:lineRule="auto"/>
        <w:jc w:val="both"/>
        <w:rPr>
          <w:rFonts w:ascii="Arial" w:hAnsi="Arial" w:cs="Arial"/>
          <w:sz w:val="24"/>
          <w:szCs w:val="24"/>
        </w:rPr>
      </w:pPr>
      <w:r w:rsidRPr="005D4A7D">
        <w:rPr>
          <w:rFonts w:ascii="Arial" w:hAnsi="Arial" w:cs="Arial"/>
          <w:sz w:val="24"/>
          <w:szCs w:val="24"/>
        </w:rPr>
        <w:t>Del contenido del material denunciado, podemos apreciar lo siguiente:</w:t>
      </w:r>
    </w:p>
    <w:p w:rsidR="00A741C5" w:rsidRPr="005D4A7D" w:rsidRDefault="00A741C5"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Se trata de la </w:t>
      </w:r>
      <w:r w:rsidRPr="005D4A7D">
        <w:rPr>
          <w:rFonts w:ascii="Arial" w:hAnsi="Arial" w:cs="Arial"/>
          <w:b/>
          <w:sz w:val="24"/>
          <w:szCs w:val="24"/>
        </w:rPr>
        <w:t>representación de una escena del cuento</w:t>
      </w:r>
      <w:r w:rsidRPr="005D4A7D">
        <w:rPr>
          <w:rFonts w:ascii="Arial" w:hAnsi="Arial" w:cs="Arial"/>
          <w:sz w:val="24"/>
          <w:szCs w:val="24"/>
        </w:rPr>
        <w:t xml:space="preserve"> </w:t>
      </w:r>
      <w:r w:rsidRPr="005D4A7D">
        <w:rPr>
          <w:rFonts w:ascii="Arial" w:hAnsi="Arial" w:cs="Arial"/>
          <w:b/>
          <w:sz w:val="24"/>
          <w:szCs w:val="24"/>
        </w:rPr>
        <w:t>de Blanca Nieves</w:t>
      </w:r>
      <w:r w:rsidRPr="005D4A7D">
        <w:rPr>
          <w:rFonts w:ascii="Arial" w:hAnsi="Arial" w:cs="Arial"/>
          <w:sz w:val="24"/>
          <w:szCs w:val="24"/>
        </w:rPr>
        <w:t>, donde una mujer entra a una habitación y se encuentra con un espejo al que le pregunta:</w:t>
      </w:r>
    </w:p>
    <w:p w:rsidR="00A741C5" w:rsidRPr="005D4A7D" w:rsidRDefault="00A741C5" w:rsidP="0074744F">
      <w:pPr>
        <w:spacing w:before="120" w:after="120" w:line="360" w:lineRule="auto"/>
        <w:jc w:val="both"/>
        <w:rPr>
          <w:rFonts w:ascii="Arial" w:hAnsi="Arial" w:cs="Arial"/>
          <w:i/>
          <w:sz w:val="24"/>
          <w:szCs w:val="24"/>
        </w:rPr>
      </w:pPr>
      <w:r w:rsidRPr="005D4A7D">
        <w:rPr>
          <w:rFonts w:ascii="Arial" w:hAnsi="Arial" w:cs="Arial"/>
          <w:i/>
          <w:sz w:val="24"/>
          <w:szCs w:val="24"/>
        </w:rPr>
        <w:t>“Espejito… espejito mágico… ¿Quién va a ser el nuevo gobernador de Puebla?.</w:t>
      </w:r>
      <w:r w:rsidR="006062AF" w:rsidRPr="005D4A7D">
        <w:rPr>
          <w:rFonts w:ascii="Arial" w:hAnsi="Arial" w:cs="Arial"/>
          <w:i/>
          <w:sz w:val="24"/>
          <w:szCs w:val="24"/>
        </w:rPr>
        <w:t xml:space="preserve"> </w:t>
      </w:r>
      <w:r w:rsidRPr="005D4A7D">
        <w:rPr>
          <w:rFonts w:ascii="Arial" w:hAnsi="Arial" w:cs="Arial"/>
          <w:sz w:val="24"/>
          <w:szCs w:val="24"/>
        </w:rPr>
        <w:t>El espejo, con la imagen del rostro de</w:t>
      </w:r>
      <w:r w:rsidRPr="005D4A7D">
        <w:rPr>
          <w:rFonts w:ascii="Arial" w:hAnsi="Arial" w:cs="Arial"/>
          <w:i/>
          <w:sz w:val="24"/>
          <w:szCs w:val="24"/>
        </w:rPr>
        <w:t xml:space="preserve"> </w:t>
      </w:r>
      <w:r w:rsidRPr="005D4A7D">
        <w:rPr>
          <w:rFonts w:ascii="Arial" w:hAnsi="Arial" w:cs="Arial"/>
          <w:sz w:val="24"/>
          <w:szCs w:val="24"/>
        </w:rPr>
        <w:t>Rafael Moreno Valle, responde: “</w:t>
      </w:r>
      <w:r w:rsidRPr="005D4A7D">
        <w:rPr>
          <w:rFonts w:ascii="Arial" w:hAnsi="Arial" w:cs="Arial"/>
          <w:i/>
          <w:sz w:val="24"/>
          <w:szCs w:val="24"/>
        </w:rPr>
        <w:t>¡Yo!</w:t>
      </w:r>
      <w:r w:rsidRPr="005D4A7D">
        <w:rPr>
          <w:rFonts w:ascii="Arial" w:hAnsi="Arial" w:cs="Arial"/>
          <w:sz w:val="24"/>
          <w:szCs w:val="24"/>
        </w:rPr>
        <w:t>”</w:t>
      </w:r>
      <w:r w:rsidR="00FC51FD" w:rsidRPr="005D4A7D">
        <w:rPr>
          <w:rFonts w:ascii="Arial" w:hAnsi="Arial" w:cs="Arial"/>
          <w:sz w:val="24"/>
          <w:szCs w:val="24"/>
        </w:rPr>
        <w:t>.</w:t>
      </w:r>
    </w:p>
    <w:p w:rsidR="00A741C5" w:rsidRPr="005D4A7D" w:rsidRDefault="00A741C5" w:rsidP="0074744F">
      <w:pPr>
        <w:spacing w:before="120" w:after="120" w:line="360" w:lineRule="auto"/>
        <w:jc w:val="both"/>
        <w:rPr>
          <w:rFonts w:ascii="Arial" w:hAnsi="Arial" w:cs="Arial"/>
          <w:sz w:val="24"/>
          <w:szCs w:val="24"/>
        </w:rPr>
      </w:pPr>
      <w:r w:rsidRPr="005D4A7D">
        <w:rPr>
          <w:rFonts w:ascii="Arial" w:hAnsi="Arial" w:cs="Arial"/>
          <w:sz w:val="24"/>
          <w:szCs w:val="24"/>
        </w:rPr>
        <w:t>Ante la respuesta, la mujer recarga las manos en la cintura con los puños cerrados en señal de enojo, y pregunta: “</w:t>
      </w:r>
      <w:r w:rsidRPr="005D4A7D">
        <w:rPr>
          <w:rFonts w:ascii="Arial" w:hAnsi="Arial" w:cs="Arial"/>
          <w:i/>
          <w:sz w:val="24"/>
          <w:szCs w:val="24"/>
        </w:rPr>
        <w:t>¿Cómo?</w:t>
      </w:r>
      <w:r w:rsidRPr="005D4A7D">
        <w:rPr>
          <w:rFonts w:ascii="Arial" w:hAnsi="Arial" w:cs="Arial"/>
          <w:sz w:val="24"/>
          <w:szCs w:val="24"/>
        </w:rPr>
        <w:t>”</w:t>
      </w:r>
      <w:r w:rsidR="00FC51FD" w:rsidRPr="005D4A7D">
        <w:rPr>
          <w:rFonts w:ascii="Arial" w:hAnsi="Arial" w:cs="Arial"/>
          <w:sz w:val="24"/>
          <w:szCs w:val="24"/>
        </w:rPr>
        <w:t>.</w:t>
      </w:r>
    </w:p>
    <w:p w:rsidR="00A741C5" w:rsidRPr="005D4A7D" w:rsidRDefault="00A741C5" w:rsidP="0074744F">
      <w:pPr>
        <w:spacing w:before="120" w:after="120" w:line="360" w:lineRule="auto"/>
        <w:jc w:val="both"/>
        <w:rPr>
          <w:rFonts w:ascii="Arial" w:hAnsi="Arial" w:cs="Arial"/>
          <w:sz w:val="24"/>
          <w:szCs w:val="24"/>
        </w:rPr>
      </w:pPr>
      <w:r w:rsidRPr="005D4A7D">
        <w:rPr>
          <w:rFonts w:ascii="Arial" w:hAnsi="Arial" w:cs="Arial"/>
          <w:sz w:val="24"/>
          <w:szCs w:val="24"/>
        </w:rPr>
        <w:t>Ante esa nueva pregunta, la imagen de Rafael Moreno Valle en el espejo, le y responde: “</w:t>
      </w:r>
      <w:r w:rsidRPr="005D4A7D">
        <w:rPr>
          <w:rFonts w:ascii="Arial" w:hAnsi="Arial" w:cs="Arial"/>
          <w:i/>
          <w:sz w:val="24"/>
          <w:szCs w:val="24"/>
        </w:rPr>
        <w:t>Perdón… Perdón… los dos</w:t>
      </w:r>
      <w:r w:rsidRPr="005D4A7D">
        <w:rPr>
          <w:rFonts w:ascii="Arial" w:hAnsi="Arial" w:cs="Arial"/>
          <w:sz w:val="24"/>
          <w:szCs w:val="24"/>
        </w:rPr>
        <w:t>”</w:t>
      </w:r>
      <w:r w:rsidR="00FC51FD" w:rsidRPr="005D4A7D">
        <w:rPr>
          <w:rFonts w:ascii="Arial" w:hAnsi="Arial" w:cs="Arial"/>
          <w:sz w:val="24"/>
          <w:szCs w:val="24"/>
        </w:rPr>
        <w:t>.</w:t>
      </w:r>
    </w:p>
    <w:p w:rsidR="00A741C5" w:rsidRPr="005D4A7D" w:rsidRDefault="00A741C5" w:rsidP="0074744F">
      <w:pPr>
        <w:spacing w:before="120" w:after="120" w:line="360" w:lineRule="auto"/>
        <w:jc w:val="both"/>
        <w:rPr>
          <w:rFonts w:ascii="Arial" w:hAnsi="Arial" w:cs="Arial"/>
          <w:i/>
          <w:sz w:val="24"/>
          <w:szCs w:val="24"/>
        </w:rPr>
      </w:pPr>
      <w:r w:rsidRPr="005D4A7D">
        <w:rPr>
          <w:rFonts w:ascii="Arial" w:hAnsi="Arial" w:cs="Arial"/>
          <w:sz w:val="24"/>
          <w:szCs w:val="24"/>
        </w:rPr>
        <w:t xml:space="preserve">La mujer que lleva zapatos de tacón, da un golpe en piso con el pie derecho (zapatazo) y exclama con tono de pregunta o exclamación: </w:t>
      </w:r>
      <w:r w:rsidRPr="005D4A7D">
        <w:rPr>
          <w:rFonts w:ascii="Arial" w:hAnsi="Arial" w:cs="Arial"/>
          <w:i/>
          <w:sz w:val="24"/>
          <w:szCs w:val="24"/>
        </w:rPr>
        <w:t>“¡¿Espejito?!”</w:t>
      </w:r>
      <w:r w:rsidRPr="005D4A7D">
        <w:rPr>
          <w:rFonts w:ascii="Arial" w:hAnsi="Arial" w:cs="Arial"/>
          <w:sz w:val="24"/>
          <w:szCs w:val="24"/>
        </w:rPr>
        <w:t xml:space="preserve">, a lo que la imagen de Rafael Moreno Valle en el espejo responde: </w:t>
      </w:r>
      <w:r w:rsidRPr="005D4A7D">
        <w:rPr>
          <w:rFonts w:ascii="Arial" w:hAnsi="Arial" w:cs="Arial"/>
          <w:i/>
          <w:sz w:val="24"/>
          <w:szCs w:val="24"/>
        </w:rPr>
        <w:t>“tú mi vida, tú…”</w:t>
      </w:r>
      <w:r w:rsidR="00FC51FD" w:rsidRPr="005D4A7D">
        <w:rPr>
          <w:rFonts w:ascii="Arial" w:hAnsi="Arial" w:cs="Arial"/>
          <w:i/>
          <w:sz w:val="24"/>
          <w:szCs w:val="24"/>
        </w:rPr>
        <w:t>.</w:t>
      </w:r>
    </w:p>
    <w:p w:rsidR="00A741C5" w:rsidRPr="005D4A7D" w:rsidRDefault="00A741C5"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Finalmente, se observan las frases: </w:t>
      </w:r>
      <w:r w:rsidRPr="005D4A7D">
        <w:rPr>
          <w:rFonts w:ascii="Arial" w:hAnsi="Arial" w:cs="Arial"/>
          <w:i/>
          <w:sz w:val="24"/>
          <w:szCs w:val="24"/>
        </w:rPr>
        <w:t xml:space="preserve">“Que no te platiquen cuentos…” “…votar por Martha Erika es reelegir a Moreno Valle” </w:t>
      </w:r>
      <w:r w:rsidRPr="005D4A7D">
        <w:rPr>
          <w:rFonts w:ascii="Arial" w:hAnsi="Arial" w:cs="Arial"/>
          <w:sz w:val="24"/>
          <w:szCs w:val="24"/>
        </w:rPr>
        <w:t>y el logotipo del PRI.</w:t>
      </w:r>
    </w:p>
    <w:p w:rsidR="00A741C5" w:rsidRPr="005D4A7D" w:rsidRDefault="00A741C5" w:rsidP="0074744F">
      <w:pPr>
        <w:spacing w:before="120" w:after="120" w:line="360" w:lineRule="auto"/>
        <w:jc w:val="both"/>
        <w:rPr>
          <w:rFonts w:ascii="Arial" w:hAnsi="Arial" w:cs="Arial"/>
          <w:sz w:val="24"/>
          <w:szCs w:val="24"/>
        </w:rPr>
      </w:pPr>
      <w:r w:rsidRPr="005D4A7D">
        <w:rPr>
          <w:rFonts w:ascii="Arial" w:hAnsi="Arial" w:cs="Arial"/>
          <w:sz w:val="24"/>
          <w:szCs w:val="24"/>
        </w:rPr>
        <w:lastRenderedPageBreak/>
        <w:t>En la versión de radio, se tiene el mismo audio, pero al final no hay algún dato que permita identificar que fue pautado por el PRI.</w:t>
      </w:r>
    </w:p>
    <w:p w:rsidR="00A741C5" w:rsidRPr="005D4A7D" w:rsidRDefault="00A741C5" w:rsidP="0074744F">
      <w:pPr>
        <w:pStyle w:val="Ttulo2"/>
        <w:spacing w:before="120" w:beforeAutospacing="0" w:after="120" w:afterAutospacing="0"/>
      </w:pPr>
      <w:bookmarkStart w:id="34" w:name="_Toc519067223"/>
      <w:r w:rsidRPr="005D4A7D">
        <w:t>3. Valoración de la Sala Superior.</w:t>
      </w:r>
      <w:bookmarkEnd w:id="34"/>
    </w:p>
    <w:p w:rsidR="00A741C5" w:rsidRPr="005D4A7D" w:rsidRDefault="00A741C5" w:rsidP="0074744F">
      <w:pPr>
        <w:spacing w:before="120" w:after="120" w:line="360" w:lineRule="auto"/>
        <w:jc w:val="both"/>
        <w:rPr>
          <w:rFonts w:ascii="Arial" w:hAnsi="Arial" w:cs="Arial"/>
          <w:b/>
          <w:sz w:val="24"/>
          <w:szCs w:val="24"/>
        </w:rPr>
      </w:pPr>
      <w:r w:rsidRPr="005D4A7D">
        <w:rPr>
          <w:rFonts w:ascii="Arial" w:hAnsi="Arial" w:cs="Arial"/>
          <w:b/>
          <w:sz w:val="24"/>
          <w:szCs w:val="24"/>
        </w:rPr>
        <w:t xml:space="preserve">a) Agravio relativo a la incompetencia de la Sala Especializada. </w:t>
      </w:r>
    </w:p>
    <w:p w:rsidR="00A741C5" w:rsidRPr="005D4A7D" w:rsidRDefault="00A741C5" w:rsidP="0074744F">
      <w:pPr>
        <w:spacing w:before="120" w:after="120" w:line="360" w:lineRule="auto"/>
        <w:jc w:val="both"/>
        <w:rPr>
          <w:rFonts w:ascii="Arial" w:hAnsi="Arial" w:cs="Arial"/>
          <w:sz w:val="24"/>
          <w:szCs w:val="24"/>
        </w:rPr>
      </w:pPr>
      <w:r w:rsidRPr="005D4A7D">
        <w:rPr>
          <w:rFonts w:ascii="Arial" w:hAnsi="Arial" w:cs="Arial"/>
          <w:sz w:val="24"/>
          <w:szCs w:val="24"/>
        </w:rPr>
        <w:t>José Enrique Doger Guerrero señala que, al tratarse de la difusión en Twitter (internet) de un video, en el contexto de una elección local, la competencia para conocer del procedimiento especial sancionador, le corresponde a las autoridades electorales locales, con base en lo d</w:t>
      </w:r>
      <w:r w:rsidR="006062AF" w:rsidRPr="005D4A7D">
        <w:rPr>
          <w:rFonts w:ascii="Arial" w:hAnsi="Arial" w:cs="Arial"/>
          <w:sz w:val="24"/>
          <w:szCs w:val="24"/>
        </w:rPr>
        <w:t>ispuesto en la Tesis XLIII/2016</w:t>
      </w:r>
      <w:r w:rsidR="006062AF" w:rsidRPr="005D4A7D">
        <w:rPr>
          <w:rStyle w:val="Refdenotaalpie"/>
          <w:rFonts w:ascii="Arial" w:hAnsi="Arial"/>
          <w:sz w:val="24"/>
          <w:szCs w:val="24"/>
        </w:rPr>
        <w:footnoteReference w:id="20"/>
      </w:r>
      <w:r w:rsidRPr="005D4A7D">
        <w:rPr>
          <w:rFonts w:ascii="Arial" w:hAnsi="Arial" w:cs="Arial"/>
          <w:sz w:val="24"/>
          <w:szCs w:val="24"/>
        </w:rPr>
        <w:t>.</w:t>
      </w:r>
    </w:p>
    <w:p w:rsidR="00A741C5" w:rsidRPr="005D4A7D" w:rsidRDefault="00A741C5"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El agravio </w:t>
      </w:r>
      <w:r w:rsidR="005E4E76" w:rsidRPr="005D4A7D">
        <w:rPr>
          <w:rFonts w:ascii="Arial" w:hAnsi="Arial" w:cs="Arial"/>
          <w:sz w:val="24"/>
          <w:szCs w:val="24"/>
        </w:rPr>
        <w:t>se estima</w:t>
      </w:r>
      <w:r w:rsidRPr="005D4A7D">
        <w:rPr>
          <w:rFonts w:ascii="Arial" w:hAnsi="Arial" w:cs="Arial"/>
          <w:sz w:val="24"/>
          <w:szCs w:val="24"/>
        </w:rPr>
        <w:t xml:space="preserve"> </w:t>
      </w:r>
      <w:r w:rsidRPr="005D4A7D">
        <w:rPr>
          <w:rFonts w:ascii="Arial" w:hAnsi="Arial" w:cs="Arial"/>
          <w:b/>
          <w:sz w:val="24"/>
          <w:szCs w:val="24"/>
        </w:rPr>
        <w:t>in</w:t>
      </w:r>
      <w:r w:rsidR="00FC51FD" w:rsidRPr="005D4A7D">
        <w:rPr>
          <w:rFonts w:ascii="Arial" w:hAnsi="Arial" w:cs="Arial"/>
          <w:b/>
          <w:sz w:val="24"/>
          <w:szCs w:val="24"/>
        </w:rPr>
        <w:t>fundado</w:t>
      </w:r>
      <w:r w:rsidRPr="005D4A7D">
        <w:rPr>
          <w:rFonts w:ascii="Arial" w:hAnsi="Arial" w:cs="Arial"/>
          <w:sz w:val="24"/>
          <w:szCs w:val="24"/>
        </w:rPr>
        <w:t xml:space="preserve"> en atención a lo siguiente: </w:t>
      </w:r>
    </w:p>
    <w:p w:rsidR="00A741C5" w:rsidRPr="005D4A7D" w:rsidRDefault="00FC51FD" w:rsidP="0074744F">
      <w:pPr>
        <w:spacing w:before="120" w:after="120" w:line="360" w:lineRule="auto"/>
        <w:jc w:val="both"/>
        <w:rPr>
          <w:rFonts w:ascii="Arial" w:hAnsi="Arial" w:cs="Arial"/>
          <w:sz w:val="24"/>
          <w:szCs w:val="24"/>
        </w:rPr>
      </w:pPr>
      <w:r w:rsidRPr="005D4A7D">
        <w:rPr>
          <w:rFonts w:ascii="Arial" w:hAnsi="Arial" w:cs="Arial"/>
          <w:sz w:val="24"/>
          <w:szCs w:val="24"/>
        </w:rPr>
        <w:t>L</w:t>
      </w:r>
      <w:r w:rsidR="00A741C5" w:rsidRPr="005D4A7D">
        <w:rPr>
          <w:rFonts w:ascii="Arial" w:hAnsi="Arial" w:cs="Arial"/>
          <w:sz w:val="24"/>
          <w:szCs w:val="24"/>
        </w:rPr>
        <w:t>a Sala Especializada señala que la autoridad instructora</w:t>
      </w:r>
      <w:r w:rsidR="005E4E76" w:rsidRPr="005D4A7D">
        <w:rPr>
          <w:rFonts w:ascii="Arial" w:hAnsi="Arial" w:cs="Arial"/>
          <w:sz w:val="24"/>
          <w:szCs w:val="24"/>
        </w:rPr>
        <w:t>,</w:t>
      </w:r>
      <w:r w:rsidR="00A741C5" w:rsidRPr="005D4A7D">
        <w:rPr>
          <w:rFonts w:ascii="Arial" w:hAnsi="Arial" w:cs="Arial"/>
          <w:sz w:val="24"/>
          <w:szCs w:val="24"/>
        </w:rPr>
        <w:t xml:space="preserve"> el ocho de junio, estableció que existía </w:t>
      </w:r>
      <w:r w:rsidR="00A741C5" w:rsidRPr="005D4A7D">
        <w:rPr>
          <w:rFonts w:ascii="Arial" w:hAnsi="Arial" w:cs="Arial"/>
          <w:b/>
          <w:sz w:val="24"/>
          <w:szCs w:val="24"/>
        </w:rPr>
        <w:t>continencia de la causa</w:t>
      </w:r>
      <w:r w:rsidR="00A741C5" w:rsidRPr="005D4A7D">
        <w:rPr>
          <w:rFonts w:ascii="Arial" w:hAnsi="Arial" w:cs="Arial"/>
          <w:sz w:val="24"/>
          <w:szCs w:val="24"/>
        </w:rPr>
        <w:t xml:space="preserve"> respecto de</w:t>
      </w:r>
      <w:r w:rsidR="005E4E76" w:rsidRPr="005D4A7D">
        <w:rPr>
          <w:rFonts w:ascii="Arial" w:hAnsi="Arial" w:cs="Arial"/>
          <w:sz w:val="24"/>
          <w:szCs w:val="24"/>
        </w:rPr>
        <w:t xml:space="preserve">l promocional denunciado y pautado por el PRI y </w:t>
      </w:r>
      <w:r w:rsidR="00A741C5" w:rsidRPr="005D4A7D">
        <w:rPr>
          <w:rFonts w:ascii="Arial" w:hAnsi="Arial" w:cs="Arial"/>
          <w:sz w:val="24"/>
          <w:szCs w:val="24"/>
        </w:rPr>
        <w:t xml:space="preserve">la publicación en Twitter atribuida a José Enrique Doger Guerrero, pues el video difundido en esa red social, es coincidente con </w:t>
      </w:r>
      <w:r w:rsidR="005E4E76" w:rsidRPr="005D4A7D">
        <w:rPr>
          <w:rFonts w:ascii="Arial" w:hAnsi="Arial" w:cs="Arial"/>
          <w:sz w:val="24"/>
          <w:szCs w:val="24"/>
        </w:rPr>
        <w:t>la pauta referida.</w:t>
      </w:r>
      <w:r w:rsidR="00A741C5" w:rsidRPr="005D4A7D">
        <w:rPr>
          <w:rFonts w:ascii="Arial" w:hAnsi="Arial" w:cs="Arial"/>
          <w:sz w:val="24"/>
          <w:szCs w:val="24"/>
        </w:rPr>
        <w:t xml:space="preserve"> </w:t>
      </w:r>
    </w:p>
    <w:p w:rsidR="00A741C5" w:rsidRPr="005D4A7D" w:rsidRDefault="00A741C5" w:rsidP="0074744F">
      <w:pPr>
        <w:spacing w:before="120" w:after="120" w:line="360" w:lineRule="auto"/>
        <w:jc w:val="both"/>
        <w:rPr>
          <w:rFonts w:ascii="Arial" w:hAnsi="Arial" w:cs="Arial"/>
          <w:sz w:val="24"/>
          <w:szCs w:val="24"/>
        </w:rPr>
      </w:pPr>
      <w:r w:rsidRPr="005D4A7D">
        <w:rPr>
          <w:rFonts w:ascii="Arial" w:hAnsi="Arial" w:cs="Arial"/>
          <w:sz w:val="24"/>
          <w:szCs w:val="24"/>
        </w:rPr>
        <w:t>En este sentido, si bien, en principio, la competencia por la publicación en internet, respecto de cuestiones relativas a una elección local, son competencia local, al estar relacionadas con un hecho competencia federal, como lo es la pauta en radio y televisión, de la que se alega violencia política de género</w:t>
      </w:r>
      <w:r w:rsidRPr="005D4A7D">
        <w:rPr>
          <w:rStyle w:val="Refdenotaalpie"/>
          <w:rFonts w:ascii="Arial" w:hAnsi="Arial" w:cs="Arial"/>
          <w:sz w:val="24"/>
          <w:szCs w:val="24"/>
        </w:rPr>
        <w:footnoteReference w:id="21"/>
      </w:r>
      <w:r w:rsidRPr="005D4A7D">
        <w:rPr>
          <w:rFonts w:ascii="Arial" w:hAnsi="Arial" w:cs="Arial"/>
          <w:sz w:val="24"/>
          <w:szCs w:val="24"/>
        </w:rPr>
        <w:t xml:space="preserve">, ante la imposibilidad de resolver una cuestión sin atender la otra, </w:t>
      </w:r>
      <w:r w:rsidR="005E4E76" w:rsidRPr="005D4A7D">
        <w:rPr>
          <w:rFonts w:ascii="Arial" w:hAnsi="Arial" w:cs="Arial"/>
          <w:sz w:val="24"/>
          <w:szCs w:val="24"/>
        </w:rPr>
        <w:t xml:space="preserve">al tratarse del mismo contenido, </w:t>
      </w:r>
      <w:r w:rsidRPr="005D4A7D">
        <w:rPr>
          <w:rFonts w:ascii="Arial" w:hAnsi="Arial" w:cs="Arial"/>
          <w:sz w:val="24"/>
          <w:szCs w:val="24"/>
        </w:rPr>
        <w:t>la materia se torna inescindible, por lo que su conocimiento corresponde integralmente al ámbito federal</w:t>
      </w:r>
      <w:r w:rsidRPr="005D4A7D">
        <w:rPr>
          <w:rStyle w:val="Refdenotaalpie"/>
          <w:rFonts w:ascii="Arial" w:hAnsi="Arial" w:cs="Arial"/>
          <w:sz w:val="24"/>
          <w:szCs w:val="24"/>
        </w:rPr>
        <w:footnoteReference w:id="22"/>
      </w:r>
      <w:r w:rsidRPr="005D4A7D">
        <w:rPr>
          <w:rFonts w:ascii="Arial" w:hAnsi="Arial" w:cs="Arial"/>
          <w:sz w:val="24"/>
          <w:szCs w:val="24"/>
        </w:rPr>
        <w:t xml:space="preserve">. </w:t>
      </w:r>
    </w:p>
    <w:p w:rsidR="00FC51FD" w:rsidRPr="005D4A7D" w:rsidRDefault="00A741C5"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De esta manera, </w:t>
      </w:r>
      <w:r w:rsidR="00FC51FD" w:rsidRPr="005D4A7D">
        <w:rPr>
          <w:rFonts w:ascii="Arial" w:hAnsi="Arial" w:cs="Arial"/>
          <w:sz w:val="24"/>
          <w:szCs w:val="24"/>
        </w:rPr>
        <w:t xml:space="preserve">el agravio resulta </w:t>
      </w:r>
      <w:r w:rsidR="00FC51FD" w:rsidRPr="005D4A7D">
        <w:rPr>
          <w:rFonts w:ascii="Arial" w:hAnsi="Arial" w:cs="Arial"/>
          <w:b/>
          <w:sz w:val="24"/>
          <w:szCs w:val="24"/>
        </w:rPr>
        <w:t>infundado</w:t>
      </w:r>
      <w:r w:rsidR="00FC51FD" w:rsidRPr="005D4A7D">
        <w:rPr>
          <w:rFonts w:ascii="Arial" w:hAnsi="Arial" w:cs="Arial"/>
          <w:sz w:val="24"/>
          <w:szCs w:val="24"/>
        </w:rPr>
        <w:t>, porque tal como se ha señalado, en atención a la continencia de la causa, las infracciones denunciadas son competencia federal.</w:t>
      </w:r>
    </w:p>
    <w:p w:rsidR="00A741C5" w:rsidRPr="005D4A7D" w:rsidRDefault="00A741C5" w:rsidP="0074744F">
      <w:pPr>
        <w:spacing w:before="120" w:after="120" w:line="360" w:lineRule="auto"/>
        <w:jc w:val="both"/>
        <w:rPr>
          <w:rFonts w:ascii="Arial" w:hAnsi="Arial" w:cs="Arial"/>
          <w:b/>
          <w:sz w:val="24"/>
          <w:szCs w:val="24"/>
        </w:rPr>
      </w:pPr>
      <w:r w:rsidRPr="005D4A7D">
        <w:rPr>
          <w:rFonts w:ascii="Arial" w:hAnsi="Arial" w:cs="Arial"/>
          <w:b/>
          <w:sz w:val="24"/>
          <w:szCs w:val="24"/>
        </w:rPr>
        <w:t xml:space="preserve">b) Agravios relativos a la inexistencia de la infracción. </w:t>
      </w:r>
    </w:p>
    <w:p w:rsidR="008D34F1" w:rsidRPr="005D4A7D" w:rsidRDefault="008D34F1" w:rsidP="0074744F">
      <w:pPr>
        <w:spacing w:before="120" w:after="120" w:line="360" w:lineRule="auto"/>
        <w:jc w:val="both"/>
        <w:rPr>
          <w:rFonts w:ascii="Arial" w:hAnsi="Arial" w:cs="Arial"/>
          <w:sz w:val="24"/>
          <w:szCs w:val="24"/>
        </w:rPr>
      </w:pPr>
      <w:r w:rsidRPr="005D4A7D">
        <w:rPr>
          <w:rFonts w:ascii="Arial" w:hAnsi="Arial" w:cs="Arial"/>
          <w:sz w:val="24"/>
          <w:szCs w:val="24"/>
        </w:rPr>
        <w:lastRenderedPageBreak/>
        <w:t>Los recurrentes señalan que el promocional denunciado constituye una crítica a la intención de los cónyuges, de que la entonces candidata, suceda a su esposo en el cargo, pues busca generar “</w:t>
      </w:r>
      <w:r w:rsidRPr="005D4A7D">
        <w:rPr>
          <w:rFonts w:ascii="Arial" w:hAnsi="Arial" w:cs="Arial"/>
          <w:i/>
          <w:sz w:val="24"/>
          <w:szCs w:val="24"/>
        </w:rPr>
        <w:t>una opinión respecto a la continuidad de poder que representa la candidata</w:t>
      </w:r>
      <w:r w:rsidRPr="005D4A7D">
        <w:rPr>
          <w:rFonts w:ascii="Arial" w:hAnsi="Arial" w:cs="Arial"/>
          <w:sz w:val="24"/>
          <w:szCs w:val="24"/>
        </w:rPr>
        <w:t>”, por lo que no se trata de violencia política de género.</w:t>
      </w:r>
    </w:p>
    <w:p w:rsidR="00A741C5" w:rsidRPr="005D4A7D" w:rsidRDefault="00A741C5"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Estos agravios son </w:t>
      </w:r>
      <w:r w:rsidRPr="005D4A7D">
        <w:rPr>
          <w:rFonts w:ascii="Arial" w:hAnsi="Arial" w:cs="Arial"/>
          <w:b/>
          <w:sz w:val="24"/>
          <w:szCs w:val="24"/>
        </w:rPr>
        <w:t>inoperantes</w:t>
      </w:r>
      <w:r w:rsidRPr="005D4A7D">
        <w:rPr>
          <w:rFonts w:ascii="Arial" w:hAnsi="Arial" w:cs="Arial"/>
          <w:sz w:val="24"/>
          <w:szCs w:val="24"/>
        </w:rPr>
        <w:t xml:space="preserve"> en atención a lo siguiente: </w:t>
      </w:r>
    </w:p>
    <w:p w:rsidR="00A741C5" w:rsidRPr="005D4A7D" w:rsidRDefault="00A741C5"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Los recurrentes no controvierten las siguientes consideraciones de la responsable: </w:t>
      </w:r>
    </w:p>
    <w:p w:rsidR="00A741C5" w:rsidRPr="005D4A7D" w:rsidRDefault="00A741C5" w:rsidP="0074744F">
      <w:pPr>
        <w:pStyle w:val="Prrafodelista"/>
        <w:numPr>
          <w:ilvl w:val="0"/>
          <w:numId w:val="34"/>
        </w:numPr>
        <w:spacing w:before="120" w:after="120" w:line="360" w:lineRule="auto"/>
        <w:ind w:left="0" w:firstLine="0"/>
        <w:contextualSpacing w:val="0"/>
        <w:jc w:val="both"/>
        <w:rPr>
          <w:rFonts w:ascii="Arial" w:hAnsi="Arial" w:cs="Arial"/>
          <w:sz w:val="24"/>
          <w:szCs w:val="24"/>
        </w:rPr>
      </w:pPr>
      <w:r w:rsidRPr="005D4A7D">
        <w:rPr>
          <w:rFonts w:ascii="Arial" w:hAnsi="Arial" w:cs="Arial"/>
          <w:sz w:val="24"/>
          <w:szCs w:val="24"/>
        </w:rPr>
        <w:t>Se utiliza un contexto cargado de estereotipos sexistas (cuentos de hadas), para reproducir prejuicios y</w:t>
      </w:r>
      <w:r w:rsidR="002157D3" w:rsidRPr="005D4A7D">
        <w:rPr>
          <w:rFonts w:ascii="Arial" w:hAnsi="Arial" w:cs="Arial"/>
          <w:sz w:val="24"/>
          <w:szCs w:val="24"/>
        </w:rPr>
        <w:t xml:space="preserve"> esquemas de</w:t>
      </w:r>
      <w:r w:rsidRPr="005D4A7D">
        <w:rPr>
          <w:rFonts w:ascii="Arial" w:hAnsi="Arial" w:cs="Arial"/>
          <w:sz w:val="24"/>
          <w:szCs w:val="24"/>
        </w:rPr>
        <w:t xml:space="preserve"> discriminación.</w:t>
      </w:r>
      <w:r w:rsidR="006062AF" w:rsidRPr="005D4A7D">
        <w:rPr>
          <w:rFonts w:ascii="Arial" w:hAnsi="Arial" w:cs="Arial"/>
          <w:sz w:val="24"/>
          <w:szCs w:val="24"/>
        </w:rPr>
        <w:t xml:space="preserve"> </w:t>
      </w:r>
      <w:r w:rsidRPr="005D4A7D">
        <w:rPr>
          <w:rFonts w:ascii="Arial" w:hAnsi="Arial" w:cs="Arial"/>
          <w:sz w:val="24"/>
          <w:szCs w:val="24"/>
        </w:rPr>
        <w:t>Los personajes estereotipados de las princesas suelen ser presentadas con poc</w:t>
      </w:r>
      <w:r w:rsidR="002157D3" w:rsidRPr="005D4A7D">
        <w:rPr>
          <w:rFonts w:ascii="Arial" w:hAnsi="Arial" w:cs="Arial"/>
          <w:sz w:val="24"/>
          <w:szCs w:val="24"/>
        </w:rPr>
        <w:t>a autonomía y como dependientes</w:t>
      </w:r>
      <w:r w:rsidRPr="005D4A7D">
        <w:rPr>
          <w:rFonts w:ascii="Arial" w:hAnsi="Arial" w:cs="Arial"/>
          <w:sz w:val="24"/>
          <w:szCs w:val="24"/>
        </w:rPr>
        <w:t>.</w:t>
      </w:r>
    </w:p>
    <w:p w:rsidR="00A741C5" w:rsidRPr="005D4A7D" w:rsidRDefault="00A741C5" w:rsidP="0074744F">
      <w:pPr>
        <w:pStyle w:val="Prrafodelista"/>
        <w:numPr>
          <w:ilvl w:val="0"/>
          <w:numId w:val="34"/>
        </w:numPr>
        <w:spacing w:before="120" w:after="120" w:line="360" w:lineRule="auto"/>
        <w:ind w:left="0" w:firstLine="0"/>
        <w:contextualSpacing w:val="0"/>
        <w:jc w:val="both"/>
        <w:rPr>
          <w:rFonts w:ascii="Arial" w:hAnsi="Arial" w:cs="Arial"/>
          <w:sz w:val="24"/>
          <w:szCs w:val="24"/>
        </w:rPr>
      </w:pPr>
      <w:r w:rsidRPr="005D4A7D">
        <w:rPr>
          <w:rFonts w:ascii="Arial" w:hAnsi="Arial" w:cs="Arial"/>
          <w:sz w:val="24"/>
          <w:szCs w:val="24"/>
        </w:rPr>
        <w:t>Se coloca a la mujer en una posición superficial, frente a un espejo (caracterizado por un hombre), donde realiza ademanes estereotipados como la mano en la cintura a manera de reclamo, golpes en el piso con los tacones (berrinches), con el único objetivo de “convencer” a la figura masculina respecto de su petición.</w:t>
      </w:r>
    </w:p>
    <w:p w:rsidR="00A741C5" w:rsidRPr="005D4A7D" w:rsidRDefault="00A741C5" w:rsidP="0074744F">
      <w:pPr>
        <w:pStyle w:val="Prrafodelista"/>
        <w:numPr>
          <w:ilvl w:val="0"/>
          <w:numId w:val="34"/>
        </w:numPr>
        <w:spacing w:before="120" w:after="120" w:line="360" w:lineRule="auto"/>
        <w:ind w:left="0" w:firstLine="0"/>
        <w:contextualSpacing w:val="0"/>
        <w:jc w:val="both"/>
        <w:rPr>
          <w:rFonts w:ascii="Arial" w:hAnsi="Arial" w:cs="Arial"/>
          <w:i/>
          <w:sz w:val="24"/>
          <w:szCs w:val="24"/>
        </w:rPr>
      </w:pPr>
      <w:r w:rsidRPr="005D4A7D">
        <w:rPr>
          <w:rFonts w:ascii="Arial" w:hAnsi="Arial" w:cs="Arial"/>
          <w:sz w:val="24"/>
          <w:szCs w:val="24"/>
        </w:rPr>
        <w:t>Se realiza el ejercicio d</w:t>
      </w:r>
      <w:r w:rsidR="002157D3" w:rsidRPr="005D4A7D">
        <w:rPr>
          <w:rFonts w:ascii="Arial" w:hAnsi="Arial" w:cs="Arial"/>
          <w:sz w:val="24"/>
          <w:szCs w:val="24"/>
        </w:rPr>
        <w:t xml:space="preserve">e inversión de roles y lenguaje: </w:t>
      </w:r>
      <w:r w:rsidRPr="005D4A7D">
        <w:rPr>
          <w:rFonts w:ascii="Arial" w:hAnsi="Arial" w:cs="Arial"/>
          <w:i/>
          <w:sz w:val="24"/>
          <w:szCs w:val="24"/>
        </w:rPr>
        <w:t>“Imaginemos el mismo spot de televisión, un hombre, dentro de un mundo de fantasía, preguntándole a un espejo mágico, quien será el próximo gobernador, al escuchar que el puesto lo ocupara una mujer, el hombre hace berrinche para conseguir lo que quiere, hasta que la mujer le contesta: tú mi vida.. Tú”.</w:t>
      </w:r>
    </w:p>
    <w:p w:rsidR="00A741C5" w:rsidRPr="005D4A7D" w:rsidRDefault="00A741C5" w:rsidP="0074744F">
      <w:pPr>
        <w:pStyle w:val="Prrafodelista"/>
        <w:spacing w:before="120" w:after="120" w:line="360" w:lineRule="auto"/>
        <w:ind w:left="0"/>
        <w:contextualSpacing w:val="0"/>
        <w:jc w:val="both"/>
        <w:rPr>
          <w:rFonts w:ascii="Arial" w:hAnsi="Arial" w:cs="Arial"/>
          <w:sz w:val="24"/>
          <w:szCs w:val="24"/>
        </w:rPr>
      </w:pPr>
      <w:r w:rsidRPr="005D4A7D">
        <w:rPr>
          <w:rFonts w:ascii="Arial" w:hAnsi="Arial" w:cs="Arial"/>
          <w:sz w:val="24"/>
          <w:szCs w:val="24"/>
        </w:rPr>
        <w:t>Este ejercicio o cambio de roles, no es factible en el contexto real y cultural en el que vivimos, porque no es una forma comúnmente aceptada</w:t>
      </w:r>
      <w:r w:rsidR="002157D3" w:rsidRPr="005D4A7D">
        <w:rPr>
          <w:rFonts w:ascii="Arial" w:hAnsi="Arial" w:cs="Arial"/>
          <w:sz w:val="24"/>
          <w:szCs w:val="24"/>
        </w:rPr>
        <w:t xml:space="preserve"> para referirnos a lo masculino</w:t>
      </w:r>
      <w:r w:rsidRPr="005D4A7D">
        <w:rPr>
          <w:rFonts w:ascii="Arial" w:hAnsi="Arial" w:cs="Arial"/>
          <w:sz w:val="24"/>
          <w:szCs w:val="24"/>
        </w:rPr>
        <w:t>.</w:t>
      </w:r>
    </w:p>
    <w:p w:rsidR="00A741C5" w:rsidRPr="005D4A7D" w:rsidRDefault="00A741C5" w:rsidP="0074744F">
      <w:pPr>
        <w:pStyle w:val="Prrafodelista"/>
        <w:numPr>
          <w:ilvl w:val="0"/>
          <w:numId w:val="34"/>
        </w:numPr>
        <w:spacing w:before="120" w:after="120" w:line="360" w:lineRule="auto"/>
        <w:ind w:left="0" w:firstLine="0"/>
        <w:contextualSpacing w:val="0"/>
        <w:jc w:val="both"/>
        <w:rPr>
          <w:rFonts w:ascii="Arial" w:hAnsi="Arial" w:cs="Arial"/>
          <w:sz w:val="24"/>
          <w:szCs w:val="24"/>
        </w:rPr>
      </w:pPr>
      <w:r w:rsidRPr="005D4A7D">
        <w:rPr>
          <w:rFonts w:ascii="Arial" w:hAnsi="Arial" w:cs="Arial"/>
          <w:sz w:val="24"/>
          <w:szCs w:val="24"/>
        </w:rPr>
        <w:t xml:space="preserve">El promocional denunciado contiene elementos claros que constituyen estereotipos </w:t>
      </w:r>
      <w:r w:rsidR="00905467" w:rsidRPr="005D4A7D">
        <w:rPr>
          <w:rFonts w:ascii="Arial" w:hAnsi="Arial" w:cs="Arial"/>
          <w:sz w:val="24"/>
          <w:szCs w:val="24"/>
        </w:rPr>
        <w:t xml:space="preserve">negativos </w:t>
      </w:r>
      <w:r w:rsidRPr="005D4A7D">
        <w:rPr>
          <w:rFonts w:ascii="Arial" w:hAnsi="Arial" w:cs="Arial"/>
          <w:sz w:val="24"/>
          <w:szCs w:val="24"/>
        </w:rPr>
        <w:t>de género, porque esta forma de comunicar (a través de la escenificación de un cuento), muestra a las mujeres como superficiales, berrinchudas, dependientes y subordinadas al hombre; en el caso, a su cónyuge, sin capacidad individual para ser candidata a un cargo de elección popular y ejercerlo por sí sola.</w:t>
      </w:r>
    </w:p>
    <w:p w:rsidR="00A741C5" w:rsidRPr="005D4A7D" w:rsidRDefault="00A741C5" w:rsidP="0074744F">
      <w:pPr>
        <w:pStyle w:val="Prrafodelista"/>
        <w:numPr>
          <w:ilvl w:val="0"/>
          <w:numId w:val="34"/>
        </w:numPr>
        <w:spacing w:before="120" w:after="120" w:line="360" w:lineRule="auto"/>
        <w:ind w:left="0" w:firstLine="0"/>
        <w:contextualSpacing w:val="0"/>
        <w:jc w:val="both"/>
        <w:rPr>
          <w:rFonts w:ascii="Arial" w:hAnsi="Arial" w:cs="Arial"/>
          <w:sz w:val="24"/>
          <w:szCs w:val="24"/>
        </w:rPr>
      </w:pPr>
      <w:r w:rsidRPr="005D4A7D">
        <w:rPr>
          <w:rFonts w:ascii="Arial" w:hAnsi="Arial" w:cs="Arial"/>
          <w:sz w:val="24"/>
          <w:szCs w:val="24"/>
        </w:rPr>
        <w:lastRenderedPageBreak/>
        <w:t xml:space="preserve">El spot contiene una pregunta en sentido masculino aun y cuando la hace una mujer: </w:t>
      </w:r>
      <w:r w:rsidRPr="005D4A7D">
        <w:rPr>
          <w:rFonts w:ascii="Arial" w:hAnsi="Arial" w:cs="Arial"/>
          <w:i/>
          <w:sz w:val="24"/>
          <w:szCs w:val="24"/>
        </w:rPr>
        <w:t xml:space="preserve">¿Quién va a ser el nuevo </w:t>
      </w:r>
      <w:r w:rsidRPr="005D4A7D">
        <w:rPr>
          <w:rFonts w:ascii="Arial" w:hAnsi="Arial" w:cs="Arial"/>
          <w:b/>
          <w:i/>
          <w:sz w:val="24"/>
          <w:szCs w:val="24"/>
        </w:rPr>
        <w:t>gobernador</w:t>
      </w:r>
      <w:r w:rsidRPr="005D4A7D">
        <w:rPr>
          <w:rFonts w:ascii="Arial" w:hAnsi="Arial" w:cs="Arial"/>
          <w:i/>
          <w:sz w:val="24"/>
          <w:szCs w:val="24"/>
        </w:rPr>
        <w:t xml:space="preserve"> de Puebla?</w:t>
      </w:r>
      <w:r w:rsidRPr="005D4A7D">
        <w:rPr>
          <w:rFonts w:ascii="Arial" w:hAnsi="Arial" w:cs="Arial"/>
          <w:sz w:val="24"/>
          <w:szCs w:val="24"/>
        </w:rPr>
        <w:t>, frase que transmite de forma directa, discriminatoria y desigual un estereotipo</w:t>
      </w:r>
      <w:r w:rsidR="005E4E76" w:rsidRPr="005D4A7D">
        <w:rPr>
          <w:rFonts w:ascii="Arial" w:hAnsi="Arial" w:cs="Arial"/>
          <w:sz w:val="24"/>
          <w:szCs w:val="24"/>
        </w:rPr>
        <w:t>;</w:t>
      </w:r>
      <w:r w:rsidRPr="005D4A7D">
        <w:rPr>
          <w:rFonts w:ascii="Arial" w:hAnsi="Arial" w:cs="Arial"/>
          <w:sz w:val="24"/>
          <w:szCs w:val="24"/>
        </w:rPr>
        <w:t xml:space="preserve"> negando con ello el lugar que ocupan las mujeres, sin dar la opción que se elija a una </w:t>
      </w:r>
      <w:r w:rsidR="008F202C" w:rsidRPr="005D4A7D">
        <w:rPr>
          <w:rFonts w:ascii="Arial" w:hAnsi="Arial" w:cs="Arial"/>
          <w:b/>
          <w:sz w:val="24"/>
          <w:szCs w:val="24"/>
        </w:rPr>
        <w:t>gobernadora</w:t>
      </w:r>
      <w:r w:rsidRPr="005D4A7D">
        <w:rPr>
          <w:rFonts w:ascii="Arial" w:hAnsi="Arial" w:cs="Arial"/>
          <w:sz w:val="24"/>
          <w:szCs w:val="24"/>
        </w:rPr>
        <w:t>.</w:t>
      </w:r>
    </w:p>
    <w:p w:rsidR="00A741C5" w:rsidRPr="005D4A7D" w:rsidRDefault="00A741C5" w:rsidP="0074744F">
      <w:pPr>
        <w:pStyle w:val="Prrafodelista"/>
        <w:numPr>
          <w:ilvl w:val="0"/>
          <w:numId w:val="34"/>
        </w:numPr>
        <w:spacing w:before="120" w:after="120" w:line="360" w:lineRule="auto"/>
        <w:ind w:left="0" w:firstLine="0"/>
        <w:contextualSpacing w:val="0"/>
        <w:jc w:val="both"/>
        <w:rPr>
          <w:rFonts w:ascii="Arial" w:hAnsi="Arial" w:cs="Arial"/>
          <w:sz w:val="24"/>
          <w:szCs w:val="24"/>
        </w:rPr>
      </w:pPr>
      <w:r w:rsidRPr="005D4A7D">
        <w:rPr>
          <w:rFonts w:ascii="Arial" w:hAnsi="Arial" w:cs="Arial"/>
          <w:sz w:val="24"/>
          <w:szCs w:val="24"/>
        </w:rPr>
        <w:t xml:space="preserve">Con las frases </w:t>
      </w:r>
      <w:r w:rsidRPr="005D4A7D">
        <w:rPr>
          <w:rFonts w:ascii="Arial" w:hAnsi="Arial" w:cs="Arial"/>
          <w:i/>
          <w:sz w:val="24"/>
          <w:szCs w:val="24"/>
        </w:rPr>
        <w:t>“votar por Martha Erika es reelegir a Moreno Valle” y “que no te platiquen cuentos”,</w:t>
      </w:r>
      <w:r w:rsidRPr="005D4A7D">
        <w:rPr>
          <w:rFonts w:ascii="Arial" w:hAnsi="Arial" w:cs="Arial"/>
          <w:sz w:val="24"/>
          <w:szCs w:val="24"/>
        </w:rPr>
        <w:t xml:space="preserve"> se genera la idea que emitir un voto a favor de la candidata es igual a votar por Rafael Moreno Valle; por lo que, por el solo hecho de ser mujer y esposa, no podría asumir el cargo.</w:t>
      </w:r>
    </w:p>
    <w:p w:rsidR="00A741C5" w:rsidRPr="005D4A7D" w:rsidRDefault="00A741C5" w:rsidP="0074744F">
      <w:pPr>
        <w:pStyle w:val="Prrafodelista"/>
        <w:numPr>
          <w:ilvl w:val="0"/>
          <w:numId w:val="34"/>
        </w:numPr>
        <w:spacing w:before="120" w:after="120" w:line="360" w:lineRule="auto"/>
        <w:ind w:left="0" w:firstLine="0"/>
        <w:contextualSpacing w:val="0"/>
        <w:jc w:val="both"/>
        <w:rPr>
          <w:rFonts w:ascii="Arial" w:hAnsi="Arial" w:cs="Arial"/>
          <w:sz w:val="24"/>
          <w:szCs w:val="24"/>
        </w:rPr>
      </w:pPr>
      <w:r w:rsidRPr="005D4A7D">
        <w:rPr>
          <w:rFonts w:ascii="Arial" w:hAnsi="Arial" w:cs="Arial"/>
          <w:sz w:val="24"/>
          <w:szCs w:val="24"/>
        </w:rPr>
        <w:t>Los partidos políticos, tienen el deber de contribuir a revertir y transformar las relaciones tradicionales de dominación entre hombres y mujeres, y evitar que la sociedad conciba como algo común, minimizar las cualidades y capacidades de una candidata, por su relación conyugal.</w:t>
      </w:r>
    </w:p>
    <w:p w:rsidR="00A741C5" w:rsidRPr="005D4A7D" w:rsidRDefault="00A741C5"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Tales consideraciones de la responsable </w:t>
      </w:r>
      <w:r w:rsidRPr="005D4A7D">
        <w:rPr>
          <w:rFonts w:ascii="Arial" w:hAnsi="Arial" w:cs="Arial"/>
          <w:b/>
          <w:sz w:val="24"/>
          <w:szCs w:val="24"/>
        </w:rPr>
        <w:t>no son combatidas frontalmente</w:t>
      </w:r>
      <w:r w:rsidRPr="005D4A7D">
        <w:rPr>
          <w:rFonts w:ascii="Arial" w:hAnsi="Arial" w:cs="Arial"/>
          <w:sz w:val="24"/>
          <w:szCs w:val="24"/>
        </w:rPr>
        <w:t xml:space="preserve"> por los recurrentes, quienes se limitan a señalar que las expresiones </w:t>
      </w:r>
      <w:r w:rsidR="008E3AC7" w:rsidRPr="005D4A7D">
        <w:rPr>
          <w:rFonts w:ascii="Arial" w:hAnsi="Arial" w:cs="Arial"/>
          <w:sz w:val="24"/>
          <w:szCs w:val="24"/>
        </w:rPr>
        <w:t>del promocional son una crítica a la excandidata</w:t>
      </w:r>
      <w:r w:rsidR="008E3AC7" w:rsidRPr="005D4A7D">
        <w:rPr>
          <w:rStyle w:val="Refdenotaalpie"/>
          <w:rFonts w:ascii="Arial" w:hAnsi="Arial"/>
          <w:sz w:val="24"/>
          <w:szCs w:val="24"/>
        </w:rPr>
        <w:footnoteReference w:id="23"/>
      </w:r>
      <w:r w:rsidR="00AA3E89" w:rsidRPr="005D4A7D">
        <w:rPr>
          <w:rFonts w:ascii="Arial" w:hAnsi="Arial" w:cs="Arial"/>
          <w:sz w:val="24"/>
          <w:szCs w:val="24"/>
        </w:rPr>
        <w:t>, s</w:t>
      </w:r>
      <w:r w:rsidRPr="005D4A7D">
        <w:rPr>
          <w:rFonts w:ascii="Arial" w:hAnsi="Arial" w:cs="Arial"/>
          <w:sz w:val="24"/>
          <w:szCs w:val="24"/>
        </w:rPr>
        <w:t xml:space="preserve">in embargo, no dan razones para establecer que lo señalado por la responsable es incorrecto y que lo que ellos afirman es lo que debe prevalecer. </w:t>
      </w:r>
    </w:p>
    <w:p w:rsidR="00A741C5" w:rsidRPr="005D4A7D" w:rsidRDefault="00A741C5" w:rsidP="0074744F">
      <w:pPr>
        <w:spacing w:before="120" w:after="120" w:line="360" w:lineRule="auto"/>
        <w:jc w:val="both"/>
        <w:rPr>
          <w:rFonts w:ascii="Arial" w:hAnsi="Arial" w:cs="Arial"/>
          <w:i/>
          <w:sz w:val="24"/>
          <w:szCs w:val="24"/>
        </w:rPr>
      </w:pPr>
      <w:r w:rsidRPr="005D4A7D">
        <w:rPr>
          <w:rFonts w:ascii="Arial" w:hAnsi="Arial" w:cs="Arial"/>
          <w:sz w:val="24"/>
          <w:szCs w:val="24"/>
        </w:rPr>
        <w:t xml:space="preserve">De esta manera, no basta que se afirme que no se tomó en cuenta la relación conyugal entre la otrora candidata y el exgobernador, o que se busca mostrar la ideología de Martha Erika Alonso Hidalgo, pues ello se pudo haber realizado sin utilizar, como lo señala responsable, estereotipos </w:t>
      </w:r>
      <w:r w:rsidR="00905467" w:rsidRPr="005D4A7D">
        <w:rPr>
          <w:rFonts w:ascii="Arial" w:hAnsi="Arial" w:cs="Arial"/>
          <w:sz w:val="24"/>
          <w:szCs w:val="24"/>
        </w:rPr>
        <w:t xml:space="preserve">discriminatorios </w:t>
      </w:r>
      <w:r w:rsidRPr="005D4A7D">
        <w:rPr>
          <w:rFonts w:ascii="Arial" w:hAnsi="Arial" w:cs="Arial"/>
          <w:sz w:val="24"/>
          <w:szCs w:val="24"/>
        </w:rPr>
        <w:t>contenidos en el cuento (</w:t>
      </w:r>
      <w:r w:rsidR="00DD673B" w:rsidRPr="005D4A7D">
        <w:rPr>
          <w:rFonts w:ascii="Arial" w:hAnsi="Arial" w:cs="Arial"/>
          <w:sz w:val="24"/>
          <w:szCs w:val="24"/>
        </w:rPr>
        <w:t>mujer berrinchuda y enojona</w:t>
      </w:r>
      <w:r w:rsidRPr="005D4A7D">
        <w:rPr>
          <w:rFonts w:ascii="Arial" w:hAnsi="Arial" w:cs="Arial"/>
          <w:sz w:val="24"/>
          <w:szCs w:val="24"/>
        </w:rPr>
        <w:t>), y la decisión del “espejo</w:t>
      </w:r>
      <w:r w:rsidR="00DD673B" w:rsidRPr="005D4A7D">
        <w:rPr>
          <w:rFonts w:ascii="Arial" w:hAnsi="Arial" w:cs="Arial"/>
          <w:sz w:val="24"/>
          <w:szCs w:val="24"/>
        </w:rPr>
        <w:t>-marido</w:t>
      </w:r>
      <w:r w:rsidRPr="005D4A7D">
        <w:rPr>
          <w:rFonts w:ascii="Arial" w:hAnsi="Arial" w:cs="Arial"/>
          <w:sz w:val="24"/>
          <w:szCs w:val="24"/>
        </w:rPr>
        <w:t>”</w:t>
      </w:r>
      <w:r w:rsidR="005E5E71" w:rsidRPr="005D4A7D">
        <w:rPr>
          <w:rFonts w:ascii="Arial" w:hAnsi="Arial" w:cs="Arial"/>
          <w:sz w:val="24"/>
          <w:szCs w:val="24"/>
        </w:rPr>
        <w:t xml:space="preserve">, quien “muestra” la situación: </w:t>
      </w:r>
      <w:r w:rsidRPr="005D4A7D">
        <w:rPr>
          <w:rFonts w:ascii="Arial" w:hAnsi="Arial" w:cs="Arial"/>
          <w:sz w:val="24"/>
          <w:szCs w:val="24"/>
        </w:rPr>
        <w:t xml:space="preserve">que de ganar la candidata, entonces gobernaría él, porque </w:t>
      </w:r>
      <w:r w:rsidRPr="005D4A7D">
        <w:rPr>
          <w:rFonts w:ascii="Arial" w:hAnsi="Arial" w:cs="Arial"/>
          <w:i/>
          <w:sz w:val="24"/>
          <w:szCs w:val="24"/>
        </w:rPr>
        <w:t>“votar por Martha Erika es reelegir a Moreno Valle</w:t>
      </w:r>
      <w:r w:rsidR="00DD673B" w:rsidRPr="005D4A7D">
        <w:rPr>
          <w:rFonts w:ascii="Arial" w:hAnsi="Arial" w:cs="Arial"/>
          <w:i/>
          <w:sz w:val="24"/>
          <w:szCs w:val="24"/>
        </w:rPr>
        <w:t>”</w:t>
      </w:r>
      <w:r w:rsidRPr="005D4A7D">
        <w:rPr>
          <w:rFonts w:ascii="Arial" w:hAnsi="Arial" w:cs="Arial"/>
          <w:i/>
          <w:sz w:val="24"/>
          <w:szCs w:val="24"/>
        </w:rPr>
        <w:t>.</w:t>
      </w:r>
    </w:p>
    <w:p w:rsidR="00C6775C" w:rsidRPr="005D4A7D" w:rsidRDefault="00120B7C"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En este sentido, tampoco resulta suficiente que, estando subsistentes las razones expuestas de la responsable, se alegue que los dichos en contra </w:t>
      </w:r>
      <w:r w:rsidRPr="005D4A7D">
        <w:rPr>
          <w:rFonts w:ascii="Arial" w:hAnsi="Arial" w:cs="Arial"/>
          <w:sz w:val="24"/>
          <w:szCs w:val="24"/>
        </w:rPr>
        <w:lastRenderedPageBreak/>
        <w:t>de alguna candidata no vulneran por ese sólo hecho sus derechos políticos, pues tal conclusión podría ubicarla en una situación de victimización que niega su capacidad de debatir en la contienda electoral</w:t>
      </w:r>
      <w:r w:rsidR="00C6775C" w:rsidRPr="005D4A7D">
        <w:rPr>
          <w:rFonts w:ascii="Arial" w:hAnsi="Arial" w:cs="Arial"/>
          <w:sz w:val="24"/>
          <w:szCs w:val="24"/>
        </w:rPr>
        <w:t xml:space="preserve">. </w:t>
      </w:r>
    </w:p>
    <w:p w:rsidR="00120B7C" w:rsidRPr="005D4A7D" w:rsidRDefault="00C6775C"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Lo anterior es así, </w:t>
      </w:r>
      <w:r w:rsidR="00120B7C" w:rsidRPr="005D4A7D">
        <w:rPr>
          <w:rFonts w:ascii="Arial" w:hAnsi="Arial" w:cs="Arial"/>
          <w:sz w:val="24"/>
          <w:szCs w:val="24"/>
        </w:rPr>
        <w:t>pues como ha quedado establecido, la calificación de que no se trata de meros dichos (neutros) ha quedado firme, por lo que no estaríamos en el supuesto que refieren los recurrentes</w:t>
      </w:r>
      <w:r w:rsidRPr="005D4A7D">
        <w:rPr>
          <w:rFonts w:ascii="Arial" w:hAnsi="Arial" w:cs="Arial"/>
          <w:sz w:val="24"/>
          <w:szCs w:val="24"/>
        </w:rPr>
        <w:t>, lo que también muestra la inoperancia del argumento, dirigido a una situación diversa a la que rige el presente asunto.</w:t>
      </w:r>
    </w:p>
    <w:p w:rsidR="00510CD3" w:rsidRPr="005D4A7D" w:rsidRDefault="005A4AA9"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En este sentido, al no haberse controvertido todas las consideraciones y fundamentos del fallo reclamado, éstas continúan rigiendo el sentido de la resolución combatida, de ahí que los agravios se estimen </w:t>
      </w:r>
      <w:r w:rsidR="008E3AC7" w:rsidRPr="005D4A7D">
        <w:rPr>
          <w:rFonts w:ascii="Arial" w:hAnsi="Arial" w:cs="Arial"/>
          <w:sz w:val="24"/>
          <w:szCs w:val="24"/>
        </w:rPr>
        <w:t>inoperantes</w:t>
      </w:r>
      <w:r w:rsidRPr="005D4A7D">
        <w:rPr>
          <w:rStyle w:val="Refdenotaalpie"/>
          <w:rFonts w:ascii="Arial" w:hAnsi="Arial"/>
          <w:sz w:val="24"/>
          <w:szCs w:val="24"/>
        </w:rPr>
        <w:footnoteReference w:id="24"/>
      </w:r>
      <w:r w:rsidR="008E3AC7" w:rsidRPr="005D4A7D">
        <w:rPr>
          <w:rFonts w:ascii="Arial" w:hAnsi="Arial" w:cs="Arial"/>
          <w:sz w:val="24"/>
          <w:szCs w:val="24"/>
        </w:rPr>
        <w:t>.</w:t>
      </w:r>
    </w:p>
    <w:p w:rsidR="00510CD3" w:rsidRPr="005D4A7D" w:rsidRDefault="00510CD3" w:rsidP="0074744F">
      <w:pPr>
        <w:spacing w:before="120" w:after="120" w:line="360" w:lineRule="auto"/>
        <w:jc w:val="both"/>
        <w:rPr>
          <w:rFonts w:ascii="Arial" w:hAnsi="Arial" w:cs="Arial"/>
          <w:b/>
          <w:sz w:val="24"/>
          <w:szCs w:val="24"/>
        </w:rPr>
      </w:pPr>
      <w:r w:rsidRPr="005D4A7D">
        <w:rPr>
          <w:rFonts w:ascii="Arial" w:hAnsi="Arial" w:cs="Arial"/>
          <w:b/>
          <w:sz w:val="24"/>
          <w:szCs w:val="24"/>
        </w:rPr>
        <w:t>c) Agravio relativo a que se trata de libertad de expresión.</w:t>
      </w:r>
    </w:p>
    <w:p w:rsidR="00510CD3" w:rsidRPr="005D4A7D" w:rsidRDefault="00510CD3"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Los recurrentes señalan que el contenido del promocional denunciado es parte de su </w:t>
      </w:r>
      <w:r w:rsidR="00A741C5" w:rsidRPr="005D4A7D">
        <w:rPr>
          <w:rFonts w:ascii="Arial" w:hAnsi="Arial" w:cs="Arial"/>
          <w:sz w:val="24"/>
          <w:szCs w:val="24"/>
        </w:rPr>
        <w:t>libertad de expresión</w:t>
      </w:r>
      <w:r w:rsidRPr="005D4A7D">
        <w:rPr>
          <w:rFonts w:ascii="Arial" w:hAnsi="Arial" w:cs="Arial"/>
          <w:sz w:val="24"/>
          <w:szCs w:val="24"/>
        </w:rPr>
        <w:t xml:space="preserve">. </w:t>
      </w:r>
    </w:p>
    <w:p w:rsidR="00435ED8" w:rsidRPr="005D4A7D" w:rsidRDefault="00510CD3"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El agravio se estima </w:t>
      </w:r>
      <w:r w:rsidRPr="005D4A7D">
        <w:rPr>
          <w:rFonts w:ascii="Arial" w:hAnsi="Arial" w:cs="Arial"/>
          <w:b/>
          <w:sz w:val="24"/>
          <w:szCs w:val="24"/>
        </w:rPr>
        <w:t>infundado</w:t>
      </w:r>
      <w:r w:rsidRPr="005D4A7D">
        <w:rPr>
          <w:rFonts w:ascii="Arial" w:hAnsi="Arial" w:cs="Arial"/>
          <w:sz w:val="24"/>
          <w:szCs w:val="24"/>
        </w:rPr>
        <w:t xml:space="preserve">, dado que la libertad de expresión, </w:t>
      </w:r>
      <w:r w:rsidR="00A741C5" w:rsidRPr="005D4A7D">
        <w:rPr>
          <w:rFonts w:ascii="Arial" w:hAnsi="Arial" w:cs="Arial"/>
          <w:sz w:val="24"/>
          <w:szCs w:val="24"/>
        </w:rPr>
        <w:t>entre otros límites</w:t>
      </w:r>
      <w:r w:rsidRPr="005D4A7D">
        <w:rPr>
          <w:rFonts w:ascii="Arial" w:hAnsi="Arial" w:cs="Arial"/>
          <w:sz w:val="24"/>
          <w:szCs w:val="24"/>
        </w:rPr>
        <w:t>,</w:t>
      </w:r>
      <w:r w:rsidR="00A741C5" w:rsidRPr="005D4A7D">
        <w:rPr>
          <w:rFonts w:ascii="Arial" w:hAnsi="Arial" w:cs="Arial"/>
          <w:sz w:val="24"/>
          <w:szCs w:val="24"/>
        </w:rPr>
        <w:t xml:space="preserve"> tiene el no poder ser utilizada para ejercer violencia política de género</w:t>
      </w:r>
      <w:r w:rsidR="00DD673B" w:rsidRPr="005D4A7D">
        <w:rPr>
          <w:rFonts w:ascii="Arial" w:hAnsi="Arial" w:cs="Arial"/>
          <w:sz w:val="24"/>
          <w:szCs w:val="24"/>
        </w:rPr>
        <w:t xml:space="preserve"> como se ha señalado en el marco normativo</w:t>
      </w:r>
      <w:r w:rsidR="00435ED8" w:rsidRPr="005D4A7D">
        <w:rPr>
          <w:rStyle w:val="Refdenotaalpie"/>
          <w:rFonts w:ascii="Arial" w:hAnsi="Arial"/>
          <w:sz w:val="24"/>
          <w:szCs w:val="24"/>
        </w:rPr>
        <w:footnoteReference w:id="25"/>
      </w:r>
      <w:r w:rsidR="00435ED8" w:rsidRPr="005D4A7D">
        <w:rPr>
          <w:rFonts w:ascii="Arial" w:hAnsi="Arial" w:cs="Arial"/>
          <w:sz w:val="24"/>
          <w:szCs w:val="24"/>
        </w:rPr>
        <w:t xml:space="preserve">. </w:t>
      </w:r>
    </w:p>
    <w:p w:rsidR="00435ED8" w:rsidRPr="005D4A7D" w:rsidRDefault="00435ED8" w:rsidP="0074744F">
      <w:pPr>
        <w:spacing w:before="120" w:after="120" w:line="360" w:lineRule="auto"/>
        <w:jc w:val="both"/>
        <w:rPr>
          <w:rFonts w:ascii="Arial" w:hAnsi="Arial" w:cs="Arial"/>
          <w:sz w:val="24"/>
          <w:szCs w:val="24"/>
        </w:rPr>
      </w:pPr>
      <w:r w:rsidRPr="005D4A7D">
        <w:rPr>
          <w:rFonts w:ascii="Arial" w:hAnsi="Arial" w:cs="Arial"/>
          <w:sz w:val="24"/>
          <w:szCs w:val="24"/>
        </w:rPr>
        <w:t>En este sentido, la responsable señaló que el promocional no abona a la construcción de una ideología política o propuestas respecto de temas de interés público, sino que utiliza un contexto cargado de estereotipos sexistas (cuentos de hadas), para reproducir prejuicios y discriminación en contra de una candidata, lo que como se ha precisado, ha quedado firme.</w:t>
      </w:r>
    </w:p>
    <w:p w:rsidR="00A741C5" w:rsidRPr="005D4A7D" w:rsidRDefault="00435ED8" w:rsidP="0074744F">
      <w:pPr>
        <w:spacing w:before="120" w:after="120" w:line="360" w:lineRule="auto"/>
        <w:jc w:val="both"/>
        <w:rPr>
          <w:rFonts w:ascii="Arial" w:hAnsi="Arial" w:cs="Arial"/>
          <w:sz w:val="24"/>
          <w:szCs w:val="24"/>
        </w:rPr>
      </w:pPr>
      <w:r w:rsidRPr="005D4A7D">
        <w:rPr>
          <w:rFonts w:ascii="Arial" w:hAnsi="Arial" w:cs="Arial"/>
          <w:sz w:val="24"/>
          <w:szCs w:val="24"/>
        </w:rPr>
        <w:t>Además de lo anterior</w:t>
      </w:r>
      <w:r w:rsidR="00A741C5" w:rsidRPr="005D4A7D">
        <w:rPr>
          <w:rFonts w:ascii="Arial" w:hAnsi="Arial" w:cs="Arial"/>
          <w:sz w:val="24"/>
          <w:szCs w:val="24"/>
        </w:rPr>
        <w:t>, en las demandas se reconoce que “</w:t>
      </w:r>
      <w:r w:rsidR="00A741C5" w:rsidRPr="005D4A7D">
        <w:rPr>
          <w:rFonts w:ascii="Arial" w:hAnsi="Arial" w:cs="Arial"/>
          <w:i/>
          <w:sz w:val="24"/>
          <w:szCs w:val="24"/>
        </w:rPr>
        <w:t>las frases y representaciones del spot, evidencian una relación de poder entre la candidata Martha Erika Alonso Hidalgo y el exgobernador de Puebla</w:t>
      </w:r>
      <w:r w:rsidR="00A741C5" w:rsidRPr="005D4A7D">
        <w:rPr>
          <w:rFonts w:ascii="Arial" w:hAnsi="Arial" w:cs="Arial"/>
          <w:sz w:val="24"/>
          <w:szCs w:val="24"/>
        </w:rPr>
        <w:t>”</w:t>
      </w:r>
      <w:r w:rsidR="00A741C5" w:rsidRPr="005D4A7D">
        <w:rPr>
          <w:rStyle w:val="Refdenotaalpie"/>
          <w:rFonts w:ascii="Arial" w:hAnsi="Arial" w:cs="Arial"/>
          <w:sz w:val="24"/>
          <w:szCs w:val="24"/>
        </w:rPr>
        <w:footnoteReference w:id="26"/>
      </w:r>
      <w:r w:rsidRPr="005D4A7D">
        <w:rPr>
          <w:rFonts w:ascii="Arial" w:hAnsi="Arial" w:cs="Arial"/>
          <w:sz w:val="24"/>
          <w:szCs w:val="24"/>
        </w:rPr>
        <w:t>, lo que muestra que esa relación es el centro del promocional denunciado.</w:t>
      </w:r>
    </w:p>
    <w:p w:rsidR="00510CD3" w:rsidRPr="005D4A7D" w:rsidRDefault="00510CD3" w:rsidP="0074744F">
      <w:pPr>
        <w:spacing w:before="120" w:after="120" w:line="360" w:lineRule="auto"/>
        <w:jc w:val="both"/>
        <w:rPr>
          <w:rFonts w:ascii="Arial" w:hAnsi="Arial" w:cs="Arial"/>
          <w:b/>
          <w:sz w:val="24"/>
          <w:szCs w:val="24"/>
        </w:rPr>
      </w:pPr>
      <w:r w:rsidRPr="005D4A7D">
        <w:rPr>
          <w:rFonts w:ascii="Arial" w:hAnsi="Arial" w:cs="Arial"/>
          <w:b/>
          <w:sz w:val="24"/>
          <w:szCs w:val="24"/>
        </w:rPr>
        <w:lastRenderedPageBreak/>
        <w:t xml:space="preserve">d) Agravio relativo a que en el promocional se muestra la lucha de poder de dos mujeres de género femenino. </w:t>
      </w:r>
    </w:p>
    <w:p w:rsidR="00510CD3" w:rsidRPr="005D4A7D" w:rsidRDefault="00510CD3"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El agravio se estima </w:t>
      </w:r>
      <w:r w:rsidRPr="005D4A7D">
        <w:rPr>
          <w:rFonts w:ascii="Arial" w:hAnsi="Arial" w:cs="Arial"/>
          <w:b/>
          <w:sz w:val="24"/>
          <w:szCs w:val="24"/>
        </w:rPr>
        <w:t>infundado</w:t>
      </w:r>
      <w:r w:rsidRPr="005D4A7D">
        <w:rPr>
          <w:rFonts w:ascii="Arial" w:hAnsi="Arial" w:cs="Arial"/>
          <w:sz w:val="24"/>
          <w:szCs w:val="24"/>
        </w:rPr>
        <w:t xml:space="preserve"> en atención a lo siguiente: </w:t>
      </w:r>
    </w:p>
    <w:p w:rsidR="00A741C5" w:rsidRPr="005D4A7D" w:rsidRDefault="00A741C5" w:rsidP="0074744F">
      <w:pPr>
        <w:spacing w:before="120" w:after="120" w:line="360" w:lineRule="auto"/>
        <w:jc w:val="both"/>
        <w:rPr>
          <w:rFonts w:ascii="Arial" w:hAnsi="Arial" w:cs="Arial"/>
          <w:sz w:val="24"/>
          <w:szCs w:val="24"/>
        </w:rPr>
      </w:pPr>
      <w:r w:rsidRPr="005D4A7D">
        <w:rPr>
          <w:rFonts w:ascii="Arial" w:hAnsi="Arial" w:cs="Arial"/>
          <w:sz w:val="24"/>
          <w:szCs w:val="24"/>
        </w:rPr>
        <w:t>Se afirma que la escena corresponde a dos mujeres, la madrastra y la hija, lo que no niega la valía de mujer alguna, sin embargo, ello es i</w:t>
      </w:r>
      <w:r w:rsidRPr="005D4A7D">
        <w:rPr>
          <w:rFonts w:ascii="Arial" w:hAnsi="Arial" w:cs="Arial"/>
          <w:b/>
          <w:sz w:val="24"/>
          <w:szCs w:val="24"/>
        </w:rPr>
        <w:t>nfundado</w:t>
      </w:r>
      <w:r w:rsidRPr="005D4A7D">
        <w:rPr>
          <w:rFonts w:ascii="Arial" w:hAnsi="Arial" w:cs="Arial"/>
          <w:sz w:val="24"/>
          <w:szCs w:val="24"/>
        </w:rPr>
        <w:t>, porque la escena</w:t>
      </w:r>
      <w:r w:rsidR="00A62FBE" w:rsidRPr="005D4A7D">
        <w:rPr>
          <w:rFonts w:ascii="Arial" w:hAnsi="Arial" w:cs="Arial"/>
          <w:sz w:val="24"/>
          <w:szCs w:val="24"/>
        </w:rPr>
        <w:t xml:space="preserve"> </w:t>
      </w:r>
      <w:r w:rsidR="00510CD3" w:rsidRPr="005D4A7D">
        <w:rPr>
          <w:rFonts w:ascii="Arial" w:hAnsi="Arial" w:cs="Arial"/>
          <w:sz w:val="24"/>
          <w:szCs w:val="24"/>
        </w:rPr>
        <w:t xml:space="preserve">no aparece alguna “hija” y, en su lugar, </w:t>
      </w:r>
      <w:r w:rsidRPr="005D4A7D">
        <w:rPr>
          <w:rFonts w:ascii="Arial" w:hAnsi="Arial" w:cs="Arial"/>
          <w:sz w:val="24"/>
          <w:szCs w:val="24"/>
        </w:rPr>
        <w:t>aparece el “espejo</w:t>
      </w:r>
      <w:r w:rsidR="00A62FBE" w:rsidRPr="005D4A7D">
        <w:rPr>
          <w:rFonts w:ascii="Arial" w:hAnsi="Arial" w:cs="Arial"/>
          <w:sz w:val="24"/>
          <w:szCs w:val="24"/>
        </w:rPr>
        <w:t>-marido</w:t>
      </w:r>
      <w:r w:rsidRPr="005D4A7D">
        <w:rPr>
          <w:rFonts w:ascii="Arial" w:hAnsi="Arial" w:cs="Arial"/>
          <w:sz w:val="24"/>
          <w:szCs w:val="24"/>
        </w:rPr>
        <w:t xml:space="preserve">”, representado por Rafael Moreno Valle, </w:t>
      </w:r>
      <w:r w:rsidR="008F202C" w:rsidRPr="005D4A7D">
        <w:rPr>
          <w:rFonts w:ascii="Arial" w:hAnsi="Arial" w:cs="Arial"/>
          <w:sz w:val="24"/>
          <w:szCs w:val="24"/>
        </w:rPr>
        <w:t xml:space="preserve">quien </w:t>
      </w:r>
      <w:r w:rsidR="00A62FBE" w:rsidRPr="005D4A7D">
        <w:rPr>
          <w:rFonts w:ascii="Arial" w:hAnsi="Arial" w:cs="Arial"/>
          <w:sz w:val="24"/>
          <w:szCs w:val="24"/>
        </w:rPr>
        <w:t>dice que</w:t>
      </w:r>
      <w:r w:rsidRPr="005D4A7D">
        <w:rPr>
          <w:rFonts w:ascii="Arial" w:hAnsi="Arial" w:cs="Arial"/>
          <w:sz w:val="24"/>
          <w:szCs w:val="24"/>
        </w:rPr>
        <w:t xml:space="preserve"> </w:t>
      </w:r>
      <w:r w:rsidR="00A62FBE" w:rsidRPr="005D4A7D">
        <w:rPr>
          <w:rFonts w:ascii="Arial" w:hAnsi="Arial" w:cs="Arial"/>
          <w:sz w:val="24"/>
          <w:szCs w:val="24"/>
        </w:rPr>
        <w:t xml:space="preserve">él </w:t>
      </w:r>
      <w:r w:rsidRPr="005D4A7D">
        <w:rPr>
          <w:rFonts w:ascii="Arial" w:hAnsi="Arial" w:cs="Arial"/>
          <w:sz w:val="24"/>
          <w:szCs w:val="24"/>
        </w:rPr>
        <w:t>es quien va a ser gobernador, luego corrige y dice que ambos y, finalmente, ante el enojo de la mujer, le dice que ella, pero es siempre él quien decide</w:t>
      </w:r>
      <w:r w:rsidR="00A62FBE" w:rsidRPr="005D4A7D">
        <w:rPr>
          <w:rFonts w:ascii="Arial" w:hAnsi="Arial" w:cs="Arial"/>
          <w:sz w:val="24"/>
          <w:szCs w:val="24"/>
        </w:rPr>
        <w:t xml:space="preserve">, con la advertencia final del promocional, de </w:t>
      </w:r>
      <w:r w:rsidR="00A62FBE" w:rsidRPr="005D4A7D">
        <w:rPr>
          <w:rFonts w:ascii="Arial" w:hAnsi="Arial" w:cs="Arial"/>
          <w:i/>
          <w:sz w:val="24"/>
          <w:szCs w:val="24"/>
        </w:rPr>
        <w:t>“que no te platiquen cuentos”</w:t>
      </w:r>
      <w:r w:rsidR="00A62FBE" w:rsidRPr="005D4A7D">
        <w:rPr>
          <w:rFonts w:ascii="Arial" w:hAnsi="Arial" w:cs="Arial"/>
          <w:sz w:val="24"/>
          <w:szCs w:val="24"/>
        </w:rPr>
        <w:t xml:space="preserve"> porque se trata de la reelección de Rafael Moreno Valle.</w:t>
      </w:r>
    </w:p>
    <w:p w:rsidR="00A741C5" w:rsidRPr="005D4A7D" w:rsidRDefault="00A741C5"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De esta manera, en la escena </w:t>
      </w:r>
      <w:r w:rsidRPr="005D4A7D">
        <w:rPr>
          <w:rFonts w:ascii="Arial" w:hAnsi="Arial" w:cs="Arial"/>
          <w:b/>
          <w:sz w:val="24"/>
          <w:szCs w:val="24"/>
        </w:rPr>
        <w:t>no se muestra</w:t>
      </w:r>
      <w:r w:rsidRPr="005D4A7D">
        <w:rPr>
          <w:rFonts w:ascii="Arial" w:hAnsi="Arial" w:cs="Arial"/>
          <w:sz w:val="24"/>
          <w:szCs w:val="24"/>
        </w:rPr>
        <w:t xml:space="preserve">, como lo señalan los recurrentes, </w:t>
      </w:r>
      <w:r w:rsidRPr="005D4A7D">
        <w:rPr>
          <w:rFonts w:ascii="Arial" w:hAnsi="Arial" w:cs="Arial"/>
          <w:b/>
          <w:sz w:val="24"/>
          <w:szCs w:val="24"/>
        </w:rPr>
        <w:t>una lucha de poder entre dos personas de sexo femenino</w:t>
      </w:r>
      <w:r w:rsidRPr="005D4A7D">
        <w:rPr>
          <w:rFonts w:ascii="Arial" w:hAnsi="Arial" w:cs="Arial"/>
          <w:sz w:val="24"/>
          <w:szCs w:val="24"/>
        </w:rPr>
        <w:t xml:space="preserve"> (la reina y su hijastra), pues la hijastra no aparece en el promocional, que </w:t>
      </w:r>
      <w:r w:rsidR="00A62FBE" w:rsidRPr="005D4A7D">
        <w:rPr>
          <w:rFonts w:ascii="Arial" w:hAnsi="Arial" w:cs="Arial"/>
          <w:sz w:val="24"/>
          <w:szCs w:val="24"/>
        </w:rPr>
        <w:t xml:space="preserve">únicamente </w:t>
      </w:r>
      <w:r w:rsidRPr="005D4A7D">
        <w:rPr>
          <w:rFonts w:ascii="Arial" w:hAnsi="Arial" w:cs="Arial"/>
          <w:sz w:val="24"/>
          <w:szCs w:val="24"/>
        </w:rPr>
        <w:t xml:space="preserve">tiene dos personajes: </w:t>
      </w:r>
      <w:r w:rsidR="00A62FBE" w:rsidRPr="005D4A7D">
        <w:rPr>
          <w:rFonts w:ascii="Arial" w:hAnsi="Arial" w:cs="Arial"/>
          <w:sz w:val="24"/>
          <w:szCs w:val="24"/>
        </w:rPr>
        <w:t>una mujer</w:t>
      </w:r>
      <w:r w:rsidRPr="005D4A7D">
        <w:rPr>
          <w:rFonts w:ascii="Arial" w:hAnsi="Arial" w:cs="Arial"/>
          <w:sz w:val="24"/>
          <w:szCs w:val="24"/>
        </w:rPr>
        <w:t xml:space="preserve"> (Martha Erika Alonso Hidalgo) y el espejo (Rafael Moreno Valle), de ahí lo </w:t>
      </w:r>
      <w:r w:rsidRPr="005D4A7D">
        <w:rPr>
          <w:rFonts w:ascii="Arial" w:hAnsi="Arial" w:cs="Arial"/>
          <w:b/>
          <w:sz w:val="24"/>
          <w:szCs w:val="24"/>
        </w:rPr>
        <w:t xml:space="preserve">infundado </w:t>
      </w:r>
      <w:r w:rsidR="00510CD3" w:rsidRPr="005D4A7D">
        <w:rPr>
          <w:rFonts w:ascii="Arial" w:hAnsi="Arial" w:cs="Arial"/>
          <w:sz w:val="24"/>
          <w:szCs w:val="24"/>
        </w:rPr>
        <w:t xml:space="preserve">de esta parte del agravio, de ahí lo </w:t>
      </w:r>
      <w:r w:rsidR="00510CD3" w:rsidRPr="005D4A7D">
        <w:rPr>
          <w:rFonts w:ascii="Arial" w:hAnsi="Arial" w:cs="Arial"/>
          <w:b/>
          <w:sz w:val="24"/>
          <w:szCs w:val="24"/>
        </w:rPr>
        <w:t>infundado</w:t>
      </w:r>
      <w:r w:rsidR="00510CD3" w:rsidRPr="005D4A7D">
        <w:rPr>
          <w:rFonts w:ascii="Arial" w:hAnsi="Arial" w:cs="Arial"/>
          <w:sz w:val="24"/>
          <w:szCs w:val="24"/>
        </w:rPr>
        <w:t xml:space="preserve"> del agravio.</w:t>
      </w:r>
    </w:p>
    <w:p w:rsidR="00EA0E32" w:rsidRPr="005D4A7D" w:rsidRDefault="005A4AA9" w:rsidP="0074744F">
      <w:pPr>
        <w:spacing w:before="120" w:after="120" w:line="360" w:lineRule="auto"/>
        <w:jc w:val="both"/>
        <w:rPr>
          <w:rFonts w:ascii="Arial" w:hAnsi="Arial" w:cs="Arial"/>
          <w:b/>
          <w:sz w:val="24"/>
          <w:szCs w:val="24"/>
        </w:rPr>
      </w:pPr>
      <w:r w:rsidRPr="005D4A7D">
        <w:rPr>
          <w:rFonts w:ascii="Arial" w:hAnsi="Arial" w:cs="Arial"/>
          <w:b/>
          <w:sz w:val="24"/>
          <w:szCs w:val="24"/>
        </w:rPr>
        <w:t>e</w:t>
      </w:r>
      <w:r w:rsidR="00EA0E32" w:rsidRPr="005D4A7D">
        <w:rPr>
          <w:rFonts w:ascii="Arial" w:hAnsi="Arial" w:cs="Arial"/>
          <w:b/>
          <w:sz w:val="24"/>
          <w:szCs w:val="24"/>
        </w:rPr>
        <w:t xml:space="preserve">) Agravio relativo a que no se consideró que la cuenta de Twitter de José Enrique Doger Guerrero era administrada por </w:t>
      </w:r>
      <w:r w:rsidR="00737DCE" w:rsidRPr="005D4A7D">
        <w:rPr>
          <w:rFonts w:ascii="Arial" w:hAnsi="Arial" w:cs="Arial"/>
          <w:b/>
          <w:sz w:val="24"/>
          <w:szCs w:val="24"/>
        </w:rPr>
        <w:t>un tercero.</w:t>
      </w:r>
    </w:p>
    <w:p w:rsidR="00EA0E32" w:rsidRPr="005D4A7D" w:rsidRDefault="00EA0E32" w:rsidP="0074744F">
      <w:pPr>
        <w:spacing w:before="120" w:after="120" w:line="360" w:lineRule="auto"/>
        <w:jc w:val="both"/>
        <w:rPr>
          <w:rFonts w:ascii="Arial" w:hAnsi="Arial" w:cs="Arial"/>
          <w:sz w:val="24"/>
          <w:szCs w:val="24"/>
        </w:rPr>
      </w:pPr>
      <w:r w:rsidRPr="005D4A7D">
        <w:rPr>
          <w:rFonts w:ascii="Arial" w:hAnsi="Arial" w:cs="Arial"/>
          <w:sz w:val="24"/>
          <w:szCs w:val="24"/>
        </w:rPr>
        <w:t>El recurrente señala que no se acreditó debidamente su responsabilidad</w:t>
      </w:r>
      <w:r w:rsidR="00737DCE" w:rsidRPr="005D4A7D">
        <w:rPr>
          <w:rFonts w:ascii="Arial" w:hAnsi="Arial" w:cs="Arial"/>
          <w:sz w:val="24"/>
          <w:szCs w:val="24"/>
        </w:rPr>
        <w:t>,</w:t>
      </w:r>
      <w:r w:rsidRPr="005D4A7D">
        <w:rPr>
          <w:rFonts w:ascii="Arial" w:hAnsi="Arial" w:cs="Arial"/>
          <w:sz w:val="24"/>
          <w:szCs w:val="24"/>
        </w:rPr>
        <w:t xml:space="preserve"> porque no se consideró que su cuenta de Twitter</w:t>
      </w:r>
      <w:r w:rsidR="008F202C" w:rsidRPr="005D4A7D">
        <w:rPr>
          <w:rFonts w:ascii="Arial" w:hAnsi="Arial" w:cs="Arial"/>
          <w:sz w:val="24"/>
          <w:szCs w:val="24"/>
        </w:rPr>
        <w:t xml:space="preserve"> estaba siendo administrada por</w:t>
      </w:r>
      <w:r w:rsidR="00737DCE" w:rsidRPr="005D4A7D">
        <w:rPr>
          <w:rFonts w:ascii="Arial" w:hAnsi="Arial" w:cs="Arial"/>
          <w:sz w:val="24"/>
          <w:szCs w:val="24"/>
        </w:rPr>
        <w:t xml:space="preserve"> “XY AD SAS de CV”</w:t>
      </w:r>
      <w:r w:rsidRPr="005D4A7D">
        <w:rPr>
          <w:rFonts w:ascii="Arial" w:hAnsi="Arial" w:cs="Arial"/>
          <w:sz w:val="24"/>
          <w:szCs w:val="24"/>
        </w:rPr>
        <w:t xml:space="preserve">, por lo que concluir que lo dicho en la misma es con, alta probabilidad y lógica, su ideología, resulta incorrecto. </w:t>
      </w:r>
    </w:p>
    <w:p w:rsidR="00EA0E32" w:rsidRPr="005D4A7D" w:rsidRDefault="00EA0E32"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Esta Sala Superior considera que el agravio resulta </w:t>
      </w:r>
      <w:r w:rsidRPr="005D4A7D">
        <w:rPr>
          <w:rFonts w:ascii="Arial" w:hAnsi="Arial" w:cs="Arial"/>
          <w:b/>
          <w:sz w:val="24"/>
          <w:szCs w:val="24"/>
        </w:rPr>
        <w:t>infundado</w:t>
      </w:r>
      <w:r w:rsidRPr="005D4A7D">
        <w:rPr>
          <w:rFonts w:ascii="Arial" w:hAnsi="Arial" w:cs="Arial"/>
          <w:sz w:val="24"/>
          <w:szCs w:val="24"/>
        </w:rPr>
        <w:t>, en atención a que el recurrente no manifestó alguna acción de deslinde de lo publicado</w:t>
      </w:r>
      <w:r w:rsidR="00737DCE" w:rsidRPr="005D4A7D">
        <w:rPr>
          <w:rFonts w:ascii="Arial" w:hAnsi="Arial" w:cs="Arial"/>
          <w:sz w:val="24"/>
          <w:szCs w:val="24"/>
        </w:rPr>
        <w:t>, además de que</w:t>
      </w:r>
      <w:r w:rsidRPr="005D4A7D">
        <w:rPr>
          <w:rFonts w:ascii="Arial" w:hAnsi="Arial" w:cs="Arial"/>
          <w:sz w:val="24"/>
          <w:szCs w:val="24"/>
        </w:rPr>
        <w:t xml:space="preserve"> admite que </w:t>
      </w:r>
      <w:r w:rsidR="00737DCE" w:rsidRPr="005D4A7D">
        <w:rPr>
          <w:rFonts w:ascii="Arial" w:hAnsi="Arial" w:cs="Arial"/>
          <w:sz w:val="24"/>
          <w:szCs w:val="24"/>
        </w:rPr>
        <w:t>sí se trata de</w:t>
      </w:r>
      <w:r w:rsidRPr="005D4A7D">
        <w:rPr>
          <w:rFonts w:ascii="Arial" w:hAnsi="Arial" w:cs="Arial"/>
          <w:sz w:val="24"/>
          <w:szCs w:val="24"/>
        </w:rPr>
        <w:t xml:space="preserve"> su cuenta de Twitter</w:t>
      </w:r>
      <w:r w:rsidRPr="005D4A7D">
        <w:rPr>
          <w:rStyle w:val="Refdenotaalpie"/>
          <w:rFonts w:ascii="Arial" w:hAnsi="Arial" w:cs="Arial"/>
          <w:sz w:val="24"/>
          <w:szCs w:val="24"/>
        </w:rPr>
        <w:footnoteReference w:id="27"/>
      </w:r>
      <w:r w:rsidRPr="005D4A7D">
        <w:rPr>
          <w:rFonts w:ascii="Arial" w:hAnsi="Arial" w:cs="Arial"/>
          <w:sz w:val="24"/>
          <w:szCs w:val="24"/>
        </w:rPr>
        <w:t xml:space="preserve">. </w:t>
      </w:r>
    </w:p>
    <w:p w:rsidR="00EA0E32" w:rsidRPr="005D4A7D" w:rsidRDefault="008F202C" w:rsidP="0074744F">
      <w:pPr>
        <w:spacing w:before="120" w:after="120" w:line="360" w:lineRule="auto"/>
        <w:jc w:val="both"/>
        <w:rPr>
          <w:rFonts w:ascii="Arial" w:hAnsi="Arial" w:cs="Arial"/>
          <w:sz w:val="24"/>
          <w:szCs w:val="24"/>
        </w:rPr>
      </w:pPr>
      <w:r w:rsidRPr="005D4A7D">
        <w:rPr>
          <w:rFonts w:ascii="Arial" w:hAnsi="Arial" w:cs="Arial"/>
          <w:sz w:val="24"/>
          <w:szCs w:val="24"/>
        </w:rPr>
        <w:t>Si bien señala que su cuenta</w:t>
      </w:r>
      <w:r w:rsidR="00EA0E32" w:rsidRPr="005D4A7D">
        <w:rPr>
          <w:rFonts w:ascii="Arial" w:hAnsi="Arial" w:cs="Arial"/>
          <w:sz w:val="24"/>
          <w:szCs w:val="24"/>
        </w:rPr>
        <w:t xml:space="preserve"> estuvo administrada por un tercero</w:t>
      </w:r>
      <w:r w:rsidR="00737DCE" w:rsidRPr="005D4A7D">
        <w:rPr>
          <w:rFonts w:ascii="Arial" w:hAnsi="Arial" w:cs="Arial"/>
          <w:sz w:val="24"/>
          <w:szCs w:val="24"/>
        </w:rPr>
        <w:t xml:space="preserve"> durante la campaña</w:t>
      </w:r>
      <w:r w:rsidR="00EA0E32" w:rsidRPr="005D4A7D">
        <w:rPr>
          <w:rFonts w:ascii="Arial" w:hAnsi="Arial" w:cs="Arial"/>
          <w:sz w:val="24"/>
          <w:szCs w:val="24"/>
        </w:rPr>
        <w:t>, ello no le libera de responsabilidad respecto de lo que se publi</w:t>
      </w:r>
      <w:r w:rsidR="00737DCE" w:rsidRPr="005D4A7D">
        <w:rPr>
          <w:rFonts w:ascii="Arial" w:hAnsi="Arial" w:cs="Arial"/>
          <w:sz w:val="24"/>
          <w:szCs w:val="24"/>
        </w:rPr>
        <w:t xml:space="preserve">ca </w:t>
      </w:r>
      <w:r w:rsidR="00EA0E32" w:rsidRPr="005D4A7D">
        <w:rPr>
          <w:rFonts w:ascii="Arial" w:hAnsi="Arial" w:cs="Arial"/>
          <w:sz w:val="24"/>
          <w:szCs w:val="24"/>
        </w:rPr>
        <w:t>en la misma, pues tal determinación</w:t>
      </w:r>
      <w:r w:rsidRPr="005D4A7D">
        <w:rPr>
          <w:rFonts w:ascii="Arial" w:hAnsi="Arial" w:cs="Arial"/>
          <w:sz w:val="24"/>
          <w:szCs w:val="24"/>
        </w:rPr>
        <w:t xml:space="preserve"> (</w:t>
      </w:r>
      <w:r w:rsidR="00737DCE" w:rsidRPr="005D4A7D">
        <w:rPr>
          <w:rFonts w:ascii="Arial" w:hAnsi="Arial" w:cs="Arial"/>
          <w:sz w:val="24"/>
          <w:szCs w:val="24"/>
        </w:rPr>
        <w:t>que un tercero administrara la cuenta)</w:t>
      </w:r>
      <w:r w:rsidR="00EA0E32" w:rsidRPr="005D4A7D">
        <w:rPr>
          <w:rFonts w:ascii="Arial" w:hAnsi="Arial" w:cs="Arial"/>
          <w:sz w:val="24"/>
          <w:szCs w:val="24"/>
        </w:rPr>
        <w:t xml:space="preserve">, por una parte, la consintió y, por otra, el contenido específico que se </w:t>
      </w:r>
      <w:r w:rsidR="00EA0E32" w:rsidRPr="005D4A7D">
        <w:rPr>
          <w:rFonts w:ascii="Arial" w:hAnsi="Arial" w:cs="Arial"/>
          <w:sz w:val="24"/>
          <w:szCs w:val="24"/>
        </w:rPr>
        <w:lastRenderedPageBreak/>
        <w:t xml:space="preserve">publicaba buscaba mostrar lo que pensaba en su carácter de candidato, a fin de obtener el voto de la ciudadanía. </w:t>
      </w:r>
    </w:p>
    <w:p w:rsidR="00EA0E32" w:rsidRPr="005D4A7D" w:rsidRDefault="00EA0E32"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En este sentido, ni durante la instrucción del presente procedimiento especial sancionador, ni en la demanda del recurso que se resuelve, manifestó que desaprobara tal publicación. </w:t>
      </w:r>
    </w:p>
    <w:p w:rsidR="00EA0E32" w:rsidRPr="005D4A7D" w:rsidRDefault="00EA0E32" w:rsidP="0074744F">
      <w:pPr>
        <w:spacing w:before="120" w:after="120" w:line="360" w:lineRule="auto"/>
        <w:jc w:val="both"/>
        <w:rPr>
          <w:rFonts w:ascii="Arial" w:hAnsi="Arial" w:cs="Arial"/>
          <w:sz w:val="24"/>
          <w:szCs w:val="24"/>
        </w:rPr>
      </w:pPr>
      <w:r w:rsidRPr="005D4A7D">
        <w:rPr>
          <w:rFonts w:ascii="Arial" w:hAnsi="Arial" w:cs="Arial"/>
          <w:sz w:val="24"/>
          <w:szCs w:val="24"/>
        </w:rPr>
        <w:t>E</w:t>
      </w:r>
      <w:r w:rsidR="00737DCE" w:rsidRPr="005D4A7D">
        <w:rPr>
          <w:rFonts w:ascii="Arial" w:hAnsi="Arial" w:cs="Arial"/>
          <w:sz w:val="24"/>
          <w:szCs w:val="24"/>
        </w:rPr>
        <w:t>n</w:t>
      </w:r>
      <w:r w:rsidRPr="005D4A7D">
        <w:rPr>
          <w:rFonts w:ascii="Arial" w:hAnsi="Arial" w:cs="Arial"/>
          <w:sz w:val="24"/>
          <w:szCs w:val="24"/>
        </w:rPr>
        <w:t xml:space="preserve"> este orden de ideas, no es posible que un tercero publique contenido en la cuenta de Twitter si no es que se le autoriza para ello y se le proporcion</w:t>
      </w:r>
      <w:r w:rsidR="00737DCE" w:rsidRPr="005D4A7D">
        <w:rPr>
          <w:rFonts w:ascii="Arial" w:hAnsi="Arial" w:cs="Arial"/>
          <w:sz w:val="24"/>
          <w:szCs w:val="24"/>
        </w:rPr>
        <w:t>e</w:t>
      </w:r>
      <w:r w:rsidRPr="005D4A7D">
        <w:rPr>
          <w:rFonts w:ascii="Arial" w:hAnsi="Arial" w:cs="Arial"/>
          <w:sz w:val="24"/>
          <w:szCs w:val="24"/>
        </w:rPr>
        <w:t xml:space="preserve"> la contraseña para ingresar a la </w:t>
      </w:r>
      <w:r w:rsidR="00737DCE" w:rsidRPr="005D4A7D">
        <w:rPr>
          <w:rFonts w:ascii="Arial" w:hAnsi="Arial" w:cs="Arial"/>
          <w:sz w:val="24"/>
          <w:szCs w:val="24"/>
        </w:rPr>
        <w:t>misma; además de que el recurrente siempre contó</w:t>
      </w:r>
      <w:r w:rsidRPr="005D4A7D">
        <w:rPr>
          <w:rFonts w:ascii="Arial" w:hAnsi="Arial" w:cs="Arial"/>
          <w:sz w:val="24"/>
          <w:szCs w:val="24"/>
        </w:rPr>
        <w:t xml:space="preserve"> con la posibilidad de incluso, </w:t>
      </w:r>
      <w:r w:rsidR="00737DCE" w:rsidRPr="005D4A7D">
        <w:rPr>
          <w:rFonts w:ascii="Arial" w:hAnsi="Arial" w:cs="Arial"/>
          <w:sz w:val="24"/>
          <w:szCs w:val="24"/>
        </w:rPr>
        <w:t>borrar</w:t>
      </w:r>
      <w:r w:rsidRPr="005D4A7D">
        <w:rPr>
          <w:rFonts w:ascii="Arial" w:hAnsi="Arial" w:cs="Arial"/>
          <w:sz w:val="24"/>
          <w:szCs w:val="24"/>
        </w:rPr>
        <w:t xml:space="preserve"> las publicaciones</w:t>
      </w:r>
      <w:r w:rsidR="00737DCE" w:rsidRPr="005D4A7D">
        <w:rPr>
          <w:rFonts w:ascii="Arial" w:hAnsi="Arial" w:cs="Arial"/>
          <w:sz w:val="24"/>
          <w:szCs w:val="24"/>
        </w:rPr>
        <w:t>,</w:t>
      </w:r>
      <w:r w:rsidRPr="005D4A7D">
        <w:rPr>
          <w:rFonts w:ascii="Arial" w:hAnsi="Arial" w:cs="Arial"/>
          <w:sz w:val="24"/>
          <w:szCs w:val="24"/>
        </w:rPr>
        <w:t xml:space="preserve"> o publicar las aclaraciones pertinentes, lo que en la especie no aconteció</w:t>
      </w:r>
      <w:r w:rsidR="00737DCE" w:rsidRPr="005D4A7D">
        <w:rPr>
          <w:rFonts w:ascii="Arial" w:hAnsi="Arial" w:cs="Arial"/>
          <w:sz w:val="24"/>
          <w:szCs w:val="24"/>
        </w:rPr>
        <w:t>, ni se alegó que no le fuera posible.</w:t>
      </w:r>
    </w:p>
    <w:p w:rsidR="00EA0E32" w:rsidRPr="005D4A7D" w:rsidRDefault="00EA0E32"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En este sentido, la responsable consideró, como </w:t>
      </w:r>
      <w:r w:rsidRPr="005D4A7D">
        <w:rPr>
          <w:rFonts w:ascii="Arial" w:hAnsi="Arial" w:cs="Arial"/>
          <w:b/>
          <w:sz w:val="24"/>
          <w:szCs w:val="24"/>
        </w:rPr>
        <w:t>incluso lo reconoce el recurrente</w:t>
      </w:r>
      <w:r w:rsidRPr="005D4A7D">
        <w:rPr>
          <w:rFonts w:ascii="Arial" w:hAnsi="Arial" w:cs="Arial"/>
          <w:sz w:val="24"/>
          <w:szCs w:val="24"/>
        </w:rPr>
        <w:t xml:space="preserve">, que </w:t>
      </w:r>
      <w:r w:rsidR="00737DCE" w:rsidRPr="005D4A7D">
        <w:rPr>
          <w:rFonts w:ascii="Arial" w:hAnsi="Arial" w:cs="Arial"/>
          <w:sz w:val="24"/>
          <w:szCs w:val="24"/>
        </w:rPr>
        <w:t>él admitió</w:t>
      </w:r>
      <w:r w:rsidRPr="005D4A7D">
        <w:rPr>
          <w:rFonts w:ascii="Arial" w:hAnsi="Arial" w:cs="Arial"/>
          <w:sz w:val="24"/>
          <w:szCs w:val="24"/>
        </w:rPr>
        <w:t xml:space="preserve"> la titularidad de la cuenta en que se realizó la publicación</w:t>
      </w:r>
      <w:r w:rsidR="00737DCE" w:rsidRPr="005D4A7D">
        <w:rPr>
          <w:rFonts w:ascii="Arial" w:hAnsi="Arial" w:cs="Arial"/>
          <w:sz w:val="24"/>
          <w:szCs w:val="24"/>
        </w:rPr>
        <w:t>,</w:t>
      </w:r>
      <w:r w:rsidRPr="005D4A7D">
        <w:rPr>
          <w:rFonts w:ascii="Arial" w:hAnsi="Arial" w:cs="Arial"/>
          <w:sz w:val="24"/>
          <w:szCs w:val="24"/>
        </w:rPr>
        <w:t xml:space="preserve"> y que la misma era administrada por la empresa </w:t>
      </w:r>
      <w:r w:rsidRPr="005D4A7D">
        <w:rPr>
          <w:rFonts w:ascii="Arial" w:hAnsi="Arial" w:cs="Arial"/>
          <w:i/>
          <w:sz w:val="24"/>
          <w:szCs w:val="24"/>
        </w:rPr>
        <w:t>XY AD SAS de CV,</w:t>
      </w:r>
      <w:r w:rsidRPr="005D4A7D">
        <w:rPr>
          <w:rFonts w:ascii="Arial" w:hAnsi="Arial" w:cs="Arial"/>
          <w:b/>
          <w:i/>
          <w:sz w:val="24"/>
          <w:szCs w:val="24"/>
        </w:rPr>
        <w:t xml:space="preserve"> </w:t>
      </w:r>
      <w:r w:rsidRPr="005D4A7D">
        <w:rPr>
          <w:rFonts w:ascii="Arial" w:hAnsi="Arial" w:cs="Arial"/>
          <w:sz w:val="24"/>
          <w:szCs w:val="24"/>
        </w:rPr>
        <w:t xml:space="preserve">por lo que tales circunstancias sí fueron atendidas por la responsable. </w:t>
      </w:r>
    </w:p>
    <w:p w:rsidR="00EA0E32" w:rsidRPr="005D4A7D" w:rsidRDefault="00EA0E32" w:rsidP="0074744F">
      <w:pPr>
        <w:spacing w:before="120" w:after="120" w:line="360" w:lineRule="auto"/>
        <w:jc w:val="both"/>
        <w:rPr>
          <w:rFonts w:ascii="Arial" w:hAnsi="Arial" w:cs="Arial"/>
          <w:sz w:val="24"/>
          <w:szCs w:val="24"/>
        </w:rPr>
      </w:pPr>
      <w:r w:rsidRPr="005D4A7D">
        <w:rPr>
          <w:rFonts w:ascii="Arial" w:hAnsi="Arial" w:cs="Arial"/>
          <w:sz w:val="24"/>
          <w:szCs w:val="24"/>
        </w:rPr>
        <w:t>Ahora bien, si no existió una acción de deslinde</w:t>
      </w:r>
      <w:r w:rsidR="00D4453E" w:rsidRPr="005D4A7D">
        <w:rPr>
          <w:rFonts w:ascii="Arial" w:hAnsi="Arial" w:cs="Arial"/>
          <w:sz w:val="24"/>
          <w:szCs w:val="24"/>
        </w:rPr>
        <w:t>,</w:t>
      </w:r>
      <w:r w:rsidRPr="005D4A7D">
        <w:rPr>
          <w:rFonts w:ascii="Arial" w:hAnsi="Arial" w:cs="Arial"/>
          <w:sz w:val="24"/>
          <w:szCs w:val="24"/>
        </w:rPr>
        <w:t xml:space="preserve"> y si el recurrente no realizó alguna acción encaminada a enmendar la publicación o a eliminarla, resulta razonable concluir, como lo hizo la responsable, que ello refleja su ideología y postura, pues al ser incuestionado que se trata de su cuenta de Twitter, no puede pretender desligarse de su contenido, cuando ha sido su responsabilidad permitir que otro la administre</w:t>
      </w:r>
      <w:r w:rsidR="00D4453E" w:rsidRPr="005D4A7D">
        <w:rPr>
          <w:rFonts w:ascii="Arial" w:hAnsi="Arial" w:cs="Arial"/>
          <w:sz w:val="24"/>
          <w:szCs w:val="24"/>
        </w:rPr>
        <w:t xml:space="preserve">, consintiendo de esa manera lo publicado, </w:t>
      </w:r>
      <w:r w:rsidRPr="005D4A7D">
        <w:rPr>
          <w:rFonts w:ascii="Arial" w:hAnsi="Arial" w:cs="Arial"/>
          <w:sz w:val="24"/>
          <w:szCs w:val="24"/>
        </w:rPr>
        <w:t xml:space="preserve">no sólo </w:t>
      </w:r>
      <w:r w:rsidRPr="005D4A7D">
        <w:rPr>
          <w:rFonts w:ascii="Arial" w:hAnsi="Arial" w:cs="Arial"/>
          <w:i/>
          <w:sz w:val="24"/>
          <w:szCs w:val="24"/>
        </w:rPr>
        <w:t>ex ante</w:t>
      </w:r>
      <w:r w:rsidRPr="005D4A7D">
        <w:rPr>
          <w:rFonts w:ascii="Arial" w:hAnsi="Arial" w:cs="Arial"/>
          <w:sz w:val="24"/>
          <w:szCs w:val="24"/>
        </w:rPr>
        <w:t xml:space="preserve">, sino </w:t>
      </w:r>
      <w:r w:rsidRPr="005D4A7D">
        <w:rPr>
          <w:rFonts w:ascii="Arial" w:hAnsi="Arial" w:cs="Arial"/>
          <w:i/>
          <w:sz w:val="24"/>
          <w:szCs w:val="24"/>
        </w:rPr>
        <w:t>ex post</w:t>
      </w:r>
      <w:r w:rsidR="00D4453E" w:rsidRPr="005D4A7D">
        <w:rPr>
          <w:rFonts w:ascii="Arial" w:hAnsi="Arial" w:cs="Arial"/>
          <w:i/>
          <w:sz w:val="24"/>
          <w:szCs w:val="24"/>
        </w:rPr>
        <w:t>.</w:t>
      </w:r>
    </w:p>
    <w:p w:rsidR="005E5E71" w:rsidRPr="005D4A7D" w:rsidRDefault="005A4AA9" w:rsidP="0074744F">
      <w:pPr>
        <w:spacing w:before="120" w:after="120" w:line="360" w:lineRule="auto"/>
        <w:rPr>
          <w:rFonts w:ascii="Arial" w:hAnsi="Arial" w:cs="Arial"/>
          <w:sz w:val="24"/>
          <w:szCs w:val="24"/>
        </w:rPr>
      </w:pPr>
      <w:r w:rsidRPr="005D4A7D">
        <w:rPr>
          <w:rFonts w:ascii="Arial" w:hAnsi="Arial" w:cs="Arial"/>
          <w:b/>
          <w:sz w:val="24"/>
          <w:szCs w:val="24"/>
        </w:rPr>
        <w:t>f</w:t>
      </w:r>
      <w:r w:rsidR="005E5E71" w:rsidRPr="005D4A7D">
        <w:rPr>
          <w:rFonts w:ascii="Arial" w:hAnsi="Arial" w:cs="Arial"/>
          <w:b/>
          <w:sz w:val="24"/>
          <w:szCs w:val="24"/>
        </w:rPr>
        <w:t>)</w:t>
      </w:r>
      <w:r w:rsidR="005E5E71" w:rsidRPr="005D4A7D">
        <w:rPr>
          <w:rFonts w:ascii="Arial" w:hAnsi="Arial" w:cs="Arial"/>
          <w:sz w:val="24"/>
          <w:szCs w:val="24"/>
        </w:rPr>
        <w:t xml:space="preserve"> </w:t>
      </w:r>
      <w:r w:rsidR="005E5E71" w:rsidRPr="005D4A7D">
        <w:rPr>
          <w:rFonts w:ascii="Arial" w:hAnsi="Arial" w:cs="Arial"/>
          <w:b/>
          <w:sz w:val="24"/>
          <w:szCs w:val="24"/>
        </w:rPr>
        <w:t>Agravios relativos a la individualización de la sanción.</w:t>
      </w:r>
      <w:r w:rsidR="005E5E71" w:rsidRPr="005D4A7D">
        <w:rPr>
          <w:rFonts w:ascii="Arial" w:hAnsi="Arial" w:cs="Arial"/>
          <w:sz w:val="24"/>
          <w:szCs w:val="24"/>
        </w:rPr>
        <w:t xml:space="preserve"> </w:t>
      </w:r>
    </w:p>
    <w:p w:rsidR="005E5E71" w:rsidRPr="005D4A7D" w:rsidRDefault="005E5E71" w:rsidP="0074744F">
      <w:pPr>
        <w:spacing w:before="120" w:after="120" w:line="360" w:lineRule="auto"/>
        <w:jc w:val="both"/>
        <w:rPr>
          <w:rFonts w:ascii="Arial" w:hAnsi="Arial" w:cs="Arial"/>
          <w:sz w:val="24"/>
          <w:szCs w:val="24"/>
        </w:rPr>
      </w:pPr>
      <w:r w:rsidRPr="005D4A7D">
        <w:rPr>
          <w:rFonts w:ascii="Arial" w:hAnsi="Arial" w:cs="Arial"/>
          <w:sz w:val="24"/>
          <w:szCs w:val="24"/>
        </w:rPr>
        <w:t>Los recurrentes señalan que la responsable no consideró las características del hecho para establecer una sanción adecuada, ya que no tomó en cuenta los elementos establecidos en el artículo 458 de la Ley Electoral,</w:t>
      </w:r>
      <w:r w:rsidRPr="005D4A7D">
        <w:rPr>
          <w:rStyle w:val="Refdenotaalpie"/>
          <w:rFonts w:ascii="Arial" w:hAnsi="Arial" w:cs="Arial"/>
          <w:sz w:val="24"/>
          <w:szCs w:val="24"/>
        </w:rPr>
        <w:footnoteReference w:id="28"/>
      </w:r>
      <w:r w:rsidRPr="005D4A7D">
        <w:rPr>
          <w:rFonts w:ascii="Arial" w:hAnsi="Arial" w:cs="Arial"/>
          <w:sz w:val="24"/>
          <w:szCs w:val="24"/>
        </w:rPr>
        <w:t xml:space="preserve"> y que el promocional no se transmitió. </w:t>
      </w:r>
    </w:p>
    <w:p w:rsidR="005E5E71" w:rsidRPr="005D4A7D" w:rsidRDefault="005E5E71" w:rsidP="0074744F">
      <w:pPr>
        <w:spacing w:before="120" w:after="120" w:line="360" w:lineRule="auto"/>
        <w:jc w:val="both"/>
        <w:rPr>
          <w:rFonts w:ascii="Arial" w:hAnsi="Arial" w:cs="Arial"/>
          <w:sz w:val="24"/>
          <w:szCs w:val="24"/>
        </w:rPr>
      </w:pPr>
      <w:r w:rsidRPr="005D4A7D">
        <w:rPr>
          <w:rFonts w:ascii="Arial" w:hAnsi="Arial" w:cs="Arial"/>
          <w:sz w:val="24"/>
          <w:szCs w:val="24"/>
        </w:rPr>
        <w:lastRenderedPageBreak/>
        <w:t xml:space="preserve">El presente agravio se estima </w:t>
      </w:r>
      <w:r w:rsidRPr="005D4A7D">
        <w:rPr>
          <w:rFonts w:ascii="Arial" w:hAnsi="Arial" w:cs="Arial"/>
          <w:b/>
          <w:sz w:val="24"/>
          <w:szCs w:val="24"/>
        </w:rPr>
        <w:t>infundado</w:t>
      </w:r>
      <w:r w:rsidRPr="005D4A7D">
        <w:rPr>
          <w:rFonts w:ascii="Arial" w:hAnsi="Arial" w:cs="Arial"/>
          <w:sz w:val="24"/>
          <w:szCs w:val="24"/>
        </w:rPr>
        <w:t xml:space="preserve">, en atención a que en la OCTAVA consideración de la sentencia controvertida, la responsable, para establecer las sanciones, sí consideró la totalidad de los elementos establecidos en el párrafo 5 del artículo 458, de la Ley Electoral, en los términos siguientes: </w:t>
      </w:r>
    </w:p>
    <w:p w:rsidR="005E5E71" w:rsidRPr="005D4A7D" w:rsidRDefault="005E5E71" w:rsidP="0074744F">
      <w:pPr>
        <w:pStyle w:val="Prrafodelista"/>
        <w:numPr>
          <w:ilvl w:val="0"/>
          <w:numId w:val="34"/>
        </w:numPr>
        <w:spacing w:before="120" w:after="120" w:line="360" w:lineRule="auto"/>
        <w:ind w:left="0" w:firstLine="0"/>
        <w:contextualSpacing w:val="0"/>
        <w:jc w:val="both"/>
        <w:rPr>
          <w:rFonts w:ascii="Arial" w:hAnsi="Arial" w:cs="Arial"/>
          <w:sz w:val="24"/>
          <w:szCs w:val="24"/>
        </w:rPr>
      </w:pPr>
      <w:r w:rsidRPr="005D4A7D">
        <w:rPr>
          <w:rFonts w:ascii="Arial" w:hAnsi="Arial" w:cs="Arial"/>
          <w:b/>
          <w:sz w:val="24"/>
          <w:szCs w:val="24"/>
        </w:rPr>
        <w:t>Cómo, cuándo y dónde</w:t>
      </w:r>
      <w:r w:rsidRPr="005D4A7D">
        <w:rPr>
          <w:rFonts w:ascii="Arial" w:hAnsi="Arial" w:cs="Arial"/>
          <w:sz w:val="24"/>
          <w:szCs w:val="24"/>
        </w:rPr>
        <w:t xml:space="preserve"> (Circunstancias de modo, tiempo, lugar, condiciones externas y medios de ejecución). </w:t>
      </w:r>
      <w:r w:rsidRPr="005D4A7D">
        <w:rPr>
          <w:rFonts w:ascii="Arial" w:hAnsi="Arial" w:cs="Arial"/>
          <w:bCs/>
          <w:sz w:val="24"/>
          <w:szCs w:val="24"/>
          <w:lang w:val="es-ES_tradnl"/>
        </w:rPr>
        <w:t xml:space="preserve">El PRI al utilizar su pauta, y el candidato </w:t>
      </w:r>
      <w:r w:rsidRPr="005D4A7D">
        <w:rPr>
          <w:rFonts w:ascii="Arial" w:hAnsi="Arial" w:cs="Arial"/>
          <w:bCs/>
          <w:sz w:val="24"/>
          <w:szCs w:val="24"/>
        </w:rPr>
        <w:t xml:space="preserve">José Enrique Doger Guerrero al publicar en Twitter, </w:t>
      </w:r>
      <w:r w:rsidRPr="005D4A7D">
        <w:rPr>
          <w:rFonts w:ascii="Arial" w:hAnsi="Arial" w:cs="Arial"/>
          <w:bCs/>
          <w:sz w:val="24"/>
          <w:szCs w:val="24"/>
          <w:lang w:val="es-ES_tradnl"/>
        </w:rPr>
        <w:t>transmitieron un mensaje que refuerza estereotipos que se traducen en violencia política por razón de género en contra de Martha Erika Alonso Hidalgo y la mujer en general.</w:t>
      </w:r>
    </w:p>
    <w:p w:rsidR="005E5E71" w:rsidRPr="005D4A7D" w:rsidRDefault="005E5E71" w:rsidP="0074744F">
      <w:pPr>
        <w:spacing w:before="120" w:after="120" w:line="360" w:lineRule="auto"/>
        <w:jc w:val="both"/>
        <w:rPr>
          <w:rFonts w:ascii="Arial" w:hAnsi="Arial" w:cs="Arial"/>
          <w:bCs/>
          <w:sz w:val="24"/>
          <w:szCs w:val="24"/>
          <w:lang w:val="es-ES_tradnl"/>
        </w:rPr>
      </w:pPr>
      <w:r w:rsidRPr="005D4A7D">
        <w:rPr>
          <w:rFonts w:ascii="Arial" w:hAnsi="Arial" w:cs="Arial"/>
          <w:bCs/>
          <w:sz w:val="24"/>
          <w:szCs w:val="24"/>
          <w:lang w:val="es-ES_tradnl"/>
        </w:rPr>
        <w:t xml:space="preserve">Además, el PRI en su spot versión </w:t>
      </w:r>
      <w:r w:rsidRPr="005D4A7D">
        <w:rPr>
          <w:rFonts w:ascii="Arial" w:hAnsi="Arial" w:cs="Arial"/>
          <w:sz w:val="24"/>
          <w:szCs w:val="24"/>
        </w:rPr>
        <w:t>radio</w:t>
      </w:r>
      <w:r w:rsidRPr="005D4A7D">
        <w:rPr>
          <w:rFonts w:ascii="Arial" w:hAnsi="Arial" w:cs="Arial"/>
          <w:bCs/>
          <w:sz w:val="24"/>
          <w:szCs w:val="24"/>
          <w:lang w:val="es-ES_tradnl"/>
        </w:rPr>
        <w:t xml:space="preserve">, </w:t>
      </w:r>
      <w:r w:rsidRPr="005D4A7D">
        <w:rPr>
          <w:rFonts w:ascii="Arial" w:hAnsi="Arial" w:cs="Arial"/>
          <w:b/>
          <w:bCs/>
          <w:sz w:val="24"/>
          <w:szCs w:val="24"/>
          <w:lang w:val="es-ES_tradnl"/>
        </w:rPr>
        <w:t>omitió identificarse como el partido emisor del mensaje</w:t>
      </w:r>
      <w:r w:rsidRPr="005D4A7D">
        <w:rPr>
          <w:rStyle w:val="Refdenotaalpie"/>
          <w:rFonts w:ascii="Arial" w:hAnsi="Arial" w:cs="Arial"/>
          <w:bCs/>
          <w:sz w:val="24"/>
          <w:szCs w:val="24"/>
          <w:lang w:val="es-ES_tradnl"/>
        </w:rPr>
        <w:footnoteReference w:id="29"/>
      </w:r>
      <w:r w:rsidRPr="005D4A7D">
        <w:rPr>
          <w:rFonts w:ascii="Arial" w:hAnsi="Arial" w:cs="Arial"/>
          <w:bCs/>
          <w:sz w:val="24"/>
          <w:szCs w:val="24"/>
          <w:lang w:val="es-ES_tradnl"/>
        </w:rPr>
        <w:t>.</w:t>
      </w:r>
    </w:p>
    <w:p w:rsidR="005E5E71" w:rsidRPr="005D4A7D" w:rsidRDefault="005E5E71" w:rsidP="0074744F">
      <w:pPr>
        <w:spacing w:before="120" w:after="120" w:line="360" w:lineRule="auto"/>
        <w:jc w:val="both"/>
        <w:rPr>
          <w:rFonts w:ascii="Arial" w:hAnsi="Arial" w:cs="Arial"/>
          <w:bCs/>
          <w:sz w:val="24"/>
          <w:szCs w:val="24"/>
          <w:lang w:val="es-ES_tradnl"/>
        </w:rPr>
      </w:pPr>
      <w:r w:rsidRPr="005D4A7D">
        <w:rPr>
          <w:rFonts w:ascii="Arial" w:hAnsi="Arial" w:cs="Arial"/>
          <w:bCs/>
          <w:sz w:val="24"/>
          <w:szCs w:val="24"/>
          <w:lang w:val="es-ES_tradnl"/>
        </w:rPr>
        <w:t xml:space="preserve">Lo anterior, constituyó una falta de consciencia y responsabilidad al pautar un spot (en la página de internet del INE), y red social que reproduce estereotipos de </w:t>
      </w:r>
      <w:r w:rsidRPr="005D4A7D">
        <w:rPr>
          <w:rFonts w:ascii="Arial" w:hAnsi="Arial" w:cs="Arial"/>
          <w:sz w:val="24"/>
          <w:szCs w:val="24"/>
        </w:rPr>
        <w:t>género</w:t>
      </w:r>
      <w:r w:rsidRPr="005D4A7D">
        <w:rPr>
          <w:rFonts w:ascii="Arial" w:hAnsi="Arial" w:cs="Arial"/>
          <w:bCs/>
          <w:sz w:val="24"/>
          <w:szCs w:val="24"/>
          <w:lang w:val="es-ES_tradnl"/>
        </w:rPr>
        <w:t>, que subordinan y minimizan las capacidades de la candidata dentro de la vida política.</w:t>
      </w:r>
    </w:p>
    <w:p w:rsidR="005E5E71" w:rsidRPr="005D4A7D" w:rsidRDefault="005E5E71" w:rsidP="0074744F">
      <w:pPr>
        <w:pStyle w:val="Prrafodelista"/>
        <w:numPr>
          <w:ilvl w:val="0"/>
          <w:numId w:val="34"/>
        </w:numPr>
        <w:spacing w:before="120" w:after="120" w:line="360" w:lineRule="auto"/>
        <w:ind w:left="0" w:firstLine="0"/>
        <w:contextualSpacing w:val="0"/>
        <w:jc w:val="both"/>
        <w:rPr>
          <w:rFonts w:ascii="Arial" w:hAnsi="Arial" w:cs="Arial"/>
          <w:sz w:val="24"/>
          <w:szCs w:val="24"/>
        </w:rPr>
      </w:pPr>
      <w:r w:rsidRPr="005D4A7D">
        <w:rPr>
          <w:rFonts w:ascii="Arial" w:hAnsi="Arial" w:cs="Arial"/>
          <w:b/>
          <w:sz w:val="24"/>
          <w:szCs w:val="24"/>
        </w:rPr>
        <w:lastRenderedPageBreak/>
        <w:t>Bien jurídico tutelado.</w:t>
      </w:r>
      <w:r w:rsidRPr="005D4A7D">
        <w:rPr>
          <w:rFonts w:ascii="Arial" w:hAnsi="Arial" w:cs="Arial"/>
          <w:sz w:val="24"/>
          <w:szCs w:val="24"/>
        </w:rPr>
        <w:t xml:space="preserve"> El derecho humano a la igualdad entre mujeres y hombres, lo cual se traduce en la prohibición de discriminar por razón de género</w:t>
      </w:r>
      <w:r w:rsidR="002473ED" w:rsidRPr="005D4A7D">
        <w:rPr>
          <w:rFonts w:ascii="Arial" w:hAnsi="Arial" w:cs="Arial"/>
          <w:sz w:val="24"/>
          <w:szCs w:val="24"/>
        </w:rPr>
        <w:t>,</w:t>
      </w:r>
      <w:r w:rsidRPr="005D4A7D">
        <w:rPr>
          <w:rFonts w:ascii="Arial" w:hAnsi="Arial" w:cs="Arial"/>
          <w:sz w:val="24"/>
          <w:szCs w:val="24"/>
        </w:rPr>
        <w:t xml:space="preserve"> pero sobre todo, el reconocimiento de los derechos de la mujer a una vida libre de violencia, así como el derecho de acceso a la información de la ciudadanía en general y en consecuencia de las personas con discapacidad visual, al omitir identificarse, en el spot de radio, como el partido responsable del mensaje.</w:t>
      </w:r>
    </w:p>
    <w:p w:rsidR="005E5E71" w:rsidRPr="005D4A7D" w:rsidRDefault="005E5E71" w:rsidP="0074744F">
      <w:pPr>
        <w:pStyle w:val="Prrafodelista"/>
        <w:numPr>
          <w:ilvl w:val="0"/>
          <w:numId w:val="34"/>
        </w:numPr>
        <w:spacing w:before="120" w:after="120" w:line="360" w:lineRule="auto"/>
        <w:ind w:left="0" w:firstLine="0"/>
        <w:contextualSpacing w:val="0"/>
        <w:jc w:val="both"/>
        <w:rPr>
          <w:rFonts w:ascii="Arial" w:hAnsi="Arial" w:cs="Arial"/>
          <w:sz w:val="24"/>
          <w:szCs w:val="24"/>
        </w:rPr>
      </w:pPr>
      <w:r w:rsidRPr="005D4A7D">
        <w:rPr>
          <w:rFonts w:ascii="Arial" w:hAnsi="Arial" w:cs="Arial"/>
          <w:b/>
          <w:sz w:val="24"/>
          <w:szCs w:val="24"/>
        </w:rPr>
        <w:t xml:space="preserve">Reincidencia. </w:t>
      </w:r>
      <w:r w:rsidRPr="005D4A7D">
        <w:rPr>
          <w:rFonts w:ascii="Arial" w:hAnsi="Arial" w:cs="Arial"/>
          <w:bCs/>
          <w:sz w:val="24"/>
          <w:szCs w:val="24"/>
        </w:rPr>
        <w:t>No se aprecia</w:t>
      </w:r>
      <w:r w:rsidRPr="005D4A7D">
        <w:rPr>
          <w:rStyle w:val="Refdenotaalpie"/>
          <w:rFonts w:ascii="Arial" w:hAnsi="Arial" w:cs="Arial"/>
          <w:bCs/>
          <w:sz w:val="24"/>
          <w:szCs w:val="24"/>
        </w:rPr>
        <w:footnoteReference w:id="30"/>
      </w:r>
      <w:r w:rsidRPr="005D4A7D">
        <w:rPr>
          <w:rFonts w:ascii="Arial" w:hAnsi="Arial" w:cs="Arial"/>
          <w:sz w:val="24"/>
          <w:szCs w:val="24"/>
        </w:rPr>
        <w:t>.</w:t>
      </w:r>
    </w:p>
    <w:p w:rsidR="005E5E71" w:rsidRPr="005D4A7D" w:rsidRDefault="005E5E71" w:rsidP="0074744F">
      <w:pPr>
        <w:pStyle w:val="Prrafodelista"/>
        <w:numPr>
          <w:ilvl w:val="0"/>
          <w:numId w:val="34"/>
        </w:numPr>
        <w:spacing w:before="120" w:after="120" w:line="360" w:lineRule="auto"/>
        <w:ind w:left="0" w:firstLine="0"/>
        <w:contextualSpacing w:val="0"/>
        <w:jc w:val="both"/>
        <w:rPr>
          <w:rFonts w:ascii="Arial" w:hAnsi="Arial" w:cs="Arial"/>
          <w:sz w:val="24"/>
          <w:szCs w:val="24"/>
        </w:rPr>
      </w:pPr>
      <w:r w:rsidRPr="005D4A7D">
        <w:rPr>
          <w:rFonts w:ascii="Arial" w:hAnsi="Arial" w:cs="Arial"/>
          <w:b/>
          <w:sz w:val="24"/>
          <w:szCs w:val="24"/>
        </w:rPr>
        <w:t xml:space="preserve">Beneficio económico o lucro. </w:t>
      </w:r>
      <w:r w:rsidRPr="005D4A7D">
        <w:rPr>
          <w:rFonts w:ascii="Arial" w:hAnsi="Arial" w:cs="Arial"/>
          <w:sz w:val="24"/>
          <w:szCs w:val="24"/>
        </w:rPr>
        <w:t>No hubo.</w:t>
      </w:r>
    </w:p>
    <w:p w:rsidR="005E5E71" w:rsidRPr="005D4A7D" w:rsidRDefault="005E5E71" w:rsidP="0074744F">
      <w:pPr>
        <w:pStyle w:val="Prrafodelista"/>
        <w:numPr>
          <w:ilvl w:val="0"/>
          <w:numId w:val="34"/>
        </w:numPr>
        <w:spacing w:before="120" w:after="120" w:line="360" w:lineRule="auto"/>
        <w:ind w:left="0" w:firstLine="0"/>
        <w:contextualSpacing w:val="0"/>
        <w:jc w:val="both"/>
        <w:rPr>
          <w:rFonts w:ascii="Arial" w:hAnsi="Arial" w:cs="Arial"/>
          <w:sz w:val="24"/>
          <w:szCs w:val="24"/>
        </w:rPr>
      </w:pPr>
      <w:r w:rsidRPr="005D4A7D">
        <w:rPr>
          <w:rFonts w:ascii="Arial" w:hAnsi="Arial" w:cs="Arial"/>
          <w:b/>
          <w:sz w:val="24"/>
          <w:szCs w:val="24"/>
        </w:rPr>
        <w:t xml:space="preserve">Sobre la calificación: </w:t>
      </w:r>
      <w:r w:rsidRPr="005D4A7D">
        <w:rPr>
          <w:rFonts w:ascii="Arial" w:hAnsi="Arial" w:cs="Arial"/>
          <w:sz w:val="24"/>
          <w:szCs w:val="24"/>
        </w:rPr>
        <w:t>Todos los elementos antes expuestos nos permiten</w:t>
      </w:r>
      <w:r w:rsidRPr="005D4A7D">
        <w:rPr>
          <w:rFonts w:ascii="Arial" w:hAnsi="Arial" w:cs="Arial"/>
          <w:noProof/>
          <w:sz w:val="24"/>
          <w:szCs w:val="24"/>
        </w:rPr>
        <w:t xml:space="preserve"> </w:t>
      </w:r>
      <w:r w:rsidRPr="005D4A7D">
        <w:rPr>
          <w:rFonts w:ascii="Arial" w:hAnsi="Arial" w:cs="Arial"/>
          <w:sz w:val="24"/>
          <w:szCs w:val="24"/>
        </w:rPr>
        <w:t xml:space="preserve">calificar la conducta como </w:t>
      </w:r>
      <w:r w:rsidRPr="005D4A7D">
        <w:rPr>
          <w:rFonts w:ascii="Arial" w:hAnsi="Arial" w:cs="Arial"/>
          <w:b/>
          <w:sz w:val="24"/>
          <w:szCs w:val="24"/>
        </w:rPr>
        <w:t>GRAVE ORDINARIA.</w:t>
      </w:r>
    </w:p>
    <w:p w:rsidR="005E5E71" w:rsidRPr="005D4A7D" w:rsidRDefault="005E5E71" w:rsidP="0074744F">
      <w:pPr>
        <w:spacing w:before="120" w:after="120" w:line="360" w:lineRule="auto"/>
        <w:jc w:val="both"/>
        <w:rPr>
          <w:rFonts w:ascii="Arial" w:hAnsi="Arial" w:cs="Arial"/>
          <w:sz w:val="24"/>
          <w:szCs w:val="24"/>
        </w:rPr>
      </w:pPr>
      <w:r w:rsidRPr="005D4A7D">
        <w:rPr>
          <w:rFonts w:ascii="Arial" w:hAnsi="Arial" w:cs="Arial"/>
          <w:sz w:val="24"/>
          <w:szCs w:val="24"/>
        </w:rPr>
        <w:t xml:space="preserve">En cuanto a la </w:t>
      </w:r>
      <w:r w:rsidRPr="005D4A7D">
        <w:rPr>
          <w:rFonts w:ascii="Arial" w:hAnsi="Arial" w:cs="Arial"/>
          <w:b/>
          <w:sz w:val="24"/>
          <w:szCs w:val="24"/>
        </w:rPr>
        <w:t>individualización de la sanción</w:t>
      </w:r>
      <w:r w:rsidRPr="005D4A7D">
        <w:rPr>
          <w:rFonts w:ascii="Arial" w:hAnsi="Arial" w:cs="Arial"/>
          <w:sz w:val="24"/>
          <w:szCs w:val="24"/>
        </w:rPr>
        <w:t>, la responsable señaló, respecto del PRI, que por el tipo de conducta y su calificación se impone una sanción consistente en una multa</w:t>
      </w:r>
      <w:r w:rsidRPr="005D4A7D">
        <w:rPr>
          <w:rStyle w:val="Refdenotaalpie"/>
          <w:rFonts w:ascii="Arial" w:hAnsi="Arial" w:cs="Arial"/>
          <w:sz w:val="24"/>
          <w:szCs w:val="24"/>
        </w:rPr>
        <w:footnoteReference w:id="31"/>
      </w:r>
      <w:r w:rsidRPr="005D4A7D">
        <w:rPr>
          <w:rFonts w:ascii="Arial" w:hAnsi="Arial" w:cs="Arial"/>
          <w:sz w:val="24"/>
          <w:szCs w:val="24"/>
        </w:rPr>
        <w:t xml:space="preserve"> de 1000 UMAS, equivalente a la cantidad de $80,600.00 (ochenta mil seiscientos pesos 00/100 M.N.). </w:t>
      </w:r>
    </w:p>
    <w:p w:rsidR="005E5E71" w:rsidRPr="005D4A7D" w:rsidRDefault="005E5E71" w:rsidP="0074744F">
      <w:pPr>
        <w:spacing w:before="120" w:after="120" w:line="360" w:lineRule="auto"/>
        <w:jc w:val="both"/>
        <w:rPr>
          <w:rFonts w:ascii="Arial" w:hAnsi="Arial" w:cs="Arial"/>
          <w:sz w:val="24"/>
          <w:szCs w:val="24"/>
        </w:rPr>
      </w:pPr>
      <w:r w:rsidRPr="005D4A7D">
        <w:rPr>
          <w:rFonts w:ascii="Arial" w:hAnsi="Arial" w:cs="Arial"/>
          <w:sz w:val="24"/>
          <w:szCs w:val="24"/>
        </w:rPr>
        <w:t>Y al candidato José Enrique Doger Guerrero, una multa</w:t>
      </w:r>
      <w:r w:rsidRPr="005D4A7D">
        <w:rPr>
          <w:rStyle w:val="Refdenotaalpie"/>
          <w:rFonts w:ascii="Arial" w:hAnsi="Arial" w:cs="Arial"/>
          <w:sz w:val="24"/>
          <w:szCs w:val="24"/>
        </w:rPr>
        <w:footnoteReference w:id="32"/>
      </w:r>
      <w:r w:rsidRPr="005D4A7D">
        <w:rPr>
          <w:rFonts w:ascii="Arial" w:hAnsi="Arial" w:cs="Arial"/>
          <w:sz w:val="24"/>
          <w:szCs w:val="24"/>
        </w:rPr>
        <w:t xml:space="preserve"> consistente en 500 UMAS equivalentes a la cantidad de $40,300.00 (cuarenta mil trescientos pesos 00/100 M.N.).</w:t>
      </w:r>
    </w:p>
    <w:p w:rsidR="005E5E71" w:rsidRPr="005D4A7D" w:rsidRDefault="005E5E71" w:rsidP="0074744F">
      <w:pPr>
        <w:spacing w:before="120" w:after="120" w:line="360" w:lineRule="auto"/>
        <w:jc w:val="both"/>
        <w:rPr>
          <w:rFonts w:ascii="Arial" w:hAnsi="Arial" w:cs="Arial"/>
          <w:sz w:val="24"/>
          <w:szCs w:val="24"/>
        </w:rPr>
      </w:pPr>
      <w:r w:rsidRPr="005D4A7D">
        <w:rPr>
          <w:rFonts w:ascii="Arial" w:hAnsi="Arial" w:cs="Arial"/>
          <w:sz w:val="24"/>
          <w:szCs w:val="24"/>
        </w:rPr>
        <w:t>La responsable estableció que la razón principal de estas sanciones era evitar la continuidad de la violencia política por razón de género, mediante el reforzamiento de estereotipos</w:t>
      </w:r>
      <w:r w:rsidR="00905467" w:rsidRPr="005D4A7D">
        <w:rPr>
          <w:rFonts w:ascii="Arial" w:hAnsi="Arial" w:cs="Arial"/>
          <w:sz w:val="24"/>
          <w:szCs w:val="24"/>
        </w:rPr>
        <w:t xml:space="preserve"> discriminatorios</w:t>
      </w:r>
      <w:r w:rsidRPr="005D4A7D">
        <w:rPr>
          <w:rFonts w:ascii="Arial" w:hAnsi="Arial" w:cs="Arial"/>
          <w:sz w:val="24"/>
          <w:szCs w:val="24"/>
        </w:rPr>
        <w:t xml:space="preserve">; aunado a que </w:t>
      </w:r>
      <w:r w:rsidRPr="005D4A7D">
        <w:rPr>
          <w:rFonts w:ascii="Arial" w:hAnsi="Arial" w:cs="Arial"/>
          <w:b/>
          <w:sz w:val="24"/>
          <w:szCs w:val="24"/>
        </w:rPr>
        <w:t>no se materializó la difusión en radio y televisión del spot</w:t>
      </w:r>
      <w:r w:rsidRPr="005D4A7D">
        <w:rPr>
          <w:rFonts w:ascii="Arial" w:hAnsi="Arial" w:cs="Arial"/>
          <w:sz w:val="24"/>
          <w:szCs w:val="24"/>
        </w:rPr>
        <w:t>; pero, si bien no es un mecanismo ordinario, se alojó en la página web del INE, lo cual puso en riesgo el modelo de comunicación política (contenido que se publicó en redes sociales)</w:t>
      </w:r>
      <w:r w:rsidRPr="005D4A7D">
        <w:rPr>
          <w:rStyle w:val="Refdenotaalpie"/>
          <w:rFonts w:ascii="Arial" w:hAnsi="Arial" w:cs="Arial"/>
          <w:sz w:val="24"/>
          <w:szCs w:val="24"/>
        </w:rPr>
        <w:footnoteReference w:id="33"/>
      </w:r>
      <w:r w:rsidRPr="005D4A7D">
        <w:rPr>
          <w:rFonts w:ascii="Arial" w:hAnsi="Arial" w:cs="Arial"/>
          <w:sz w:val="24"/>
          <w:szCs w:val="24"/>
        </w:rPr>
        <w:t>.</w:t>
      </w:r>
    </w:p>
    <w:p w:rsidR="005E5E71" w:rsidRPr="005D4A7D" w:rsidRDefault="005E5E71" w:rsidP="0074744F">
      <w:pPr>
        <w:spacing w:before="120" w:after="120" w:line="360" w:lineRule="auto"/>
        <w:jc w:val="both"/>
        <w:rPr>
          <w:rFonts w:ascii="Arial" w:hAnsi="Arial" w:cs="Arial"/>
          <w:sz w:val="24"/>
          <w:szCs w:val="24"/>
        </w:rPr>
      </w:pPr>
      <w:r w:rsidRPr="005D4A7D">
        <w:rPr>
          <w:rFonts w:ascii="Arial" w:hAnsi="Arial" w:cs="Arial"/>
          <w:sz w:val="24"/>
          <w:szCs w:val="24"/>
        </w:rPr>
        <w:lastRenderedPageBreak/>
        <w:t xml:space="preserve">Además, se consideró la </w:t>
      </w:r>
      <w:r w:rsidRPr="005D4A7D">
        <w:rPr>
          <w:rFonts w:ascii="Arial" w:hAnsi="Arial" w:cs="Arial"/>
          <w:b/>
          <w:sz w:val="24"/>
          <w:szCs w:val="24"/>
        </w:rPr>
        <w:t>situación socioeconómica de los sancionados</w:t>
      </w:r>
      <w:r w:rsidRPr="005D4A7D">
        <w:rPr>
          <w:rFonts w:ascii="Arial" w:hAnsi="Arial" w:cs="Arial"/>
          <w:sz w:val="24"/>
          <w:szCs w:val="24"/>
        </w:rPr>
        <w:t xml:space="preserve"> para concluir que, respecto del P</w:t>
      </w:r>
      <w:r w:rsidR="003236D5" w:rsidRPr="005D4A7D">
        <w:rPr>
          <w:rFonts w:ascii="Arial" w:hAnsi="Arial" w:cs="Arial"/>
          <w:sz w:val="24"/>
          <w:szCs w:val="24"/>
        </w:rPr>
        <w:t xml:space="preserve">RI, la multa equivalía al 5.3% </w:t>
      </w:r>
      <w:r w:rsidRPr="005D4A7D">
        <w:rPr>
          <w:rFonts w:ascii="Arial" w:hAnsi="Arial" w:cs="Arial"/>
          <w:sz w:val="24"/>
          <w:szCs w:val="24"/>
        </w:rPr>
        <w:t>de su financiamiento mensual ordinario y, respecto de su candidato a la gub</w:t>
      </w:r>
      <w:r w:rsidR="003236D5" w:rsidRPr="005D4A7D">
        <w:rPr>
          <w:rFonts w:ascii="Arial" w:hAnsi="Arial" w:cs="Arial"/>
          <w:sz w:val="24"/>
          <w:szCs w:val="24"/>
        </w:rPr>
        <w:t xml:space="preserve">ernatura, equivale al 1.3% </w:t>
      </w:r>
      <w:r w:rsidRPr="005D4A7D">
        <w:rPr>
          <w:rFonts w:ascii="Arial" w:hAnsi="Arial" w:cs="Arial"/>
          <w:sz w:val="24"/>
          <w:szCs w:val="24"/>
        </w:rPr>
        <w:t>de su ingreso total correspondiente al ejercicio fiscal dos mil diecisiete.</w:t>
      </w:r>
    </w:p>
    <w:p w:rsidR="005E5E71" w:rsidRPr="005D4A7D" w:rsidRDefault="005E5E71" w:rsidP="0074744F">
      <w:pPr>
        <w:spacing w:before="120" w:after="120" w:line="360" w:lineRule="auto"/>
        <w:jc w:val="both"/>
        <w:rPr>
          <w:rFonts w:ascii="Arial" w:hAnsi="Arial" w:cs="Arial"/>
          <w:sz w:val="24"/>
          <w:szCs w:val="24"/>
        </w:rPr>
      </w:pPr>
      <w:r w:rsidRPr="005D4A7D">
        <w:rPr>
          <w:rFonts w:ascii="Arial" w:hAnsi="Arial" w:cs="Arial"/>
          <w:sz w:val="24"/>
          <w:szCs w:val="24"/>
        </w:rPr>
        <w:t>Establecido lo anterior, es evidente que la responsable sí tomó en cuenta las condiciones específicas del hecho y, en particular, que el promocional no había sido difundido en radio y televisión, que la infracción se realizó como una falta de atención e “inconciencia”, por lo que no fue dolosa, y que no se apreciaba reincidencia, pues contrariamente a lo sostenido por los actores, la multa sí atiende tales circunstancias del hecho concreto, de ahí lo</w:t>
      </w:r>
      <w:r w:rsidRPr="005D4A7D">
        <w:rPr>
          <w:rFonts w:ascii="Arial" w:hAnsi="Arial" w:cs="Arial"/>
          <w:b/>
          <w:sz w:val="24"/>
          <w:szCs w:val="24"/>
        </w:rPr>
        <w:t xml:space="preserve"> infundado</w:t>
      </w:r>
      <w:r w:rsidRPr="005D4A7D">
        <w:rPr>
          <w:rFonts w:ascii="Arial" w:hAnsi="Arial" w:cs="Arial"/>
          <w:sz w:val="24"/>
          <w:szCs w:val="24"/>
        </w:rPr>
        <w:t xml:space="preserve"> del agravio. </w:t>
      </w:r>
    </w:p>
    <w:p w:rsidR="005E5E71" w:rsidRPr="005D4A7D" w:rsidRDefault="005E5E71" w:rsidP="0074744F">
      <w:pPr>
        <w:spacing w:before="120" w:after="120" w:line="360" w:lineRule="auto"/>
        <w:jc w:val="both"/>
        <w:rPr>
          <w:rFonts w:ascii="Arial" w:hAnsi="Arial" w:cs="Arial"/>
          <w:sz w:val="24"/>
          <w:szCs w:val="24"/>
        </w:rPr>
      </w:pPr>
      <w:r w:rsidRPr="005D4A7D">
        <w:rPr>
          <w:rFonts w:ascii="Arial" w:hAnsi="Arial" w:cs="Arial"/>
          <w:sz w:val="24"/>
          <w:szCs w:val="24"/>
        </w:rPr>
        <w:t>Finalmente, en las demandas no se agrega algún argumento encaminado a establecer que lo señalado por la responsable respecto de los elementos referidos</w:t>
      </w:r>
      <w:r w:rsidR="001D4202" w:rsidRPr="005D4A7D">
        <w:rPr>
          <w:rFonts w:ascii="Arial" w:hAnsi="Arial" w:cs="Arial"/>
          <w:sz w:val="24"/>
          <w:szCs w:val="24"/>
        </w:rPr>
        <w:t xml:space="preserve"> sea incorrecto o indebido</w:t>
      </w:r>
      <w:r w:rsidR="007368D7" w:rsidRPr="005D4A7D">
        <w:rPr>
          <w:rFonts w:ascii="Arial" w:hAnsi="Arial" w:cs="Arial"/>
          <w:sz w:val="24"/>
          <w:szCs w:val="24"/>
        </w:rPr>
        <w:t>, o por qué resultarían desproporcionadas o abusivas las sanciones impuestas</w:t>
      </w:r>
      <w:r w:rsidRPr="005D4A7D">
        <w:rPr>
          <w:rFonts w:ascii="Arial" w:hAnsi="Arial" w:cs="Arial"/>
          <w:sz w:val="24"/>
          <w:szCs w:val="24"/>
        </w:rPr>
        <w:t>.</w:t>
      </w:r>
    </w:p>
    <w:p w:rsidR="00EA0E32" w:rsidRPr="005D4A7D" w:rsidRDefault="00EA0E32" w:rsidP="0074744F">
      <w:pPr>
        <w:spacing w:before="120" w:after="120" w:line="360" w:lineRule="auto"/>
        <w:jc w:val="both"/>
        <w:rPr>
          <w:rFonts w:ascii="Arial" w:hAnsi="Arial" w:cs="Arial"/>
          <w:sz w:val="24"/>
          <w:szCs w:val="24"/>
        </w:rPr>
      </w:pPr>
      <w:r w:rsidRPr="005D4A7D">
        <w:rPr>
          <w:rFonts w:ascii="Arial" w:hAnsi="Arial" w:cs="Arial"/>
          <w:sz w:val="24"/>
          <w:szCs w:val="24"/>
        </w:rPr>
        <w:t>Por lo anterior, el agravio resulta</w:t>
      </w:r>
      <w:r w:rsidRPr="005D4A7D">
        <w:rPr>
          <w:rFonts w:ascii="Arial" w:hAnsi="Arial" w:cs="Arial"/>
          <w:b/>
          <w:sz w:val="24"/>
          <w:szCs w:val="24"/>
        </w:rPr>
        <w:t xml:space="preserve"> infundado. </w:t>
      </w:r>
    </w:p>
    <w:p w:rsidR="00EA0E32" w:rsidRPr="005D4A7D" w:rsidRDefault="00EA0E32" w:rsidP="0074744F">
      <w:pPr>
        <w:tabs>
          <w:tab w:val="left" w:pos="0"/>
          <w:tab w:val="left" w:pos="142"/>
          <w:tab w:val="left" w:pos="284"/>
        </w:tabs>
        <w:spacing w:before="120" w:after="120" w:line="360" w:lineRule="auto"/>
        <w:rPr>
          <w:rFonts w:ascii="Arial" w:eastAsia="Calibri" w:hAnsi="Arial" w:cs="Arial"/>
          <w:bCs/>
          <w:sz w:val="24"/>
          <w:szCs w:val="24"/>
        </w:rPr>
      </w:pPr>
      <w:r w:rsidRPr="005D4A7D">
        <w:rPr>
          <w:rFonts w:ascii="Arial" w:eastAsia="Calibri" w:hAnsi="Arial" w:cs="Arial"/>
          <w:bCs/>
          <w:sz w:val="24"/>
          <w:szCs w:val="24"/>
        </w:rPr>
        <w:t>Por lo expuesto y fundado, se</w:t>
      </w:r>
    </w:p>
    <w:p w:rsidR="00A741C5" w:rsidRPr="005D4A7D" w:rsidRDefault="00A741C5" w:rsidP="0074744F">
      <w:pPr>
        <w:pStyle w:val="Ttulo1"/>
        <w:spacing w:before="120" w:beforeAutospacing="0" w:after="120" w:afterAutospacing="0"/>
        <w:rPr>
          <w:lang w:eastAsia="es-MX"/>
        </w:rPr>
      </w:pPr>
      <w:bookmarkStart w:id="35" w:name="_Toc517459213"/>
      <w:bookmarkStart w:id="36" w:name="_Toc519067224"/>
      <w:bookmarkEnd w:id="12"/>
      <w:r w:rsidRPr="005D4A7D">
        <w:rPr>
          <w:lang w:eastAsia="es-MX"/>
        </w:rPr>
        <w:t>V</w:t>
      </w:r>
      <w:r w:rsidR="007F2461" w:rsidRPr="005D4A7D">
        <w:rPr>
          <w:lang w:eastAsia="es-MX"/>
        </w:rPr>
        <w:t>I</w:t>
      </w:r>
      <w:r w:rsidRPr="005D4A7D">
        <w:rPr>
          <w:lang w:eastAsia="es-MX"/>
        </w:rPr>
        <w:t>. RESUELVE</w:t>
      </w:r>
      <w:bookmarkEnd w:id="35"/>
      <w:bookmarkEnd w:id="36"/>
    </w:p>
    <w:p w:rsidR="00D4453E" w:rsidRPr="005D4A7D" w:rsidRDefault="00A741C5" w:rsidP="0074744F">
      <w:pPr>
        <w:spacing w:before="120" w:after="120" w:line="360" w:lineRule="auto"/>
        <w:jc w:val="both"/>
        <w:rPr>
          <w:rFonts w:ascii="Arial" w:eastAsia="Times New Roman" w:hAnsi="Arial" w:cs="Arial"/>
          <w:sz w:val="24"/>
          <w:szCs w:val="24"/>
          <w:lang w:eastAsia="es-MX"/>
        </w:rPr>
      </w:pPr>
      <w:r w:rsidRPr="005D4A7D">
        <w:rPr>
          <w:rFonts w:ascii="Arial" w:eastAsia="Times New Roman" w:hAnsi="Arial" w:cs="Arial"/>
          <w:b/>
          <w:sz w:val="24"/>
          <w:szCs w:val="24"/>
          <w:lang w:eastAsia="es-MX"/>
        </w:rPr>
        <w:t>PRIMERO.</w:t>
      </w:r>
      <w:r w:rsidRPr="005D4A7D">
        <w:rPr>
          <w:rFonts w:ascii="Arial" w:eastAsia="Times New Roman" w:hAnsi="Arial" w:cs="Arial"/>
          <w:sz w:val="24"/>
          <w:szCs w:val="24"/>
          <w:lang w:eastAsia="es-MX"/>
        </w:rPr>
        <w:t xml:space="preserve"> </w:t>
      </w:r>
      <w:r w:rsidR="00D4453E" w:rsidRPr="005D4A7D">
        <w:rPr>
          <w:rFonts w:ascii="Arial" w:eastAsia="Times New Roman" w:hAnsi="Arial" w:cs="Arial"/>
          <w:sz w:val="24"/>
          <w:szCs w:val="24"/>
          <w:lang w:eastAsia="es-MX"/>
        </w:rPr>
        <w:t xml:space="preserve">Se </w:t>
      </w:r>
      <w:r w:rsidR="00D4453E" w:rsidRPr="005D4A7D">
        <w:rPr>
          <w:rFonts w:ascii="Arial" w:eastAsia="Times New Roman" w:hAnsi="Arial" w:cs="Arial"/>
          <w:b/>
          <w:sz w:val="24"/>
          <w:szCs w:val="24"/>
          <w:lang w:eastAsia="es-MX"/>
        </w:rPr>
        <w:t>acumula</w:t>
      </w:r>
      <w:r w:rsidR="00D4453E" w:rsidRPr="005D4A7D">
        <w:rPr>
          <w:rFonts w:ascii="Arial" w:eastAsia="Times New Roman" w:hAnsi="Arial" w:cs="Arial"/>
          <w:sz w:val="24"/>
          <w:szCs w:val="24"/>
          <w:lang w:eastAsia="es-MX"/>
        </w:rPr>
        <w:t xml:space="preserve"> el recurso de revisión del procedimiento especial sancionador SUP-REP-627/2018 al diverso SUP-REP-623/2018, en consecuencia, deberá agregarse copia certificada de los puntos resolutivos de la presente sentencia a los autos del asunto acumulado.</w:t>
      </w:r>
    </w:p>
    <w:p w:rsidR="00A741C5" w:rsidRPr="005D4A7D" w:rsidRDefault="00A741C5" w:rsidP="0074744F">
      <w:pPr>
        <w:spacing w:before="120" w:after="120" w:line="360" w:lineRule="auto"/>
        <w:jc w:val="both"/>
        <w:rPr>
          <w:rFonts w:ascii="Arial" w:eastAsia="Times New Roman" w:hAnsi="Arial" w:cs="Arial"/>
          <w:sz w:val="24"/>
          <w:szCs w:val="24"/>
          <w:lang w:eastAsia="es-ES"/>
        </w:rPr>
      </w:pPr>
      <w:r w:rsidRPr="005D4A7D">
        <w:rPr>
          <w:rFonts w:ascii="Arial" w:eastAsia="Times New Roman" w:hAnsi="Arial" w:cs="Arial"/>
          <w:b/>
          <w:sz w:val="24"/>
          <w:szCs w:val="24"/>
          <w:lang w:eastAsia="es-ES"/>
        </w:rPr>
        <w:t xml:space="preserve">SEGUNDO. </w:t>
      </w:r>
      <w:r w:rsidRPr="005D4A7D">
        <w:rPr>
          <w:rFonts w:ascii="Arial" w:eastAsia="Times New Roman" w:hAnsi="Arial" w:cs="Arial"/>
          <w:sz w:val="24"/>
          <w:szCs w:val="24"/>
          <w:lang w:eastAsia="es-ES"/>
        </w:rPr>
        <w:t xml:space="preserve">Se </w:t>
      </w:r>
      <w:r w:rsidRPr="005D4A7D">
        <w:rPr>
          <w:rFonts w:ascii="Arial" w:eastAsia="Times New Roman" w:hAnsi="Arial" w:cs="Arial"/>
          <w:b/>
          <w:sz w:val="24"/>
          <w:szCs w:val="24"/>
          <w:lang w:eastAsia="es-ES"/>
        </w:rPr>
        <w:t xml:space="preserve">confirma </w:t>
      </w:r>
      <w:r w:rsidRPr="005D4A7D">
        <w:rPr>
          <w:rFonts w:ascii="Arial" w:eastAsia="Times New Roman" w:hAnsi="Arial" w:cs="Arial"/>
          <w:sz w:val="24"/>
          <w:szCs w:val="24"/>
          <w:lang w:eastAsia="es-ES"/>
        </w:rPr>
        <w:t>la resolución controvertida en lo que fue materia de impugnación.</w:t>
      </w:r>
    </w:p>
    <w:p w:rsidR="00A741C5" w:rsidRPr="005D4A7D" w:rsidRDefault="00A741C5" w:rsidP="0074744F">
      <w:pPr>
        <w:spacing w:before="120" w:after="120" w:line="360" w:lineRule="auto"/>
        <w:jc w:val="both"/>
        <w:rPr>
          <w:rFonts w:ascii="Arial" w:eastAsia="Times New Roman" w:hAnsi="Arial" w:cs="Arial"/>
          <w:sz w:val="24"/>
          <w:szCs w:val="24"/>
          <w:lang w:eastAsia="es-ES"/>
        </w:rPr>
      </w:pPr>
      <w:r w:rsidRPr="005D4A7D">
        <w:rPr>
          <w:rFonts w:ascii="Arial" w:eastAsia="Times New Roman" w:hAnsi="Arial" w:cs="Arial"/>
          <w:b/>
          <w:sz w:val="24"/>
          <w:szCs w:val="24"/>
          <w:lang w:eastAsia="es-ES"/>
        </w:rPr>
        <w:t>Notifíquese</w:t>
      </w:r>
      <w:r w:rsidRPr="005D4A7D">
        <w:rPr>
          <w:rFonts w:ascii="Arial" w:eastAsia="Times New Roman" w:hAnsi="Arial" w:cs="Arial"/>
          <w:sz w:val="24"/>
          <w:szCs w:val="24"/>
          <w:lang w:eastAsia="es-ES"/>
        </w:rPr>
        <w:t xml:space="preserve"> como corresponda. En su oportunidad, archívese el presente expediente como asunto concluido y, en su caso, hágase la devolución de la documentación exhibida.</w:t>
      </w:r>
    </w:p>
    <w:p w:rsidR="0074744F" w:rsidRDefault="0074744F" w:rsidP="0074744F">
      <w:pPr>
        <w:shd w:val="clear" w:color="auto" w:fill="FFFFFF"/>
        <w:spacing w:before="120" w:after="120" w:line="360" w:lineRule="auto"/>
        <w:jc w:val="both"/>
        <w:rPr>
          <w:rFonts w:ascii="Arial" w:hAnsi="Arial" w:cs="Arial"/>
          <w:sz w:val="24"/>
          <w:szCs w:val="24"/>
        </w:rPr>
      </w:pPr>
    </w:p>
    <w:p w:rsidR="00A741C5" w:rsidRPr="005D4A7D" w:rsidRDefault="00A741C5" w:rsidP="0074744F">
      <w:pPr>
        <w:shd w:val="clear" w:color="auto" w:fill="FFFFFF"/>
        <w:spacing w:before="120" w:after="120" w:line="360" w:lineRule="auto"/>
        <w:jc w:val="both"/>
        <w:rPr>
          <w:rFonts w:ascii="Arial" w:hAnsi="Arial" w:cs="Arial"/>
          <w:sz w:val="24"/>
          <w:szCs w:val="24"/>
        </w:rPr>
      </w:pPr>
      <w:r w:rsidRPr="005D4A7D">
        <w:rPr>
          <w:rFonts w:ascii="Arial" w:hAnsi="Arial" w:cs="Arial"/>
          <w:sz w:val="24"/>
          <w:szCs w:val="24"/>
        </w:rPr>
        <w:lastRenderedPageBreak/>
        <w:t xml:space="preserve">Así lo resolvieron por </w:t>
      </w:r>
      <w:r w:rsidR="005E0746" w:rsidRPr="005D4A7D">
        <w:rPr>
          <w:rFonts w:ascii="Arial" w:hAnsi="Arial" w:cs="Arial"/>
          <w:b/>
          <w:sz w:val="24"/>
          <w:szCs w:val="24"/>
        </w:rPr>
        <w:t>unanimidad</w:t>
      </w:r>
      <w:r w:rsidRPr="005D4A7D">
        <w:rPr>
          <w:rFonts w:ascii="Arial" w:hAnsi="Arial" w:cs="Arial"/>
          <w:sz w:val="24"/>
          <w:szCs w:val="24"/>
        </w:rPr>
        <w:t>,</w:t>
      </w:r>
      <w:r w:rsidRPr="005D4A7D">
        <w:rPr>
          <w:rFonts w:ascii="Arial" w:hAnsi="Arial" w:cs="Arial"/>
          <w:b/>
          <w:bCs/>
          <w:sz w:val="24"/>
          <w:szCs w:val="24"/>
        </w:rPr>
        <w:t xml:space="preserve"> </w:t>
      </w:r>
      <w:r w:rsidRPr="005D4A7D">
        <w:rPr>
          <w:rFonts w:ascii="Arial" w:hAnsi="Arial" w:cs="Arial"/>
          <w:sz w:val="24"/>
          <w:szCs w:val="24"/>
        </w:rPr>
        <w:t>las Magistradas y los Magistrados que integran la Sala Superior del Tribunal Electoral del Poder Judicial de la Federación, ante la Secretaria General de Acuerdos, quien autoriza y da fe.</w:t>
      </w:r>
    </w:p>
    <w:tbl>
      <w:tblPr>
        <w:tblW w:w="0" w:type="auto"/>
        <w:jc w:val="center"/>
        <w:tblCellMar>
          <w:left w:w="0" w:type="dxa"/>
          <w:right w:w="0" w:type="dxa"/>
        </w:tblCellMar>
        <w:tblLook w:val="04A0" w:firstRow="1" w:lastRow="0" w:firstColumn="1" w:lastColumn="0" w:noHBand="0" w:noVBand="1"/>
      </w:tblPr>
      <w:tblGrid>
        <w:gridCol w:w="3655"/>
        <w:gridCol w:w="3714"/>
      </w:tblGrid>
      <w:tr w:rsidR="00A741C5" w:rsidRPr="005D4A7D" w:rsidTr="00F50328">
        <w:trPr>
          <w:cantSplit/>
          <w:jc w:val="center"/>
        </w:trPr>
        <w:tc>
          <w:tcPr>
            <w:tcW w:w="7369" w:type="dxa"/>
            <w:gridSpan w:val="2"/>
            <w:tcMar>
              <w:top w:w="0" w:type="dxa"/>
              <w:left w:w="70" w:type="dxa"/>
              <w:bottom w:w="0" w:type="dxa"/>
              <w:right w:w="70" w:type="dxa"/>
            </w:tcMar>
          </w:tcPr>
          <w:p w:rsidR="00A741C5" w:rsidRPr="005D4A7D" w:rsidRDefault="00A741C5" w:rsidP="00F50328">
            <w:pPr>
              <w:spacing w:before="100" w:beforeAutospacing="1" w:after="100" w:afterAutospacing="1" w:line="360" w:lineRule="auto"/>
              <w:jc w:val="center"/>
              <w:rPr>
                <w:rFonts w:ascii="Arial" w:hAnsi="Arial" w:cs="Arial"/>
                <w:b/>
                <w:bCs/>
                <w:sz w:val="24"/>
                <w:szCs w:val="24"/>
              </w:rPr>
            </w:pPr>
            <w:r w:rsidRPr="005D4A7D">
              <w:rPr>
                <w:rFonts w:ascii="Arial" w:hAnsi="Arial" w:cs="Arial"/>
                <w:b/>
                <w:bCs/>
                <w:sz w:val="24"/>
                <w:szCs w:val="24"/>
              </w:rPr>
              <w:t>MAGISTRADA PRESIDENTA</w:t>
            </w:r>
          </w:p>
          <w:p w:rsidR="00A741C5" w:rsidRPr="005D4A7D" w:rsidRDefault="00A741C5" w:rsidP="00F50328">
            <w:pPr>
              <w:spacing w:before="100" w:beforeAutospacing="1" w:after="100" w:afterAutospacing="1" w:line="360" w:lineRule="auto"/>
              <w:jc w:val="center"/>
              <w:rPr>
                <w:rFonts w:ascii="Arial" w:hAnsi="Arial" w:cs="Arial"/>
                <w:b/>
                <w:bCs/>
                <w:sz w:val="20"/>
                <w:szCs w:val="24"/>
              </w:rPr>
            </w:pPr>
          </w:p>
          <w:p w:rsidR="00A741C5" w:rsidRPr="005D4A7D" w:rsidRDefault="00A741C5" w:rsidP="00F50328">
            <w:pPr>
              <w:spacing w:before="100" w:beforeAutospacing="1" w:after="100" w:afterAutospacing="1" w:line="360" w:lineRule="auto"/>
              <w:jc w:val="center"/>
              <w:rPr>
                <w:rFonts w:ascii="Arial" w:hAnsi="Arial" w:cs="Arial"/>
                <w:b/>
                <w:bCs/>
                <w:sz w:val="24"/>
                <w:szCs w:val="24"/>
              </w:rPr>
            </w:pPr>
            <w:r w:rsidRPr="005D4A7D">
              <w:rPr>
                <w:rFonts w:ascii="Arial" w:hAnsi="Arial" w:cs="Arial"/>
                <w:b/>
                <w:bCs/>
                <w:sz w:val="24"/>
                <w:szCs w:val="24"/>
              </w:rPr>
              <w:t>JANINE M. OTÁLORA MALASSIS</w:t>
            </w:r>
          </w:p>
          <w:p w:rsidR="00A741C5" w:rsidRPr="005D4A7D" w:rsidRDefault="00A741C5" w:rsidP="00F50328">
            <w:pPr>
              <w:spacing w:before="100" w:beforeAutospacing="1" w:after="100" w:afterAutospacing="1" w:line="360" w:lineRule="auto"/>
              <w:jc w:val="center"/>
              <w:rPr>
                <w:rFonts w:ascii="Arial" w:hAnsi="Arial" w:cs="Arial"/>
                <w:b/>
                <w:bCs/>
                <w:sz w:val="24"/>
                <w:szCs w:val="24"/>
              </w:rPr>
            </w:pPr>
          </w:p>
        </w:tc>
      </w:tr>
      <w:tr w:rsidR="00A741C5" w:rsidRPr="005D4A7D" w:rsidTr="00F50328">
        <w:trPr>
          <w:trHeight w:val="1679"/>
          <w:jc w:val="center"/>
        </w:trPr>
        <w:tc>
          <w:tcPr>
            <w:tcW w:w="3655" w:type="dxa"/>
            <w:tcMar>
              <w:top w:w="0" w:type="dxa"/>
              <w:left w:w="70" w:type="dxa"/>
              <w:bottom w:w="0" w:type="dxa"/>
              <w:right w:w="70" w:type="dxa"/>
            </w:tcMar>
          </w:tcPr>
          <w:p w:rsidR="00A741C5" w:rsidRPr="005D4A7D" w:rsidRDefault="00A741C5" w:rsidP="00F50328">
            <w:pPr>
              <w:spacing w:before="100" w:beforeAutospacing="1" w:after="100" w:afterAutospacing="1" w:line="360" w:lineRule="auto"/>
              <w:jc w:val="center"/>
              <w:rPr>
                <w:rFonts w:ascii="Arial" w:hAnsi="Arial" w:cs="Arial"/>
                <w:b/>
                <w:bCs/>
                <w:sz w:val="24"/>
                <w:szCs w:val="24"/>
              </w:rPr>
            </w:pPr>
            <w:r w:rsidRPr="005D4A7D">
              <w:rPr>
                <w:rFonts w:ascii="Arial" w:hAnsi="Arial" w:cs="Arial"/>
                <w:b/>
                <w:bCs/>
                <w:sz w:val="24"/>
                <w:szCs w:val="24"/>
              </w:rPr>
              <w:t>MAGISTRADO</w:t>
            </w:r>
          </w:p>
          <w:p w:rsidR="00A741C5" w:rsidRPr="005D4A7D" w:rsidRDefault="00A741C5" w:rsidP="00F50328">
            <w:pPr>
              <w:spacing w:before="100" w:beforeAutospacing="1" w:after="100" w:afterAutospacing="1" w:line="360" w:lineRule="auto"/>
              <w:jc w:val="center"/>
              <w:rPr>
                <w:rFonts w:ascii="Arial" w:hAnsi="Arial" w:cs="Arial"/>
                <w:b/>
                <w:bCs/>
                <w:sz w:val="20"/>
                <w:szCs w:val="24"/>
              </w:rPr>
            </w:pPr>
          </w:p>
          <w:p w:rsidR="00A741C5" w:rsidRPr="005D4A7D" w:rsidRDefault="00A741C5" w:rsidP="00F50328">
            <w:pPr>
              <w:spacing w:before="100" w:beforeAutospacing="1" w:after="100" w:afterAutospacing="1" w:line="360" w:lineRule="auto"/>
              <w:jc w:val="center"/>
              <w:rPr>
                <w:rFonts w:ascii="Arial" w:hAnsi="Arial" w:cs="Arial"/>
                <w:b/>
                <w:bCs/>
                <w:sz w:val="24"/>
                <w:szCs w:val="24"/>
              </w:rPr>
            </w:pPr>
            <w:r w:rsidRPr="005D4A7D">
              <w:rPr>
                <w:rFonts w:ascii="Arial" w:hAnsi="Arial" w:cs="Arial"/>
                <w:b/>
                <w:bCs/>
                <w:sz w:val="24"/>
                <w:szCs w:val="24"/>
              </w:rPr>
              <w:t>FELIPE DE LA MATA PIZAÑA</w:t>
            </w:r>
          </w:p>
        </w:tc>
        <w:tc>
          <w:tcPr>
            <w:tcW w:w="3714" w:type="dxa"/>
            <w:tcMar>
              <w:top w:w="0" w:type="dxa"/>
              <w:left w:w="70" w:type="dxa"/>
              <w:bottom w:w="0" w:type="dxa"/>
              <w:right w:w="70" w:type="dxa"/>
            </w:tcMar>
          </w:tcPr>
          <w:p w:rsidR="00A741C5" w:rsidRPr="005D4A7D" w:rsidRDefault="00A741C5" w:rsidP="00F50328">
            <w:pPr>
              <w:spacing w:before="100" w:beforeAutospacing="1" w:after="100" w:afterAutospacing="1" w:line="360" w:lineRule="auto"/>
              <w:jc w:val="center"/>
              <w:rPr>
                <w:rFonts w:ascii="Arial" w:hAnsi="Arial" w:cs="Arial"/>
                <w:b/>
                <w:bCs/>
                <w:sz w:val="24"/>
                <w:szCs w:val="24"/>
              </w:rPr>
            </w:pPr>
            <w:r w:rsidRPr="005D4A7D">
              <w:rPr>
                <w:rFonts w:ascii="Arial" w:hAnsi="Arial" w:cs="Arial"/>
                <w:b/>
                <w:bCs/>
                <w:sz w:val="24"/>
                <w:szCs w:val="24"/>
              </w:rPr>
              <w:t>MAGISTRADO</w:t>
            </w:r>
          </w:p>
          <w:p w:rsidR="00A741C5" w:rsidRPr="005D4A7D" w:rsidRDefault="00A741C5" w:rsidP="00F50328">
            <w:pPr>
              <w:spacing w:before="100" w:beforeAutospacing="1" w:after="100" w:afterAutospacing="1" w:line="360" w:lineRule="auto"/>
              <w:jc w:val="center"/>
              <w:rPr>
                <w:rFonts w:ascii="Arial" w:hAnsi="Arial" w:cs="Arial"/>
                <w:b/>
                <w:bCs/>
                <w:sz w:val="20"/>
                <w:szCs w:val="24"/>
              </w:rPr>
            </w:pPr>
          </w:p>
          <w:p w:rsidR="00A741C5" w:rsidRPr="005D4A7D" w:rsidRDefault="00A741C5" w:rsidP="00F50328">
            <w:pPr>
              <w:spacing w:before="100" w:beforeAutospacing="1" w:after="100" w:afterAutospacing="1" w:line="360" w:lineRule="auto"/>
              <w:jc w:val="center"/>
              <w:rPr>
                <w:rFonts w:ascii="Arial" w:hAnsi="Arial" w:cs="Arial"/>
                <w:b/>
                <w:bCs/>
                <w:sz w:val="24"/>
                <w:szCs w:val="24"/>
              </w:rPr>
            </w:pPr>
            <w:r w:rsidRPr="005D4A7D">
              <w:rPr>
                <w:rFonts w:ascii="Arial" w:hAnsi="Arial" w:cs="Arial"/>
                <w:b/>
                <w:bCs/>
                <w:sz w:val="24"/>
                <w:szCs w:val="24"/>
              </w:rPr>
              <w:t>FELIPE ALFREDO FUENTES BARRERA</w:t>
            </w:r>
          </w:p>
          <w:p w:rsidR="00A741C5" w:rsidRPr="005D4A7D" w:rsidRDefault="00A741C5" w:rsidP="00F50328">
            <w:pPr>
              <w:spacing w:before="100" w:beforeAutospacing="1" w:after="100" w:afterAutospacing="1" w:line="360" w:lineRule="auto"/>
              <w:jc w:val="center"/>
              <w:rPr>
                <w:rFonts w:ascii="Arial" w:hAnsi="Arial" w:cs="Arial"/>
                <w:b/>
                <w:bCs/>
                <w:sz w:val="24"/>
                <w:szCs w:val="24"/>
              </w:rPr>
            </w:pPr>
          </w:p>
        </w:tc>
      </w:tr>
      <w:tr w:rsidR="00A741C5" w:rsidRPr="005D4A7D" w:rsidTr="00F50328">
        <w:trPr>
          <w:cantSplit/>
          <w:jc w:val="center"/>
        </w:trPr>
        <w:tc>
          <w:tcPr>
            <w:tcW w:w="3655" w:type="dxa"/>
            <w:tcMar>
              <w:top w:w="0" w:type="dxa"/>
              <w:left w:w="70" w:type="dxa"/>
              <w:bottom w:w="0" w:type="dxa"/>
              <w:right w:w="70" w:type="dxa"/>
            </w:tcMar>
          </w:tcPr>
          <w:p w:rsidR="00A741C5" w:rsidRPr="005D4A7D" w:rsidRDefault="00A741C5" w:rsidP="00F50328">
            <w:pPr>
              <w:spacing w:before="100" w:beforeAutospacing="1" w:after="100" w:afterAutospacing="1" w:line="360" w:lineRule="auto"/>
              <w:jc w:val="center"/>
              <w:rPr>
                <w:rFonts w:ascii="Arial" w:hAnsi="Arial" w:cs="Arial"/>
                <w:b/>
                <w:bCs/>
                <w:sz w:val="24"/>
                <w:szCs w:val="24"/>
              </w:rPr>
            </w:pPr>
            <w:r w:rsidRPr="005D4A7D">
              <w:rPr>
                <w:rFonts w:ascii="Arial" w:hAnsi="Arial" w:cs="Arial"/>
                <w:b/>
                <w:bCs/>
                <w:sz w:val="24"/>
                <w:szCs w:val="24"/>
              </w:rPr>
              <w:t>MAGISTRADO</w:t>
            </w:r>
          </w:p>
          <w:p w:rsidR="00A741C5" w:rsidRPr="005D4A7D" w:rsidRDefault="00A741C5" w:rsidP="00F50328">
            <w:pPr>
              <w:spacing w:before="100" w:beforeAutospacing="1" w:after="100" w:afterAutospacing="1" w:line="360" w:lineRule="auto"/>
              <w:jc w:val="center"/>
              <w:rPr>
                <w:rFonts w:ascii="Arial" w:hAnsi="Arial" w:cs="Arial"/>
                <w:b/>
                <w:bCs/>
                <w:sz w:val="20"/>
                <w:szCs w:val="24"/>
              </w:rPr>
            </w:pPr>
          </w:p>
          <w:p w:rsidR="00A741C5" w:rsidRPr="005D4A7D" w:rsidRDefault="00A741C5" w:rsidP="00F50328">
            <w:pPr>
              <w:spacing w:before="100" w:beforeAutospacing="1" w:after="100" w:afterAutospacing="1" w:line="360" w:lineRule="auto"/>
              <w:jc w:val="center"/>
              <w:rPr>
                <w:rFonts w:ascii="Arial" w:hAnsi="Arial" w:cs="Arial"/>
                <w:b/>
                <w:bCs/>
                <w:sz w:val="24"/>
                <w:szCs w:val="24"/>
              </w:rPr>
            </w:pPr>
            <w:r w:rsidRPr="005D4A7D">
              <w:rPr>
                <w:rFonts w:ascii="Arial" w:hAnsi="Arial" w:cs="Arial"/>
                <w:b/>
                <w:bCs/>
                <w:sz w:val="24"/>
                <w:szCs w:val="24"/>
              </w:rPr>
              <w:t>INDALFER INFANTE GONZALES</w:t>
            </w:r>
          </w:p>
          <w:p w:rsidR="00A741C5" w:rsidRPr="005D4A7D" w:rsidRDefault="00A741C5" w:rsidP="00F50328">
            <w:pPr>
              <w:spacing w:before="100" w:beforeAutospacing="1" w:after="100" w:afterAutospacing="1" w:line="360" w:lineRule="auto"/>
              <w:jc w:val="center"/>
              <w:rPr>
                <w:rFonts w:ascii="Arial" w:hAnsi="Arial" w:cs="Arial"/>
                <w:b/>
                <w:bCs/>
                <w:sz w:val="24"/>
                <w:szCs w:val="24"/>
              </w:rPr>
            </w:pPr>
          </w:p>
        </w:tc>
        <w:tc>
          <w:tcPr>
            <w:tcW w:w="3714" w:type="dxa"/>
            <w:tcMar>
              <w:top w:w="0" w:type="dxa"/>
              <w:left w:w="70" w:type="dxa"/>
              <w:bottom w:w="0" w:type="dxa"/>
              <w:right w:w="70" w:type="dxa"/>
            </w:tcMar>
          </w:tcPr>
          <w:p w:rsidR="00A741C5" w:rsidRPr="005D4A7D" w:rsidRDefault="00A741C5" w:rsidP="00F50328">
            <w:pPr>
              <w:spacing w:before="100" w:beforeAutospacing="1" w:after="100" w:afterAutospacing="1" w:line="360" w:lineRule="auto"/>
              <w:jc w:val="center"/>
              <w:rPr>
                <w:rFonts w:ascii="Arial" w:hAnsi="Arial" w:cs="Arial"/>
                <w:b/>
                <w:bCs/>
                <w:sz w:val="24"/>
                <w:szCs w:val="24"/>
              </w:rPr>
            </w:pPr>
            <w:r w:rsidRPr="005D4A7D">
              <w:rPr>
                <w:rFonts w:ascii="Arial" w:hAnsi="Arial" w:cs="Arial"/>
                <w:b/>
                <w:bCs/>
                <w:sz w:val="24"/>
                <w:szCs w:val="24"/>
              </w:rPr>
              <w:t>MAGISTRADO</w:t>
            </w:r>
          </w:p>
          <w:p w:rsidR="00A741C5" w:rsidRPr="005D4A7D" w:rsidRDefault="00A741C5" w:rsidP="00F50328">
            <w:pPr>
              <w:spacing w:before="100" w:beforeAutospacing="1" w:after="100" w:afterAutospacing="1" w:line="360" w:lineRule="auto"/>
              <w:jc w:val="center"/>
              <w:rPr>
                <w:rFonts w:ascii="Arial" w:hAnsi="Arial" w:cs="Arial"/>
                <w:b/>
                <w:bCs/>
                <w:sz w:val="20"/>
                <w:szCs w:val="24"/>
              </w:rPr>
            </w:pPr>
          </w:p>
          <w:p w:rsidR="00A741C5" w:rsidRPr="005D4A7D" w:rsidRDefault="00A741C5" w:rsidP="00F50328">
            <w:pPr>
              <w:spacing w:before="100" w:beforeAutospacing="1" w:after="100" w:afterAutospacing="1" w:line="360" w:lineRule="auto"/>
              <w:jc w:val="center"/>
              <w:rPr>
                <w:rFonts w:ascii="Arial" w:hAnsi="Arial" w:cs="Arial"/>
                <w:b/>
                <w:bCs/>
                <w:sz w:val="24"/>
                <w:szCs w:val="24"/>
              </w:rPr>
            </w:pPr>
            <w:r w:rsidRPr="005D4A7D">
              <w:rPr>
                <w:rFonts w:ascii="Arial" w:hAnsi="Arial" w:cs="Arial"/>
                <w:b/>
                <w:bCs/>
                <w:sz w:val="24"/>
                <w:szCs w:val="24"/>
              </w:rPr>
              <w:t>REYES RODRÍGUEZ MONDRAGÓN</w:t>
            </w:r>
          </w:p>
        </w:tc>
      </w:tr>
      <w:tr w:rsidR="00A741C5" w:rsidRPr="005D4A7D" w:rsidTr="00F50328">
        <w:trPr>
          <w:cantSplit/>
          <w:trHeight w:val="2122"/>
          <w:jc w:val="center"/>
        </w:trPr>
        <w:tc>
          <w:tcPr>
            <w:tcW w:w="3655" w:type="dxa"/>
            <w:tcMar>
              <w:top w:w="0" w:type="dxa"/>
              <w:left w:w="70" w:type="dxa"/>
              <w:bottom w:w="0" w:type="dxa"/>
              <w:right w:w="70" w:type="dxa"/>
            </w:tcMar>
          </w:tcPr>
          <w:p w:rsidR="00A741C5" w:rsidRPr="005D4A7D" w:rsidRDefault="00A741C5" w:rsidP="00F50328">
            <w:pPr>
              <w:spacing w:before="100" w:beforeAutospacing="1" w:after="100" w:afterAutospacing="1" w:line="360" w:lineRule="auto"/>
              <w:jc w:val="center"/>
              <w:rPr>
                <w:rFonts w:ascii="Arial" w:hAnsi="Arial" w:cs="Arial"/>
                <w:b/>
                <w:bCs/>
                <w:sz w:val="24"/>
                <w:szCs w:val="24"/>
              </w:rPr>
            </w:pPr>
            <w:r w:rsidRPr="005D4A7D">
              <w:rPr>
                <w:rFonts w:ascii="Arial" w:hAnsi="Arial" w:cs="Arial"/>
                <w:b/>
                <w:bCs/>
                <w:sz w:val="24"/>
                <w:szCs w:val="24"/>
              </w:rPr>
              <w:br w:type="page"/>
            </w:r>
            <w:r w:rsidRPr="005D4A7D">
              <w:rPr>
                <w:rFonts w:ascii="Arial" w:hAnsi="Arial" w:cs="Arial"/>
                <w:b/>
                <w:bCs/>
                <w:sz w:val="24"/>
                <w:szCs w:val="24"/>
              </w:rPr>
              <w:br w:type="page"/>
            </w:r>
            <w:r w:rsidRPr="005D4A7D">
              <w:rPr>
                <w:rFonts w:ascii="Arial" w:hAnsi="Arial" w:cs="Arial"/>
                <w:b/>
                <w:bCs/>
                <w:sz w:val="24"/>
                <w:szCs w:val="24"/>
              </w:rPr>
              <w:br w:type="page"/>
            </w:r>
            <w:r w:rsidRPr="005D4A7D">
              <w:rPr>
                <w:rFonts w:ascii="Arial" w:hAnsi="Arial" w:cs="Arial"/>
                <w:b/>
                <w:bCs/>
                <w:sz w:val="24"/>
                <w:szCs w:val="24"/>
              </w:rPr>
              <w:br w:type="page"/>
              <w:t>MAGISTRADA</w:t>
            </w:r>
          </w:p>
          <w:p w:rsidR="00A741C5" w:rsidRPr="005D4A7D" w:rsidRDefault="00A741C5" w:rsidP="00F50328">
            <w:pPr>
              <w:spacing w:before="100" w:beforeAutospacing="1" w:after="100" w:afterAutospacing="1" w:line="360" w:lineRule="auto"/>
              <w:jc w:val="center"/>
              <w:rPr>
                <w:rFonts w:ascii="Arial" w:hAnsi="Arial" w:cs="Arial"/>
                <w:b/>
                <w:bCs/>
                <w:sz w:val="20"/>
                <w:szCs w:val="24"/>
              </w:rPr>
            </w:pPr>
          </w:p>
          <w:p w:rsidR="00A741C5" w:rsidRPr="005D4A7D" w:rsidRDefault="00A741C5" w:rsidP="00F50328">
            <w:pPr>
              <w:spacing w:before="100" w:beforeAutospacing="1" w:after="100" w:afterAutospacing="1" w:line="360" w:lineRule="auto"/>
              <w:jc w:val="center"/>
              <w:rPr>
                <w:rFonts w:ascii="Arial" w:hAnsi="Arial" w:cs="Arial"/>
                <w:b/>
                <w:bCs/>
                <w:sz w:val="24"/>
                <w:szCs w:val="24"/>
              </w:rPr>
            </w:pPr>
            <w:r w:rsidRPr="005D4A7D">
              <w:rPr>
                <w:rFonts w:ascii="Arial" w:hAnsi="Arial" w:cs="Arial"/>
                <w:b/>
                <w:bCs/>
                <w:sz w:val="24"/>
                <w:szCs w:val="24"/>
              </w:rPr>
              <w:t>MÓNICA ARALÍ SOTO FREGOSO</w:t>
            </w:r>
          </w:p>
        </w:tc>
        <w:tc>
          <w:tcPr>
            <w:tcW w:w="3714" w:type="dxa"/>
            <w:tcMar>
              <w:top w:w="0" w:type="dxa"/>
              <w:left w:w="70" w:type="dxa"/>
              <w:bottom w:w="0" w:type="dxa"/>
              <w:right w:w="70" w:type="dxa"/>
            </w:tcMar>
          </w:tcPr>
          <w:p w:rsidR="00A741C5" w:rsidRPr="005D4A7D" w:rsidRDefault="00A741C5" w:rsidP="00F50328">
            <w:pPr>
              <w:spacing w:before="100" w:beforeAutospacing="1" w:after="100" w:afterAutospacing="1" w:line="360" w:lineRule="auto"/>
              <w:jc w:val="center"/>
              <w:rPr>
                <w:rFonts w:ascii="Arial" w:hAnsi="Arial" w:cs="Arial"/>
                <w:b/>
                <w:bCs/>
                <w:sz w:val="24"/>
                <w:szCs w:val="24"/>
              </w:rPr>
            </w:pPr>
            <w:r w:rsidRPr="005D4A7D">
              <w:rPr>
                <w:rFonts w:ascii="Arial" w:hAnsi="Arial" w:cs="Arial"/>
                <w:b/>
                <w:bCs/>
                <w:sz w:val="24"/>
                <w:szCs w:val="24"/>
              </w:rPr>
              <w:t>MAGISTRADO</w:t>
            </w:r>
          </w:p>
          <w:p w:rsidR="00A741C5" w:rsidRPr="005D4A7D" w:rsidRDefault="00A741C5" w:rsidP="00F50328">
            <w:pPr>
              <w:spacing w:before="100" w:beforeAutospacing="1" w:after="100" w:afterAutospacing="1" w:line="360" w:lineRule="auto"/>
              <w:jc w:val="center"/>
              <w:rPr>
                <w:rFonts w:ascii="Arial" w:hAnsi="Arial" w:cs="Arial"/>
                <w:b/>
                <w:bCs/>
                <w:sz w:val="20"/>
                <w:szCs w:val="24"/>
              </w:rPr>
            </w:pPr>
          </w:p>
          <w:p w:rsidR="00A741C5" w:rsidRPr="005D4A7D" w:rsidRDefault="00A741C5" w:rsidP="00F50328">
            <w:pPr>
              <w:spacing w:before="100" w:beforeAutospacing="1" w:after="100" w:afterAutospacing="1" w:line="360" w:lineRule="auto"/>
              <w:jc w:val="center"/>
              <w:rPr>
                <w:rFonts w:ascii="Arial" w:hAnsi="Arial" w:cs="Arial"/>
                <w:b/>
                <w:bCs/>
                <w:sz w:val="24"/>
                <w:szCs w:val="24"/>
              </w:rPr>
            </w:pPr>
            <w:r w:rsidRPr="005D4A7D">
              <w:rPr>
                <w:rFonts w:ascii="Arial" w:hAnsi="Arial" w:cs="Arial"/>
                <w:b/>
                <w:bCs/>
                <w:sz w:val="24"/>
                <w:szCs w:val="24"/>
              </w:rPr>
              <w:t>JOSÉ LUIS VARGAS VALDEZ</w:t>
            </w:r>
          </w:p>
          <w:p w:rsidR="00A741C5" w:rsidRPr="005D4A7D" w:rsidRDefault="00A741C5" w:rsidP="00F50328">
            <w:pPr>
              <w:spacing w:before="100" w:beforeAutospacing="1" w:after="100" w:afterAutospacing="1" w:line="360" w:lineRule="auto"/>
              <w:jc w:val="center"/>
              <w:rPr>
                <w:rFonts w:ascii="Arial" w:hAnsi="Arial" w:cs="Arial"/>
                <w:b/>
                <w:bCs/>
                <w:sz w:val="24"/>
                <w:szCs w:val="24"/>
              </w:rPr>
            </w:pPr>
          </w:p>
        </w:tc>
      </w:tr>
      <w:tr w:rsidR="00A741C5" w:rsidRPr="005D4A7D" w:rsidTr="00F50328">
        <w:trPr>
          <w:cantSplit/>
          <w:trHeight w:val="1437"/>
          <w:jc w:val="center"/>
        </w:trPr>
        <w:tc>
          <w:tcPr>
            <w:tcW w:w="7369" w:type="dxa"/>
            <w:gridSpan w:val="2"/>
            <w:tcMar>
              <w:top w:w="0" w:type="dxa"/>
              <w:left w:w="70" w:type="dxa"/>
              <w:bottom w:w="0" w:type="dxa"/>
              <w:right w:w="70" w:type="dxa"/>
            </w:tcMar>
          </w:tcPr>
          <w:p w:rsidR="00A741C5" w:rsidRPr="005D4A7D" w:rsidRDefault="00A741C5" w:rsidP="00F50328">
            <w:pPr>
              <w:spacing w:before="100" w:beforeAutospacing="1" w:after="100" w:afterAutospacing="1" w:line="360" w:lineRule="auto"/>
              <w:jc w:val="center"/>
              <w:rPr>
                <w:rFonts w:ascii="Arial" w:hAnsi="Arial" w:cs="Arial"/>
                <w:b/>
                <w:bCs/>
                <w:sz w:val="24"/>
                <w:szCs w:val="24"/>
              </w:rPr>
            </w:pPr>
            <w:r w:rsidRPr="005D4A7D">
              <w:rPr>
                <w:rFonts w:ascii="Arial" w:hAnsi="Arial" w:cs="Arial"/>
                <w:b/>
                <w:bCs/>
                <w:sz w:val="24"/>
                <w:szCs w:val="24"/>
              </w:rPr>
              <w:t>SECRETARIA GENERAL DE ACUERDOS</w:t>
            </w:r>
          </w:p>
          <w:p w:rsidR="00A741C5" w:rsidRPr="005D4A7D" w:rsidRDefault="00A741C5" w:rsidP="00F50328">
            <w:pPr>
              <w:spacing w:before="100" w:beforeAutospacing="1" w:after="100" w:afterAutospacing="1" w:line="360" w:lineRule="auto"/>
              <w:jc w:val="center"/>
              <w:rPr>
                <w:rFonts w:ascii="Arial" w:hAnsi="Arial" w:cs="Arial"/>
                <w:b/>
                <w:bCs/>
                <w:sz w:val="20"/>
                <w:szCs w:val="24"/>
              </w:rPr>
            </w:pPr>
          </w:p>
          <w:p w:rsidR="00A741C5" w:rsidRPr="005D4A7D" w:rsidRDefault="00A741C5" w:rsidP="00F50328">
            <w:pPr>
              <w:spacing w:before="100" w:beforeAutospacing="1" w:after="100" w:afterAutospacing="1" w:line="360" w:lineRule="auto"/>
              <w:jc w:val="center"/>
              <w:rPr>
                <w:rFonts w:ascii="Arial" w:hAnsi="Arial" w:cs="Arial"/>
                <w:b/>
                <w:bCs/>
                <w:sz w:val="24"/>
                <w:szCs w:val="24"/>
              </w:rPr>
            </w:pPr>
            <w:r w:rsidRPr="005D4A7D">
              <w:rPr>
                <w:rFonts w:ascii="Arial" w:hAnsi="Arial" w:cs="Arial"/>
                <w:b/>
                <w:bCs/>
                <w:sz w:val="24"/>
                <w:szCs w:val="24"/>
              </w:rPr>
              <w:t>MARÍA CECILIA SÁNCHEZ BARREIRO</w:t>
            </w:r>
          </w:p>
        </w:tc>
      </w:tr>
    </w:tbl>
    <w:p w:rsidR="00A741C5" w:rsidRPr="005D4A7D" w:rsidRDefault="00A741C5" w:rsidP="005D4A7D">
      <w:pPr>
        <w:spacing w:before="360" w:after="360" w:line="360" w:lineRule="auto"/>
        <w:jc w:val="both"/>
        <w:rPr>
          <w:rFonts w:ascii="Arial" w:eastAsia="Times New Roman" w:hAnsi="Arial" w:cs="Arial"/>
          <w:sz w:val="24"/>
          <w:szCs w:val="24"/>
          <w:lang w:eastAsia="es-MX"/>
        </w:rPr>
      </w:pPr>
    </w:p>
    <w:sectPr w:rsidR="00A741C5" w:rsidRPr="005D4A7D" w:rsidSect="00D60114">
      <w:headerReference w:type="even" r:id="rId22"/>
      <w:headerReference w:type="default" r:id="rId23"/>
      <w:footerReference w:type="even" r:id="rId24"/>
      <w:footerReference w:type="default" r:id="rId25"/>
      <w:pgSz w:w="12240" w:h="18720" w:code="14"/>
      <w:pgMar w:top="2892" w:right="1418" w:bottom="1588" w:left="2835" w:header="1559" w:footer="113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C60F4" w:rsidRDefault="00DC60F4" w:rsidP="00F33108">
      <w:pPr>
        <w:spacing w:after="0" w:line="240" w:lineRule="auto"/>
      </w:pPr>
      <w:r>
        <w:separator/>
      </w:r>
    </w:p>
  </w:endnote>
  <w:endnote w:type="continuationSeparator" w:id="0">
    <w:p w:rsidR="00DC60F4" w:rsidRDefault="00DC60F4" w:rsidP="00F331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4"/>
      </w:rPr>
      <w:id w:val="653646618"/>
      <w:docPartObj>
        <w:docPartGallery w:val="Page Numbers (Bottom of Page)"/>
        <w:docPartUnique/>
      </w:docPartObj>
    </w:sdtPr>
    <w:sdtEndPr>
      <w:rPr>
        <w:rFonts w:ascii="Arial" w:hAnsi="Arial" w:cs="Arial"/>
        <w:sz w:val="28"/>
      </w:rPr>
    </w:sdtEndPr>
    <w:sdtContent>
      <w:p w:rsidR="004338CB" w:rsidRDefault="004338CB" w:rsidP="00A743E5">
        <w:pPr>
          <w:pStyle w:val="Piedepgina"/>
          <w:jc w:val="center"/>
          <w:rPr>
            <w:rFonts w:ascii="Arial" w:hAnsi="Arial" w:cs="Arial"/>
            <w:sz w:val="28"/>
          </w:rPr>
        </w:pPr>
        <w:r w:rsidRPr="00A01453">
          <w:rPr>
            <w:sz w:val="24"/>
          </w:rPr>
          <w:fldChar w:fldCharType="begin"/>
        </w:r>
        <w:r w:rsidRPr="00A01453">
          <w:rPr>
            <w:sz w:val="24"/>
          </w:rPr>
          <w:instrText>PAGE   \* MERGEFORMAT</w:instrText>
        </w:r>
        <w:r w:rsidRPr="00A01453">
          <w:rPr>
            <w:sz w:val="24"/>
          </w:rPr>
          <w:fldChar w:fldCharType="separate"/>
        </w:r>
        <w:r>
          <w:rPr>
            <w:noProof/>
            <w:sz w:val="24"/>
          </w:rPr>
          <w:t>4</w:t>
        </w:r>
        <w:r w:rsidRPr="00A01453">
          <w:rPr>
            <w:sz w:val="24"/>
          </w:rPr>
          <w:fldChar w:fldCharType="end"/>
        </w:r>
      </w:p>
    </w:sdtContent>
  </w:sdt>
  <w:p w:rsidR="004338CB" w:rsidRDefault="004338C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4"/>
      </w:rPr>
      <w:id w:val="-298154607"/>
      <w:docPartObj>
        <w:docPartGallery w:val="Page Numbers (Bottom of Page)"/>
        <w:docPartUnique/>
      </w:docPartObj>
    </w:sdtPr>
    <w:sdtEndPr>
      <w:rPr>
        <w:rFonts w:ascii="Arial" w:hAnsi="Arial" w:cs="Arial"/>
        <w:sz w:val="28"/>
      </w:rPr>
    </w:sdtEndPr>
    <w:sdtContent>
      <w:p w:rsidR="004338CB" w:rsidRPr="003A15FE" w:rsidRDefault="004338CB">
        <w:pPr>
          <w:pStyle w:val="Piedepgina"/>
          <w:jc w:val="center"/>
          <w:rPr>
            <w:rFonts w:ascii="Arial" w:hAnsi="Arial" w:cs="Arial"/>
            <w:sz w:val="24"/>
          </w:rPr>
        </w:pPr>
        <w:r w:rsidRPr="003A15FE">
          <w:rPr>
            <w:rFonts w:ascii="Arial" w:hAnsi="Arial" w:cs="Arial"/>
            <w:sz w:val="24"/>
          </w:rPr>
          <w:fldChar w:fldCharType="begin"/>
        </w:r>
        <w:r w:rsidRPr="003A15FE">
          <w:rPr>
            <w:rFonts w:ascii="Arial" w:hAnsi="Arial" w:cs="Arial"/>
            <w:sz w:val="24"/>
          </w:rPr>
          <w:instrText>PAGE   \* MERGEFORMAT</w:instrText>
        </w:r>
        <w:r w:rsidRPr="003A15FE">
          <w:rPr>
            <w:rFonts w:ascii="Arial" w:hAnsi="Arial" w:cs="Arial"/>
            <w:sz w:val="24"/>
          </w:rPr>
          <w:fldChar w:fldCharType="separate"/>
        </w:r>
        <w:r w:rsidR="00676781" w:rsidRPr="00676781">
          <w:rPr>
            <w:rFonts w:ascii="Arial" w:hAnsi="Arial" w:cs="Arial"/>
            <w:noProof/>
            <w:sz w:val="24"/>
            <w:lang w:val="es-ES"/>
          </w:rPr>
          <w:t>2</w:t>
        </w:r>
        <w:r w:rsidRPr="003A15FE">
          <w:rPr>
            <w:rFonts w:ascii="Arial" w:hAnsi="Arial" w:cs="Arial"/>
            <w:sz w:val="24"/>
          </w:rPr>
          <w:fldChar w:fldCharType="end"/>
        </w:r>
      </w:p>
    </w:sdtContent>
  </w:sdt>
  <w:p w:rsidR="004338CB" w:rsidRPr="00A01453" w:rsidRDefault="004338CB" w:rsidP="00A743E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C60F4" w:rsidRDefault="00DC60F4" w:rsidP="00F33108">
      <w:pPr>
        <w:spacing w:after="0" w:line="240" w:lineRule="auto"/>
      </w:pPr>
      <w:r>
        <w:separator/>
      </w:r>
    </w:p>
  </w:footnote>
  <w:footnote w:type="continuationSeparator" w:id="0">
    <w:p w:rsidR="00DC60F4" w:rsidRDefault="00DC60F4" w:rsidP="00F33108">
      <w:pPr>
        <w:spacing w:after="0" w:line="240" w:lineRule="auto"/>
      </w:pPr>
      <w:r>
        <w:continuationSeparator/>
      </w:r>
    </w:p>
  </w:footnote>
  <w:footnote w:id="1">
    <w:p w:rsidR="004338CB" w:rsidRPr="007F1D31" w:rsidRDefault="004338CB" w:rsidP="00F33108">
      <w:pPr>
        <w:pStyle w:val="Textonotapie"/>
        <w:jc w:val="both"/>
        <w:rPr>
          <w:rFonts w:ascii="Arial" w:hAnsi="Arial" w:cs="Arial"/>
          <w:sz w:val="18"/>
          <w:szCs w:val="18"/>
        </w:rPr>
      </w:pPr>
      <w:r w:rsidRPr="007F1D31">
        <w:rPr>
          <w:rStyle w:val="Refdenotaalpie"/>
          <w:rFonts w:ascii="Arial" w:hAnsi="Arial" w:cs="Arial"/>
          <w:sz w:val="18"/>
          <w:szCs w:val="18"/>
        </w:rPr>
        <w:footnoteRef/>
      </w:r>
      <w:r w:rsidRPr="007F1D31">
        <w:rPr>
          <w:rFonts w:ascii="Arial" w:hAnsi="Arial" w:cs="Arial"/>
          <w:sz w:val="18"/>
          <w:szCs w:val="18"/>
        </w:rPr>
        <w:t xml:space="preserve"> Secretarios:</w:t>
      </w:r>
      <w:r w:rsidR="00676781">
        <w:rPr>
          <w:rFonts w:ascii="Arial" w:hAnsi="Arial" w:cs="Arial"/>
          <w:sz w:val="18"/>
          <w:szCs w:val="18"/>
        </w:rPr>
        <w:t xml:space="preserve"> Araceli Yhalí Cruz Valle,</w:t>
      </w:r>
      <w:bookmarkStart w:id="1" w:name="_GoBack"/>
      <w:bookmarkEnd w:id="1"/>
      <w:r w:rsidRPr="007F1D31">
        <w:rPr>
          <w:rFonts w:ascii="Arial" w:hAnsi="Arial" w:cs="Arial"/>
          <w:sz w:val="18"/>
          <w:szCs w:val="18"/>
        </w:rPr>
        <w:t xml:space="preserve"> Osiris Vázquez Rangel y Carolina Roque Morales. </w:t>
      </w:r>
    </w:p>
  </w:footnote>
  <w:footnote w:id="2">
    <w:p w:rsidR="004338CB" w:rsidRPr="00F50328" w:rsidRDefault="004338CB" w:rsidP="00F50328">
      <w:pPr>
        <w:pStyle w:val="Textonotapie"/>
        <w:jc w:val="both"/>
        <w:rPr>
          <w:rFonts w:ascii="Arial" w:hAnsi="Arial" w:cs="Arial"/>
          <w:sz w:val="18"/>
          <w:szCs w:val="18"/>
        </w:rPr>
      </w:pPr>
      <w:r w:rsidRPr="00F50328">
        <w:rPr>
          <w:rStyle w:val="Refdenotaalpie"/>
          <w:rFonts w:ascii="Arial" w:hAnsi="Arial" w:cs="Arial"/>
          <w:sz w:val="18"/>
          <w:szCs w:val="18"/>
        </w:rPr>
        <w:footnoteRef/>
      </w:r>
      <w:r w:rsidRPr="00F50328">
        <w:rPr>
          <w:rFonts w:ascii="Arial" w:hAnsi="Arial" w:cs="Arial"/>
          <w:sz w:val="18"/>
          <w:szCs w:val="18"/>
        </w:rPr>
        <w:t xml:space="preserve"> Todas las fechas corresponden a dos mil dieciocho, salvo mención expresa.</w:t>
      </w:r>
    </w:p>
  </w:footnote>
  <w:footnote w:id="3">
    <w:p w:rsidR="004338CB" w:rsidRDefault="004338CB">
      <w:pPr>
        <w:pStyle w:val="Textonotapie"/>
      </w:pPr>
      <w:r>
        <w:rPr>
          <w:rStyle w:val="Refdenotaalpie"/>
        </w:rPr>
        <w:footnoteRef/>
      </w:r>
      <w:r>
        <w:t xml:space="preserve"> </w:t>
      </w:r>
      <w:r w:rsidRPr="00EB0AAC">
        <w:rPr>
          <w:rFonts w:ascii="Arial" w:eastAsia="Calibri" w:hAnsi="Arial" w:cs="Arial"/>
          <w:bCs/>
          <w:sz w:val="18"/>
          <w:szCs w:val="18"/>
        </w:rPr>
        <w:t>Martha Erika Alonso Hidalgo.</w:t>
      </w:r>
    </w:p>
  </w:footnote>
  <w:footnote w:id="4">
    <w:p w:rsidR="004338CB" w:rsidRDefault="004338CB">
      <w:pPr>
        <w:pStyle w:val="Textonotapie"/>
      </w:pPr>
      <w:r>
        <w:rPr>
          <w:rStyle w:val="Refdenotaalpie"/>
        </w:rPr>
        <w:footnoteRef/>
      </w:r>
      <w:r>
        <w:t xml:space="preserve"> </w:t>
      </w:r>
      <w:r w:rsidRPr="00AD1064">
        <w:rPr>
          <w:rFonts w:ascii="Arial" w:eastAsia="Calibri" w:hAnsi="Arial" w:cs="Arial"/>
          <w:bCs/>
          <w:sz w:val="18"/>
          <w:szCs w:val="18"/>
        </w:rPr>
        <w:t>José Enrique Doger Guerrero.</w:t>
      </w:r>
    </w:p>
  </w:footnote>
  <w:footnote w:id="5">
    <w:p w:rsidR="004338CB" w:rsidRPr="00F50328" w:rsidRDefault="004338CB" w:rsidP="00F50328">
      <w:pPr>
        <w:pStyle w:val="Textonotapie"/>
        <w:jc w:val="both"/>
        <w:rPr>
          <w:rFonts w:ascii="Arial" w:hAnsi="Arial" w:cs="Arial"/>
          <w:sz w:val="18"/>
          <w:szCs w:val="18"/>
        </w:rPr>
      </w:pPr>
      <w:r w:rsidRPr="00F50328">
        <w:rPr>
          <w:rStyle w:val="Refdenotaalpie"/>
          <w:rFonts w:ascii="Arial" w:hAnsi="Arial" w:cs="Arial"/>
          <w:sz w:val="18"/>
          <w:szCs w:val="18"/>
        </w:rPr>
        <w:footnoteRef/>
      </w:r>
      <w:r w:rsidRPr="00F50328">
        <w:rPr>
          <w:rFonts w:ascii="Arial" w:hAnsi="Arial" w:cs="Arial"/>
          <w:sz w:val="18"/>
          <w:szCs w:val="18"/>
        </w:rPr>
        <w:t xml:space="preserve"> Identificado con los números de folio “RV02647-18” y “RA03395-18”, para radio y televisión, respectivamente.</w:t>
      </w:r>
    </w:p>
  </w:footnote>
  <w:footnote w:id="6">
    <w:p w:rsidR="004338CB" w:rsidRPr="00E46C96" w:rsidRDefault="004338CB" w:rsidP="00E46C96">
      <w:pPr>
        <w:pStyle w:val="Textonotapie"/>
        <w:jc w:val="both"/>
        <w:rPr>
          <w:rFonts w:ascii="Arial" w:hAnsi="Arial" w:cs="Arial"/>
          <w:sz w:val="18"/>
          <w:szCs w:val="18"/>
        </w:rPr>
      </w:pPr>
      <w:r w:rsidRPr="00E46C96">
        <w:rPr>
          <w:rStyle w:val="Refdenotaalpie"/>
          <w:rFonts w:ascii="Arial" w:hAnsi="Arial" w:cs="Arial"/>
          <w:sz w:val="18"/>
          <w:szCs w:val="18"/>
        </w:rPr>
        <w:footnoteRef/>
      </w:r>
      <w:r w:rsidRPr="00E46C96">
        <w:rPr>
          <w:rFonts w:ascii="Arial" w:hAnsi="Arial" w:cs="Arial"/>
          <w:sz w:val="18"/>
          <w:szCs w:val="18"/>
        </w:rPr>
        <w:t xml:space="preserve"> Esta resolución fue impugnada en su momento por el PRI ante esta Sala Superior, quien el once de junio confirmó las medidas cautelares en el expediente SUP-REP-252/2018.</w:t>
      </w:r>
    </w:p>
  </w:footnote>
  <w:footnote w:id="7">
    <w:p w:rsidR="004338CB" w:rsidRPr="007F1D31" w:rsidRDefault="004338CB" w:rsidP="00E97162">
      <w:pPr>
        <w:pStyle w:val="Textonotapie"/>
        <w:jc w:val="both"/>
        <w:rPr>
          <w:rFonts w:ascii="Arial" w:hAnsi="Arial" w:cs="Arial"/>
          <w:sz w:val="18"/>
          <w:szCs w:val="18"/>
        </w:rPr>
      </w:pPr>
      <w:r w:rsidRPr="007F1D31">
        <w:rPr>
          <w:rStyle w:val="Refdenotaalpie"/>
          <w:rFonts w:ascii="Arial" w:hAnsi="Arial" w:cs="Arial"/>
          <w:sz w:val="18"/>
          <w:szCs w:val="18"/>
        </w:rPr>
        <w:footnoteRef/>
      </w:r>
      <w:r w:rsidRPr="007F1D31">
        <w:rPr>
          <w:rFonts w:ascii="Arial" w:hAnsi="Arial" w:cs="Arial"/>
          <w:sz w:val="18"/>
          <w:szCs w:val="18"/>
        </w:rPr>
        <w:t xml:space="preserve"> </w:t>
      </w:r>
      <w:r w:rsidRPr="007F1D31">
        <w:rPr>
          <w:rFonts w:ascii="Arial" w:hAnsi="Arial" w:cs="Arial"/>
          <w:color w:val="000000"/>
          <w:sz w:val="18"/>
          <w:szCs w:val="18"/>
        </w:rPr>
        <w:t>Con fundamento en lo dispuesto en los artículos 41, párrafo segundo, base VI, 99, párrafo cuarto, fracción X, de la Constitución; 184; 186, fracción X, y 189, fracción XIX, de la Ley Orgánica, así como 3, párrafo 2, inciso f), 4, párrafo 1, y 109, párrafo 2, de la Ley de Medios.</w:t>
      </w:r>
    </w:p>
  </w:footnote>
  <w:footnote w:id="8">
    <w:p w:rsidR="004338CB" w:rsidRPr="007F1D31" w:rsidRDefault="004338CB" w:rsidP="00E97162">
      <w:pPr>
        <w:pStyle w:val="Textonotapie"/>
        <w:jc w:val="both"/>
        <w:rPr>
          <w:rFonts w:ascii="Arial" w:hAnsi="Arial" w:cs="Arial"/>
          <w:sz w:val="18"/>
          <w:szCs w:val="18"/>
        </w:rPr>
      </w:pPr>
      <w:r w:rsidRPr="007F1D31">
        <w:rPr>
          <w:rStyle w:val="Refdenotaalpie"/>
          <w:rFonts w:ascii="Arial" w:hAnsi="Arial" w:cs="Arial"/>
          <w:sz w:val="18"/>
          <w:szCs w:val="18"/>
        </w:rPr>
        <w:footnoteRef/>
      </w:r>
      <w:r w:rsidRPr="007F1D31">
        <w:rPr>
          <w:rFonts w:ascii="Arial" w:hAnsi="Arial" w:cs="Arial"/>
          <w:sz w:val="18"/>
          <w:szCs w:val="18"/>
        </w:rPr>
        <w:t xml:space="preserve"> De conformidad con de conformidad con lo previsto en los artículos 199, fracción XI, de la Ley Orgánica del Poder Judicial de la Federación; 31, de la Ley de Medios; y, 79, del Reglamento Interno de este Tribunal Electoral,</w:t>
      </w:r>
    </w:p>
  </w:footnote>
  <w:footnote w:id="9">
    <w:p w:rsidR="004338CB" w:rsidRPr="007F1D31" w:rsidRDefault="004338CB">
      <w:pPr>
        <w:pStyle w:val="Textonotapie"/>
        <w:rPr>
          <w:rFonts w:ascii="Arial" w:hAnsi="Arial" w:cs="Arial"/>
          <w:sz w:val="18"/>
          <w:szCs w:val="18"/>
        </w:rPr>
      </w:pPr>
      <w:r w:rsidRPr="007F1D31">
        <w:rPr>
          <w:rStyle w:val="Refdenotaalpie"/>
          <w:rFonts w:ascii="Arial" w:hAnsi="Arial" w:cs="Arial"/>
          <w:sz w:val="18"/>
          <w:szCs w:val="18"/>
        </w:rPr>
        <w:footnoteRef/>
      </w:r>
      <w:r w:rsidRPr="007F1D31">
        <w:rPr>
          <w:rFonts w:ascii="Arial" w:hAnsi="Arial" w:cs="Arial"/>
          <w:sz w:val="18"/>
          <w:szCs w:val="18"/>
        </w:rPr>
        <w:t xml:space="preserve"> Conforme lo dispuesto en los artículos 7 párrafo 1; 8 párrafo 1; 9 párrafo 1; 13, 45; 109 y 110 párrafo 1, de la Ley de Medios.</w:t>
      </w:r>
    </w:p>
  </w:footnote>
  <w:footnote w:id="10">
    <w:p w:rsidR="004338CB" w:rsidRPr="007F1D31" w:rsidRDefault="004338CB" w:rsidP="00E46C96">
      <w:pPr>
        <w:pStyle w:val="Textonotapie"/>
        <w:jc w:val="both"/>
        <w:rPr>
          <w:rFonts w:ascii="Arial" w:eastAsia="Times New Roman" w:hAnsi="Arial" w:cs="Arial"/>
          <w:sz w:val="18"/>
          <w:szCs w:val="18"/>
          <w:lang w:eastAsia="es-MX"/>
        </w:rPr>
      </w:pPr>
      <w:r w:rsidRPr="007F1D31">
        <w:rPr>
          <w:rStyle w:val="Refdenotaalpie"/>
          <w:rFonts w:ascii="Arial" w:hAnsi="Arial" w:cs="Arial"/>
          <w:sz w:val="18"/>
          <w:szCs w:val="18"/>
        </w:rPr>
        <w:footnoteRef/>
      </w:r>
      <w:r w:rsidRPr="007F1D31">
        <w:rPr>
          <w:rFonts w:ascii="Arial" w:hAnsi="Arial" w:cs="Arial"/>
          <w:sz w:val="18"/>
          <w:szCs w:val="18"/>
        </w:rPr>
        <w:t xml:space="preserve"> </w:t>
      </w:r>
      <w:r w:rsidRPr="007F1D31">
        <w:rPr>
          <w:rFonts w:ascii="Arial" w:eastAsia="Times New Roman" w:hAnsi="Arial" w:cs="Arial"/>
          <w:sz w:val="18"/>
          <w:szCs w:val="18"/>
          <w:lang w:eastAsia="es-MX"/>
        </w:rPr>
        <w:t>En términos de lo dispuesto en el artículo 109, párrafo 3, de la Ley de Medios</w:t>
      </w:r>
      <w:r>
        <w:rPr>
          <w:rFonts w:ascii="Arial" w:eastAsia="Times New Roman" w:hAnsi="Arial" w:cs="Arial"/>
          <w:sz w:val="18"/>
          <w:szCs w:val="18"/>
          <w:lang w:eastAsia="es-MX"/>
        </w:rPr>
        <w:t>, porque se presentaron dentro</w:t>
      </w:r>
      <w:r w:rsidRPr="00E46C96">
        <w:rPr>
          <w:rFonts w:ascii="Arial" w:eastAsia="Times New Roman" w:hAnsi="Arial" w:cs="Arial"/>
          <w:sz w:val="18"/>
          <w:szCs w:val="18"/>
          <w:lang w:eastAsia="es-MX"/>
        </w:rPr>
        <w:t xml:space="preserve"> de </w:t>
      </w:r>
      <w:r>
        <w:rPr>
          <w:rFonts w:ascii="Arial" w:eastAsia="Times New Roman" w:hAnsi="Arial" w:cs="Arial"/>
          <w:sz w:val="18"/>
          <w:szCs w:val="18"/>
          <w:lang w:eastAsia="es-MX"/>
        </w:rPr>
        <w:t xml:space="preserve"> los </w:t>
      </w:r>
      <w:r w:rsidRPr="00E46C96">
        <w:rPr>
          <w:rFonts w:ascii="Arial" w:eastAsia="Times New Roman" w:hAnsi="Arial" w:cs="Arial"/>
          <w:sz w:val="18"/>
          <w:szCs w:val="18"/>
          <w:lang w:eastAsia="es-MX"/>
        </w:rPr>
        <w:t>3 días posteriores a la notificación de la sentencia impugnada</w:t>
      </w:r>
      <w:r>
        <w:rPr>
          <w:rFonts w:ascii="Arial" w:eastAsia="Times New Roman" w:hAnsi="Arial" w:cs="Arial"/>
          <w:sz w:val="18"/>
          <w:szCs w:val="18"/>
          <w:lang w:eastAsia="es-MX"/>
        </w:rPr>
        <w:t>.</w:t>
      </w:r>
    </w:p>
  </w:footnote>
  <w:footnote w:id="11">
    <w:p w:rsidR="004338CB" w:rsidRPr="007F1D31" w:rsidRDefault="004338CB" w:rsidP="008748FC">
      <w:pPr>
        <w:pStyle w:val="Textonotapie"/>
        <w:jc w:val="both"/>
        <w:rPr>
          <w:rFonts w:ascii="Arial" w:hAnsi="Arial" w:cs="Arial"/>
          <w:sz w:val="18"/>
          <w:szCs w:val="18"/>
        </w:rPr>
      </w:pPr>
      <w:r w:rsidRPr="007F1D31">
        <w:rPr>
          <w:rStyle w:val="Refdenotaalpie"/>
          <w:rFonts w:ascii="Arial" w:hAnsi="Arial" w:cs="Arial"/>
          <w:sz w:val="18"/>
          <w:szCs w:val="18"/>
        </w:rPr>
        <w:footnoteRef/>
      </w:r>
      <w:r w:rsidRPr="007F1D31">
        <w:rPr>
          <w:rFonts w:ascii="Arial" w:hAnsi="Arial" w:cs="Arial"/>
          <w:sz w:val="18"/>
          <w:szCs w:val="18"/>
        </w:rPr>
        <w:t xml:space="preserve"> En términos de lo dispuesto en el artículo 45, párrafo 1, inciso b), fracción IV, en correlación con el 110, párrafo 1, de la Ley de Medios</w:t>
      </w:r>
      <w:r w:rsidRPr="007F1D31">
        <w:rPr>
          <w:rFonts w:ascii="Arial" w:eastAsia="Times New Roman" w:hAnsi="Arial" w:cs="Arial"/>
          <w:sz w:val="18"/>
          <w:szCs w:val="18"/>
          <w:lang w:eastAsia="es-MX"/>
        </w:rPr>
        <w:t>.</w:t>
      </w:r>
    </w:p>
  </w:footnote>
  <w:footnote w:id="12">
    <w:p w:rsidR="004338CB" w:rsidRPr="007F1D31" w:rsidRDefault="004338CB" w:rsidP="00A741C5">
      <w:pPr>
        <w:pStyle w:val="Textonotapie"/>
        <w:jc w:val="both"/>
        <w:rPr>
          <w:rFonts w:ascii="Arial" w:hAnsi="Arial" w:cs="Arial"/>
          <w:b/>
          <w:sz w:val="18"/>
          <w:szCs w:val="18"/>
        </w:rPr>
      </w:pPr>
      <w:r w:rsidRPr="007F1D31">
        <w:rPr>
          <w:rStyle w:val="Refdenotaalpie"/>
          <w:rFonts w:ascii="Arial" w:hAnsi="Arial" w:cs="Arial"/>
          <w:sz w:val="18"/>
          <w:szCs w:val="18"/>
        </w:rPr>
        <w:footnoteRef/>
      </w:r>
      <w:r w:rsidRPr="007F1D31">
        <w:rPr>
          <w:rFonts w:ascii="Arial" w:hAnsi="Arial" w:cs="Arial"/>
          <w:sz w:val="18"/>
          <w:szCs w:val="18"/>
        </w:rPr>
        <w:t xml:space="preserve"> Conforme a la Jurisprudencia 4/2000, de rubro, </w:t>
      </w:r>
      <w:r w:rsidRPr="007F1D31">
        <w:rPr>
          <w:rFonts w:ascii="Arial" w:hAnsi="Arial" w:cs="Arial"/>
          <w:b/>
          <w:sz w:val="18"/>
          <w:szCs w:val="18"/>
        </w:rPr>
        <w:t>AGRAVIOS, SU EXAMEN EN CONJUNTO O SEPARADO, NO CAUSA LESIÓN.</w:t>
      </w:r>
    </w:p>
  </w:footnote>
  <w:footnote w:id="13">
    <w:p w:rsidR="004338CB" w:rsidRPr="007F1D31" w:rsidRDefault="004338CB" w:rsidP="00A741C5">
      <w:pPr>
        <w:pStyle w:val="Textonotapie"/>
        <w:jc w:val="both"/>
        <w:rPr>
          <w:rFonts w:ascii="Arial" w:hAnsi="Arial" w:cs="Arial"/>
          <w:b/>
          <w:bCs/>
          <w:sz w:val="18"/>
          <w:szCs w:val="18"/>
        </w:rPr>
      </w:pPr>
      <w:r w:rsidRPr="007F1D31">
        <w:rPr>
          <w:rStyle w:val="Refdenotaalpie"/>
          <w:rFonts w:ascii="Arial" w:hAnsi="Arial" w:cs="Arial"/>
          <w:sz w:val="18"/>
          <w:szCs w:val="18"/>
        </w:rPr>
        <w:footnoteRef/>
      </w:r>
      <w:r w:rsidRPr="007F1D31">
        <w:rPr>
          <w:rFonts w:ascii="Arial" w:hAnsi="Arial" w:cs="Arial"/>
          <w:sz w:val="18"/>
          <w:szCs w:val="18"/>
        </w:rPr>
        <w:t xml:space="preserve"> Véanse el SUP-JDC-383/2016 y el </w:t>
      </w:r>
      <w:r w:rsidRPr="007F1D31">
        <w:rPr>
          <w:rStyle w:val="detallearticulo1"/>
          <w:rFonts w:ascii="Arial" w:hAnsi="Arial" w:cs="Arial"/>
          <w:bCs/>
          <w:color w:val="000000"/>
          <w:sz w:val="18"/>
          <w:szCs w:val="18"/>
        </w:rPr>
        <w:t>SUP-JDC-18/2017.</w:t>
      </w:r>
    </w:p>
  </w:footnote>
  <w:footnote w:id="14">
    <w:p w:rsidR="004338CB" w:rsidRPr="007F1D31" w:rsidRDefault="004338CB" w:rsidP="00A741C5">
      <w:pPr>
        <w:pStyle w:val="Textonotapie"/>
        <w:jc w:val="both"/>
        <w:rPr>
          <w:rFonts w:ascii="Arial" w:hAnsi="Arial" w:cs="Arial"/>
          <w:sz w:val="18"/>
          <w:szCs w:val="18"/>
        </w:rPr>
      </w:pPr>
      <w:r w:rsidRPr="007F1D31">
        <w:rPr>
          <w:rStyle w:val="Refdenotaalpie"/>
          <w:rFonts w:ascii="Arial" w:hAnsi="Arial" w:cs="Arial"/>
          <w:sz w:val="18"/>
          <w:szCs w:val="18"/>
        </w:rPr>
        <w:footnoteRef/>
      </w:r>
      <w:r w:rsidRPr="007F1D31">
        <w:rPr>
          <w:rFonts w:ascii="Arial" w:hAnsi="Arial" w:cs="Arial"/>
          <w:sz w:val="18"/>
          <w:szCs w:val="18"/>
        </w:rPr>
        <w:t xml:space="preserve"> Jurisprudencia 1a./J. 22/2016. </w:t>
      </w:r>
      <w:r w:rsidRPr="000B6A85">
        <w:rPr>
          <w:rStyle w:val="Textoennegrita"/>
          <w:rFonts w:ascii="Arial" w:hAnsi="Arial" w:cs="Arial"/>
          <w:b w:val="0"/>
          <w:sz w:val="18"/>
          <w:szCs w:val="18"/>
        </w:rPr>
        <w:t>Publicada en la Gaceta del Semanario Judicial de la Federación,</w:t>
      </w:r>
      <w:r w:rsidRPr="007F1D31">
        <w:rPr>
          <w:rStyle w:val="Textoennegrita"/>
          <w:rFonts w:ascii="Arial" w:hAnsi="Arial" w:cs="Arial"/>
          <w:sz w:val="18"/>
          <w:szCs w:val="18"/>
        </w:rPr>
        <w:t xml:space="preserve"> </w:t>
      </w:r>
      <w:r w:rsidRPr="007F1D31">
        <w:rPr>
          <w:rFonts w:ascii="Arial" w:hAnsi="Arial" w:cs="Arial"/>
          <w:color w:val="000000"/>
          <w:sz w:val="18"/>
          <w:szCs w:val="18"/>
        </w:rPr>
        <w:t xml:space="preserve">libro 29 de abril de 2016, tomo II, página 836, de rubro “ACCESO A LA JUSTICIA EN CONDICIONES DE IGUALDAD. ELEMENTOS PARA JUZGAR CON PERSPECTIVA DE GÉNERO”. </w:t>
      </w:r>
    </w:p>
  </w:footnote>
  <w:footnote w:id="15">
    <w:p w:rsidR="004338CB" w:rsidRPr="000B6A85" w:rsidRDefault="004338CB" w:rsidP="00E97783">
      <w:pPr>
        <w:pStyle w:val="Textonotapie"/>
        <w:jc w:val="both"/>
        <w:rPr>
          <w:rStyle w:val="Textoennegrita"/>
          <w:rFonts w:ascii="Arial" w:hAnsi="Arial" w:cs="Arial"/>
          <w:sz w:val="18"/>
          <w:szCs w:val="18"/>
        </w:rPr>
      </w:pPr>
      <w:r w:rsidRPr="007F1D31">
        <w:rPr>
          <w:rStyle w:val="Refdenotaalpie"/>
          <w:rFonts w:ascii="Arial" w:eastAsiaTheme="majorEastAsia" w:hAnsi="Arial" w:cs="Arial"/>
          <w:sz w:val="18"/>
          <w:szCs w:val="18"/>
        </w:rPr>
        <w:footnoteRef/>
      </w:r>
      <w:r w:rsidRPr="007F1D31">
        <w:rPr>
          <w:rFonts w:ascii="Arial" w:hAnsi="Arial" w:cs="Arial"/>
          <w:sz w:val="18"/>
          <w:szCs w:val="18"/>
        </w:rPr>
        <w:t xml:space="preserve"> </w:t>
      </w:r>
      <w:r w:rsidRPr="000B6A85">
        <w:rPr>
          <w:rStyle w:val="Textoennegrita"/>
          <w:rFonts w:ascii="Arial" w:hAnsi="Arial" w:cs="Arial"/>
          <w:b w:val="0"/>
          <w:sz w:val="18"/>
          <w:szCs w:val="18"/>
        </w:rPr>
        <w:t xml:space="preserve">Tesis P. XX/2015 (10a.). Publicada en la Gaceta del Semanario Judicial de la Federación, </w:t>
      </w:r>
      <w:r w:rsidRPr="000B6A85">
        <w:rPr>
          <w:rFonts w:ascii="Arial" w:hAnsi="Arial" w:cs="Arial"/>
          <w:color w:val="000000"/>
          <w:sz w:val="18"/>
          <w:szCs w:val="18"/>
        </w:rPr>
        <w:t>libro 22, septiembre de 2015, tomo I, página 35, de rubro “</w:t>
      </w:r>
      <w:r w:rsidRPr="000B6A85">
        <w:rPr>
          <w:rStyle w:val="detallearticulo1"/>
          <w:rFonts w:ascii="Arial" w:hAnsi="Arial" w:cs="Arial"/>
          <w:bCs/>
          <w:color w:val="000000"/>
          <w:sz w:val="18"/>
          <w:szCs w:val="18"/>
        </w:rPr>
        <w:t xml:space="preserve">IMPARTICIÓN DE JUSTICIA CON PERSPECTIVA DE GÉNERO. OBLIGACIONES QUE DEBE CUMPLIR EL ESTADO MEXICANO EN LA MATERIA”. </w:t>
      </w:r>
    </w:p>
  </w:footnote>
  <w:footnote w:id="16">
    <w:p w:rsidR="004338CB" w:rsidRPr="007F2461" w:rsidRDefault="004338CB" w:rsidP="007F2461">
      <w:pPr>
        <w:widowControl w:val="0"/>
        <w:autoSpaceDE w:val="0"/>
        <w:autoSpaceDN w:val="0"/>
        <w:adjustRightInd w:val="0"/>
        <w:spacing w:after="0" w:line="240" w:lineRule="auto"/>
        <w:jc w:val="both"/>
        <w:rPr>
          <w:rFonts w:ascii="Arial" w:hAnsi="Arial" w:cs="Arial"/>
          <w:i/>
          <w:sz w:val="18"/>
          <w:szCs w:val="18"/>
          <w:lang w:val="es-ES_tradnl" w:eastAsia="es-ES_tradnl"/>
        </w:rPr>
      </w:pPr>
      <w:r w:rsidRPr="007F2461">
        <w:rPr>
          <w:rStyle w:val="Refdenotaalpie"/>
          <w:rFonts w:ascii="Arial" w:eastAsiaTheme="majorEastAsia" w:hAnsi="Arial" w:cs="Arial"/>
          <w:sz w:val="18"/>
          <w:szCs w:val="18"/>
        </w:rPr>
        <w:footnoteRef/>
      </w:r>
      <w:r w:rsidRPr="007F2461">
        <w:rPr>
          <w:rFonts w:ascii="Arial" w:hAnsi="Arial" w:cs="Arial"/>
          <w:sz w:val="18"/>
          <w:szCs w:val="18"/>
        </w:rPr>
        <w:t xml:space="preserve"> </w:t>
      </w:r>
      <w:r w:rsidRPr="007F2461">
        <w:rPr>
          <w:rFonts w:ascii="Arial" w:hAnsi="Arial" w:cs="Arial"/>
          <w:b/>
          <w:bCs/>
          <w:sz w:val="18"/>
          <w:szCs w:val="18"/>
          <w:lang w:val="es-ES_tradnl" w:eastAsia="es-ES_tradnl"/>
        </w:rPr>
        <w:t>Articulo 5. “</w:t>
      </w:r>
      <w:r w:rsidRPr="007F2461">
        <w:rPr>
          <w:rFonts w:ascii="Arial" w:hAnsi="Arial" w:cs="Arial"/>
          <w:i/>
          <w:sz w:val="18"/>
          <w:szCs w:val="18"/>
          <w:lang w:val="es-ES_tradnl" w:eastAsia="es-ES_tradnl"/>
        </w:rPr>
        <w:t>Los Estados Partes tomarán todas las medidas apropiadas para:</w:t>
      </w:r>
    </w:p>
    <w:p w:rsidR="004338CB" w:rsidRPr="007F2461" w:rsidRDefault="004338CB" w:rsidP="007F2461">
      <w:pPr>
        <w:widowControl w:val="0"/>
        <w:autoSpaceDE w:val="0"/>
        <w:autoSpaceDN w:val="0"/>
        <w:adjustRightInd w:val="0"/>
        <w:spacing w:after="0" w:line="240" w:lineRule="auto"/>
        <w:jc w:val="both"/>
        <w:rPr>
          <w:rFonts w:ascii="Arial" w:hAnsi="Arial" w:cs="Arial"/>
          <w:i/>
          <w:sz w:val="18"/>
          <w:szCs w:val="18"/>
          <w:lang w:val="es-ES_tradnl" w:eastAsia="es-ES_tradnl"/>
        </w:rPr>
      </w:pPr>
      <w:r w:rsidRPr="007F2461">
        <w:rPr>
          <w:rFonts w:ascii="Arial" w:hAnsi="Arial" w:cs="Arial"/>
          <w:i/>
          <w:sz w:val="18"/>
          <w:szCs w:val="18"/>
          <w:lang w:val="es-ES_tradnl" w:eastAsia="es-ES_tradnl"/>
        </w:rPr>
        <w:t>a) Modificar los patrones socioculturales de conducta de hombres y mujeres, con miras a alcanzar la eliminación de los prejuicios y las prácticas consuetudinarias y de cualquier otra índole que estén basados en la idea de la inferioridad o superioridad de cualquiera de los sexos o en funciones estereotipadas de hombres y mujeres;</w:t>
      </w:r>
    </w:p>
    <w:p w:rsidR="004338CB" w:rsidRPr="007F2461" w:rsidRDefault="004338CB" w:rsidP="007F2461">
      <w:pPr>
        <w:widowControl w:val="0"/>
        <w:autoSpaceDE w:val="0"/>
        <w:autoSpaceDN w:val="0"/>
        <w:adjustRightInd w:val="0"/>
        <w:spacing w:after="0" w:line="240" w:lineRule="auto"/>
        <w:jc w:val="both"/>
        <w:rPr>
          <w:rFonts w:ascii="Arial" w:hAnsi="Arial" w:cs="Arial"/>
          <w:i/>
          <w:sz w:val="18"/>
          <w:szCs w:val="18"/>
          <w:lang w:val="es-ES_tradnl" w:eastAsia="es-ES_tradnl"/>
        </w:rPr>
      </w:pPr>
      <w:r w:rsidRPr="007F2461">
        <w:rPr>
          <w:rFonts w:ascii="Arial" w:hAnsi="Arial" w:cs="Arial"/>
          <w:i/>
          <w:sz w:val="18"/>
          <w:szCs w:val="18"/>
          <w:lang w:val="es-ES_tradnl" w:eastAsia="es-ES_tradnl"/>
        </w:rPr>
        <w:t>b) Garantizar que la educación familiar incluya una comprensión adecuada de la maternidad como función social y el reconocimiento de la responsabilidad común de hombres y mujeres en cuanto a la educación y al desarrollo de sus hijos, en la inteligencia de que el interés de los hijos constituirá la consideración primordial en todos los casos”.</w:t>
      </w:r>
    </w:p>
  </w:footnote>
  <w:footnote w:id="17">
    <w:p w:rsidR="004338CB" w:rsidRPr="00E97783" w:rsidRDefault="004338CB" w:rsidP="007F2461">
      <w:pPr>
        <w:pStyle w:val="Textonotapie"/>
        <w:rPr>
          <w:rFonts w:ascii="Arial" w:hAnsi="Arial" w:cs="Arial"/>
        </w:rPr>
      </w:pPr>
      <w:r w:rsidRPr="007F2461">
        <w:rPr>
          <w:rStyle w:val="Refdenotaalpie"/>
          <w:rFonts w:ascii="Arial" w:hAnsi="Arial" w:cs="Arial"/>
          <w:sz w:val="18"/>
          <w:szCs w:val="18"/>
        </w:rPr>
        <w:footnoteRef/>
      </w:r>
      <w:r w:rsidRPr="007F2461">
        <w:rPr>
          <w:rFonts w:ascii="Arial" w:hAnsi="Arial" w:cs="Arial"/>
          <w:sz w:val="18"/>
          <w:szCs w:val="18"/>
        </w:rPr>
        <w:t xml:space="preserve"> Artículo 5, fracción IV, la</w:t>
      </w:r>
      <w:bookmarkStart w:id="28" w:name="LPHit1"/>
      <w:bookmarkEnd w:id="28"/>
      <w:r w:rsidRPr="007F2461">
        <w:rPr>
          <w:rFonts w:ascii="Arial" w:hAnsi="Arial" w:cs="Arial"/>
          <w:sz w:val="18"/>
          <w:szCs w:val="18"/>
        </w:rPr>
        <w:t xml:space="preserve"> Ley General de</w:t>
      </w:r>
      <w:bookmarkStart w:id="29" w:name="LPHit2"/>
      <w:bookmarkEnd w:id="29"/>
      <w:r w:rsidRPr="007F2461">
        <w:rPr>
          <w:rFonts w:ascii="Arial" w:hAnsi="Arial" w:cs="Arial"/>
          <w:sz w:val="18"/>
          <w:szCs w:val="18"/>
        </w:rPr>
        <w:t xml:space="preserve"> Acceso de las Mujeres a una Vida</w:t>
      </w:r>
      <w:bookmarkStart w:id="30" w:name="LPHit3"/>
      <w:bookmarkEnd w:id="30"/>
      <w:r w:rsidRPr="007F2461">
        <w:rPr>
          <w:rFonts w:ascii="Arial" w:hAnsi="Arial" w:cs="Arial"/>
          <w:sz w:val="18"/>
          <w:szCs w:val="18"/>
        </w:rPr>
        <w:t xml:space="preserve"> Libre de</w:t>
      </w:r>
      <w:bookmarkStart w:id="31" w:name="LPHit4"/>
      <w:bookmarkEnd w:id="31"/>
      <w:r w:rsidRPr="007F2461">
        <w:rPr>
          <w:rFonts w:ascii="Arial" w:hAnsi="Arial" w:cs="Arial"/>
          <w:sz w:val="18"/>
          <w:szCs w:val="18"/>
        </w:rPr>
        <w:t xml:space="preserve"> Violencia.</w:t>
      </w:r>
    </w:p>
  </w:footnote>
  <w:footnote w:id="18">
    <w:p w:rsidR="004338CB" w:rsidRPr="00E97783" w:rsidRDefault="004338CB" w:rsidP="00E97783">
      <w:pPr>
        <w:pStyle w:val="Textonotapie"/>
        <w:jc w:val="both"/>
        <w:rPr>
          <w:rFonts w:ascii="Arial" w:hAnsi="Arial" w:cs="Arial"/>
        </w:rPr>
      </w:pPr>
      <w:r w:rsidRPr="00E97783">
        <w:rPr>
          <w:rStyle w:val="Refdenotaalpie"/>
          <w:rFonts w:ascii="Arial" w:hAnsi="Arial" w:cs="Arial"/>
        </w:rPr>
        <w:footnoteRef/>
      </w:r>
      <w:r w:rsidRPr="00E97783">
        <w:rPr>
          <w:rFonts w:ascii="Arial" w:hAnsi="Arial" w:cs="Arial"/>
        </w:rPr>
        <w:t xml:space="preserve"> Sordo, Tania. 2011. Los estereotipos de género como obstáculos para el acceso de las mujeres a la justicia. México:</w:t>
      </w:r>
      <w:r>
        <w:rPr>
          <w:rFonts w:ascii="Arial" w:hAnsi="Arial" w:cs="Arial"/>
        </w:rPr>
        <w:t xml:space="preserve"> </w:t>
      </w:r>
      <w:r w:rsidRPr="00E97783">
        <w:rPr>
          <w:rFonts w:ascii="Arial" w:hAnsi="Arial" w:cs="Arial"/>
        </w:rPr>
        <w:t>SCJN. Consultable en: https://www.scjn.gob.mx/sites/default/files/igualdad-genero/2017-</w:t>
      </w:r>
    </w:p>
  </w:footnote>
  <w:footnote w:id="19">
    <w:p w:rsidR="004338CB" w:rsidRDefault="004338CB" w:rsidP="00523240">
      <w:pPr>
        <w:jc w:val="both"/>
      </w:pPr>
      <w:r>
        <w:rPr>
          <w:rStyle w:val="Refdenotaalpie"/>
        </w:rPr>
        <w:footnoteRef/>
      </w:r>
      <w:r>
        <w:t xml:space="preserve"> </w:t>
      </w:r>
      <w:r w:rsidRPr="00523240">
        <w:rPr>
          <w:rFonts w:ascii="Arial" w:hAnsi="Arial" w:cs="Arial"/>
          <w:sz w:val="18"/>
          <w:szCs w:val="18"/>
        </w:rPr>
        <w:t>CASO GONZÁLEZ Y OTRAS (“CAMPO ALGODONERO”) VS. MÉXICO. SENTENCIA DE 16 DE NOVIEMBRE DE 2009 (EXCEPCIÓN PRELIMINAR, FONDO, REPARACIONES Y COSTAS). Párrafo 401.</w:t>
      </w:r>
      <w:r>
        <w:t xml:space="preserve"> </w:t>
      </w:r>
    </w:p>
  </w:footnote>
  <w:footnote w:id="20">
    <w:p w:rsidR="004338CB" w:rsidRDefault="004338CB" w:rsidP="006062AF">
      <w:pPr>
        <w:pStyle w:val="Textonotapie"/>
        <w:jc w:val="both"/>
      </w:pPr>
      <w:r>
        <w:rPr>
          <w:rStyle w:val="Refdenotaalpie"/>
        </w:rPr>
        <w:footnoteRef/>
      </w:r>
      <w:r>
        <w:t xml:space="preserve"> </w:t>
      </w:r>
      <w:r>
        <w:rPr>
          <w:rFonts w:ascii="Arial" w:hAnsi="Arial" w:cs="Arial"/>
          <w:sz w:val="18"/>
          <w:szCs w:val="18"/>
        </w:rPr>
        <w:t>D</w:t>
      </w:r>
      <w:r w:rsidRPr="006062AF">
        <w:rPr>
          <w:rFonts w:ascii="Arial" w:hAnsi="Arial" w:cs="Arial"/>
          <w:sz w:val="18"/>
          <w:szCs w:val="18"/>
        </w:rPr>
        <w:t>e rubro: “COMPETENCIA. EN ELECCIONES LOCALES CORRESPONDE A LAS AUTORIDADES ELECTORALES DE LA ENTIDAD CONOCER DE QUEJAS O DENUNCIAS POR PROPAGANDA EN INTERNET”</w:t>
      </w:r>
    </w:p>
  </w:footnote>
  <w:footnote w:id="21">
    <w:p w:rsidR="004338CB" w:rsidRPr="006062AF" w:rsidRDefault="004338CB" w:rsidP="00A741C5">
      <w:pPr>
        <w:spacing w:after="0" w:line="240" w:lineRule="auto"/>
        <w:jc w:val="both"/>
        <w:rPr>
          <w:rFonts w:ascii="Arial" w:hAnsi="Arial" w:cs="Arial"/>
          <w:sz w:val="18"/>
          <w:szCs w:val="18"/>
        </w:rPr>
      </w:pPr>
      <w:r w:rsidRPr="007F1D31">
        <w:rPr>
          <w:rStyle w:val="Refdenotaalpie"/>
          <w:rFonts w:ascii="Arial" w:hAnsi="Arial" w:cs="Arial"/>
          <w:sz w:val="18"/>
          <w:szCs w:val="18"/>
        </w:rPr>
        <w:footnoteRef/>
      </w:r>
      <w:r w:rsidRPr="007F1D31">
        <w:rPr>
          <w:rFonts w:ascii="Arial" w:hAnsi="Arial" w:cs="Arial"/>
          <w:sz w:val="18"/>
          <w:szCs w:val="18"/>
        </w:rPr>
        <w:t xml:space="preserve"> Jurisprudencia 25/2010, de rubro: </w:t>
      </w:r>
      <w:r w:rsidRPr="006062AF">
        <w:rPr>
          <w:rFonts w:ascii="Arial" w:hAnsi="Arial" w:cs="Arial"/>
          <w:sz w:val="18"/>
          <w:szCs w:val="18"/>
        </w:rPr>
        <w:t>“PROPAGANDA ELECTORAL EN RADIO Y TELEVISIÓN. COMPETENCIA DE LAS AUTORIDADES ELECTORALES PARA CONOCER DE LOS PROCEDIMIENTOS SANCIONADORES RESPECTIVOS”.</w:t>
      </w:r>
    </w:p>
  </w:footnote>
  <w:footnote w:id="22">
    <w:p w:rsidR="004338CB" w:rsidRPr="007F1D31" w:rsidRDefault="004338CB" w:rsidP="00A741C5">
      <w:pPr>
        <w:pStyle w:val="Textonotapie"/>
        <w:jc w:val="both"/>
        <w:rPr>
          <w:rFonts w:ascii="Arial" w:hAnsi="Arial" w:cs="Arial"/>
          <w:sz w:val="18"/>
          <w:szCs w:val="18"/>
        </w:rPr>
      </w:pPr>
      <w:r w:rsidRPr="007F1D31">
        <w:rPr>
          <w:rStyle w:val="Refdenotaalpie"/>
          <w:rFonts w:ascii="Arial" w:hAnsi="Arial" w:cs="Arial"/>
          <w:sz w:val="18"/>
          <w:szCs w:val="18"/>
        </w:rPr>
        <w:footnoteRef/>
      </w:r>
      <w:r w:rsidRPr="007F1D31">
        <w:rPr>
          <w:rFonts w:ascii="Arial" w:hAnsi="Arial" w:cs="Arial"/>
          <w:sz w:val="18"/>
          <w:szCs w:val="18"/>
        </w:rPr>
        <w:t xml:space="preserve"> En este sentido, la Jurisprudencia 5/2004, de rubro: CONTINENCIA DE LA CAUSA. ES INACEPTABLE DIVIDIRLA PARA SU IMPUGNACIÓN.</w:t>
      </w:r>
    </w:p>
  </w:footnote>
  <w:footnote w:id="23">
    <w:p w:rsidR="004338CB" w:rsidRDefault="004338CB" w:rsidP="008E3AC7">
      <w:pPr>
        <w:pStyle w:val="Textonotapie"/>
        <w:jc w:val="both"/>
      </w:pPr>
      <w:r>
        <w:rPr>
          <w:rStyle w:val="Refdenotaalpie"/>
        </w:rPr>
        <w:footnoteRef/>
      </w:r>
      <w:r>
        <w:t xml:space="preserve"> </w:t>
      </w:r>
      <w:r>
        <w:rPr>
          <w:rFonts w:ascii="Arial" w:hAnsi="Arial" w:cs="Arial"/>
          <w:sz w:val="18"/>
          <w:szCs w:val="18"/>
        </w:rPr>
        <w:t>L</w:t>
      </w:r>
      <w:r w:rsidRPr="008E3AC7">
        <w:rPr>
          <w:rFonts w:ascii="Arial" w:hAnsi="Arial" w:cs="Arial"/>
          <w:sz w:val="18"/>
          <w:szCs w:val="18"/>
        </w:rPr>
        <w:t>a Suprema Corte ha sostenido como criterio jurisprudencial que los agravios son inoperantes cuando no se combaten todas y cada una de las consideraciones contenidas en la sentencia recurrida. jurisprudencia de rubro: “AGRAVIOS INOPERANTES. SON AQUELLOS QUE NO COMBATEN TODAS LAS CONSIDERACIONES CONTENIDAS EN LA SENTENCIA RECURRIDA</w:t>
      </w:r>
      <w:r>
        <w:rPr>
          <w:rFonts w:ascii="Arial" w:hAnsi="Arial" w:cs="Arial"/>
          <w:sz w:val="18"/>
          <w:szCs w:val="18"/>
        </w:rPr>
        <w:t>”.</w:t>
      </w:r>
    </w:p>
  </w:footnote>
  <w:footnote w:id="24">
    <w:p w:rsidR="004338CB" w:rsidRDefault="004338CB">
      <w:pPr>
        <w:pStyle w:val="Textonotapie"/>
      </w:pPr>
      <w:r>
        <w:rPr>
          <w:rStyle w:val="Refdenotaalpie"/>
        </w:rPr>
        <w:footnoteRef/>
      </w:r>
      <w:r>
        <w:t xml:space="preserve"> </w:t>
      </w:r>
      <w:r w:rsidRPr="005A4AA9">
        <w:rPr>
          <w:rFonts w:ascii="Arial" w:hAnsi="Arial" w:cs="Arial"/>
          <w:sz w:val="18"/>
          <w:szCs w:val="18"/>
        </w:rPr>
        <w:t>Sirve de sustento la jurisprudencia de rubro: “CONCEPTOS DE VIOLACIÓN. RESULTAN INOPERANTES POR INSUFICIENTES SI NO ATACAN TODOS LOS ARGUMENTOS QUE SUSTENTAN EL SE</w:t>
      </w:r>
      <w:r>
        <w:rPr>
          <w:rFonts w:ascii="Arial" w:hAnsi="Arial" w:cs="Arial"/>
          <w:sz w:val="18"/>
          <w:szCs w:val="18"/>
        </w:rPr>
        <w:t>NTIDO DE LA SENTENCIA COMBATIDA”.</w:t>
      </w:r>
    </w:p>
  </w:footnote>
  <w:footnote w:id="25">
    <w:p w:rsidR="004338CB" w:rsidRDefault="004338CB" w:rsidP="00435ED8">
      <w:pPr>
        <w:pStyle w:val="Textonotapie"/>
        <w:jc w:val="both"/>
      </w:pPr>
      <w:r>
        <w:rPr>
          <w:rStyle w:val="Refdenotaalpie"/>
        </w:rPr>
        <w:footnoteRef/>
      </w:r>
      <w:r>
        <w:t xml:space="preserve"> </w:t>
      </w:r>
      <w:r w:rsidRPr="00435ED8">
        <w:rPr>
          <w:rFonts w:ascii="Arial" w:hAnsi="Arial" w:cs="Arial"/>
          <w:sz w:val="18"/>
          <w:szCs w:val="18"/>
        </w:rPr>
        <w:t>El artículo 6º de la Constitución, estable como límite a la libertad de expresión “los ataques a la moral, la vida privada o los derechos de terceros”</w:t>
      </w:r>
      <w:r>
        <w:rPr>
          <w:rFonts w:ascii="Arial" w:hAnsi="Arial" w:cs="Arial"/>
          <w:sz w:val="18"/>
          <w:szCs w:val="18"/>
        </w:rPr>
        <w:t>.</w:t>
      </w:r>
    </w:p>
  </w:footnote>
  <w:footnote w:id="26">
    <w:p w:rsidR="004338CB" w:rsidRPr="00EA0E32" w:rsidRDefault="004338CB" w:rsidP="00EA0E32">
      <w:pPr>
        <w:pStyle w:val="Textonotapie"/>
        <w:jc w:val="both"/>
        <w:rPr>
          <w:rFonts w:ascii="Arial" w:hAnsi="Arial" w:cs="Arial"/>
          <w:sz w:val="18"/>
          <w:szCs w:val="18"/>
        </w:rPr>
      </w:pPr>
      <w:r w:rsidRPr="00EA0E32">
        <w:rPr>
          <w:rStyle w:val="Refdenotaalpie"/>
          <w:rFonts w:ascii="Arial" w:hAnsi="Arial" w:cs="Arial"/>
          <w:sz w:val="18"/>
          <w:szCs w:val="18"/>
        </w:rPr>
        <w:footnoteRef/>
      </w:r>
      <w:r w:rsidRPr="00EA0E32">
        <w:rPr>
          <w:rFonts w:ascii="Arial" w:hAnsi="Arial" w:cs="Arial"/>
          <w:sz w:val="18"/>
          <w:szCs w:val="18"/>
        </w:rPr>
        <w:t xml:space="preserve"> Página 4 de la demanda de José Enrique Doger Guerrero y página 7 de la demanda del PRI.</w:t>
      </w:r>
    </w:p>
  </w:footnote>
  <w:footnote w:id="27">
    <w:p w:rsidR="004338CB" w:rsidRPr="00737DCE" w:rsidRDefault="004338CB" w:rsidP="00737DCE">
      <w:pPr>
        <w:pStyle w:val="Textonotapie"/>
        <w:jc w:val="both"/>
        <w:rPr>
          <w:rFonts w:ascii="Arial" w:hAnsi="Arial" w:cs="Arial"/>
          <w:sz w:val="18"/>
          <w:szCs w:val="18"/>
        </w:rPr>
      </w:pPr>
      <w:r w:rsidRPr="00737DCE">
        <w:rPr>
          <w:rStyle w:val="Refdenotaalpie"/>
          <w:rFonts w:ascii="Arial" w:hAnsi="Arial" w:cs="Arial"/>
          <w:sz w:val="18"/>
          <w:szCs w:val="18"/>
        </w:rPr>
        <w:footnoteRef/>
      </w:r>
      <w:r w:rsidRPr="00737DCE">
        <w:rPr>
          <w:rFonts w:ascii="Arial" w:hAnsi="Arial" w:cs="Arial"/>
          <w:sz w:val="18"/>
          <w:szCs w:val="18"/>
        </w:rPr>
        <w:t xml:space="preserve"> @EnriqueDogerG_</w:t>
      </w:r>
    </w:p>
  </w:footnote>
  <w:footnote w:id="28">
    <w:p w:rsidR="004338CB" w:rsidRPr="00EA0E32" w:rsidRDefault="004338CB" w:rsidP="005E5E71">
      <w:pPr>
        <w:pStyle w:val="Textonotapie"/>
        <w:jc w:val="both"/>
        <w:rPr>
          <w:rFonts w:ascii="Arial" w:hAnsi="Arial" w:cs="Arial"/>
          <w:sz w:val="18"/>
          <w:szCs w:val="18"/>
        </w:rPr>
      </w:pPr>
      <w:r w:rsidRPr="00EA0E32">
        <w:rPr>
          <w:rFonts w:ascii="Arial" w:hAnsi="Arial" w:cs="Arial"/>
          <w:sz w:val="18"/>
          <w:szCs w:val="18"/>
        </w:rPr>
        <w:footnoteRef/>
      </w:r>
      <w:r w:rsidRPr="00EA0E32">
        <w:rPr>
          <w:rFonts w:ascii="Arial" w:hAnsi="Arial" w:cs="Arial"/>
          <w:sz w:val="18"/>
          <w:szCs w:val="18"/>
        </w:rPr>
        <w:t xml:space="preserve"> Artículo 458.</w:t>
      </w:r>
    </w:p>
    <w:p w:rsidR="004338CB" w:rsidRPr="00EA0E32" w:rsidRDefault="004338CB" w:rsidP="005E5E71">
      <w:pPr>
        <w:pStyle w:val="Textonotapie"/>
        <w:jc w:val="both"/>
        <w:rPr>
          <w:rFonts w:ascii="Arial" w:hAnsi="Arial" w:cs="Arial"/>
          <w:sz w:val="18"/>
          <w:szCs w:val="18"/>
        </w:rPr>
      </w:pPr>
      <w:r w:rsidRPr="00EA0E32">
        <w:rPr>
          <w:rFonts w:ascii="Arial" w:hAnsi="Arial" w:cs="Arial"/>
          <w:sz w:val="18"/>
          <w:szCs w:val="18"/>
          <w:lang w:eastAsia="es-ES"/>
        </w:rPr>
        <w:t>1.</w:t>
      </w:r>
      <w:r w:rsidRPr="00EA0E32">
        <w:rPr>
          <w:rFonts w:ascii="Arial" w:hAnsi="Arial" w:cs="Arial"/>
          <w:sz w:val="18"/>
          <w:szCs w:val="18"/>
        </w:rPr>
        <w:t xml:space="preserve"> Cuando las autoridades federales, estatales o municipales incumplan los mandatos de la autoridad electoral, no proporcionen en tiempo y forma la información que les sea solicitada, o no presten el auxilio y colaboración que les sea requerida por los órganos del Instituto, se estará a lo siguiente:</w:t>
      </w:r>
    </w:p>
    <w:p w:rsidR="004338CB" w:rsidRPr="00EA0E32" w:rsidRDefault="004338CB" w:rsidP="005E5E71">
      <w:pPr>
        <w:pStyle w:val="Textonotapie"/>
        <w:jc w:val="both"/>
        <w:rPr>
          <w:rFonts w:ascii="Arial" w:hAnsi="Arial" w:cs="Arial"/>
          <w:sz w:val="18"/>
          <w:szCs w:val="18"/>
        </w:rPr>
      </w:pPr>
      <w:r w:rsidRPr="00EA0E32">
        <w:rPr>
          <w:rFonts w:ascii="Arial" w:hAnsi="Arial" w:cs="Arial"/>
          <w:sz w:val="18"/>
          <w:szCs w:val="18"/>
        </w:rPr>
        <w:t>[…]</w:t>
      </w:r>
    </w:p>
    <w:p w:rsidR="004338CB" w:rsidRPr="00EA0E32" w:rsidRDefault="004338CB" w:rsidP="005E5E71">
      <w:pPr>
        <w:pStyle w:val="Textonotapie"/>
        <w:jc w:val="both"/>
        <w:rPr>
          <w:rFonts w:ascii="Arial" w:hAnsi="Arial" w:cs="Arial"/>
          <w:sz w:val="18"/>
          <w:szCs w:val="18"/>
        </w:rPr>
      </w:pPr>
      <w:r w:rsidRPr="00EA0E32">
        <w:rPr>
          <w:rFonts w:ascii="Arial" w:hAnsi="Arial" w:cs="Arial"/>
          <w:sz w:val="18"/>
          <w:szCs w:val="18"/>
        </w:rPr>
        <w:t>5. Para la individualización de las sanciones a que se refiere este Libro, una vez acreditada la existencia de una infracción y su imputación, la autoridad electoral deberá tomar en cuenta las circunstancias que rodean la contravención de la norma administrativa, entre otras, las siguientes:</w:t>
      </w:r>
    </w:p>
    <w:p w:rsidR="004338CB" w:rsidRPr="00A62FBE" w:rsidRDefault="004338CB" w:rsidP="005E5E71">
      <w:pPr>
        <w:pStyle w:val="Textonotapie"/>
        <w:jc w:val="both"/>
        <w:rPr>
          <w:rFonts w:ascii="Arial" w:hAnsi="Arial" w:cs="Arial"/>
          <w:sz w:val="18"/>
          <w:szCs w:val="18"/>
        </w:rPr>
      </w:pPr>
      <w:r w:rsidRPr="00A62FBE">
        <w:rPr>
          <w:rFonts w:ascii="Arial" w:hAnsi="Arial" w:cs="Arial"/>
          <w:sz w:val="18"/>
          <w:szCs w:val="18"/>
        </w:rPr>
        <w:t>a) La gravedad de la responsabilidad en que se incurra y la conveniencia de suprimir prácticas que infrinjan, en cualquier forma, las disposiciones de esta Ley, en atención al bien jurídico tutelado, o las que se dicten con base en él;</w:t>
      </w:r>
    </w:p>
    <w:p w:rsidR="004338CB" w:rsidRPr="00A62FBE" w:rsidRDefault="004338CB" w:rsidP="005E5E71">
      <w:pPr>
        <w:pStyle w:val="Textonotapie"/>
        <w:jc w:val="both"/>
        <w:rPr>
          <w:rFonts w:ascii="Arial" w:hAnsi="Arial" w:cs="Arial"/>
          <w:sz w:val="18"/>
          <w:szCs w:val="18"/>
        </w:rPr>
      </w:pPr>
      <w:r w:rsidRPr="00A62FBE">
        <w:rPr>
          <w:rFonts w:ascii="Arial" w:hAnsi="Arial" w:cs="Arial"/>
          <w:sz w:val="18"/>
          <w:szCs w:val="18"/>
        </w:rPr>
        <w:t>b) Las circunstancias de modo, tiempo y lugar de la infracción;</w:t>
      </w:r>
    </w:p>
    <w:p w:rsidR="004338CB" w:rsidRPr="00A62FBE" w:rsidRDefault="004338CB" w:rsidP="005E5E71">
      <w:pPr>
        <w:pStyle w:val="Textonotapie"/>
        <w:jc w:val="both"/>
        <w:rPr>
          <w:rFonts w:ascii="Arial" w:hAnsi="Arial" w:cs="Arial"/>
          <w:sz w:val="18"/>
          <w:szCs w:val="18"/>
        </w:rPr>
      </w:pPr>
      <w:r w:rsidRPr="00A62FBE">
        <w:rPr>
          <w:rFonts w:ascii="Arial" w:hAnsi="Arial" w:cs="Arial"/>
          <w:sz w:val="18"/>
          <w:szCs w:val="18"/>
        </w:rPr>
        <w:t>c) Las condiciones socioeconómicas del infractor;</w:t>
      </w:r>
    </w:p>
    <w:p w:rsidR="004338CB" w:rsidRPr="00A62FBE" w:rsidRDefault="004338CB" w:rsidP="005E5E71">
      <w:pPr>
        <w:pStyle w:val="Textonotapie"/>
        <w:jc w:val="both"/>
        <w:rPr>
          <w:rFonts w:ascii="Arial" w:hAnsi="Arial" w:cs="Arial"/>
          <w:sz w:val="18"/>
          <w:szCs w:val="18"/>
        </w:rPr>
      </w:pPr>
      <w:r w:rsidRPr="00A62FBE">
        <w:rPr>
          <w:rFonts w:ascii="Arial" w:hAnsi="Arial" w:cs="Arial"/>
          <w:sz w:val="18"/>
          <w:szCs w:val="18"/>
        </w:rPr>
        <w:t>d) Las condiciones externas y los medios de ejecución;</w:t>
      </w:r>
    </w:p>
    <w:p w:rsidR="004338CB" w:rsidRPr="00A62FBE" w:rsidRDefault="004338CB" w:rsidP="005E5E71">
      <w:pPr>
        <w:pStyle w:val="Textonotapie"/>
        <w:jc w:val="both"/>
        <w:rPr>
          <w:rFonts w:ascii="Arial" w:hAnsi="Arial" w:cs="Arial"/>
          <w:sz w:val="18"/>
          <w:szCs w:val="18"/>
        </w:rPr>
      </w:pPr>
      <w:r w:rsidRPr="00A62FBE">
        <w:rPr>
          <w:rFonts w:ascii="Arial" w:hAnsi="Arial" w:cs="Arial"/>
          <w:sz w:val="18"/>
          <w:szCs w:val="18"/>
        </w:rPr>
        <w:t>e) La reincidencia en el incumplimiento de obligaciones, y</w:t>
      </w:r>
    </w:p>
    <w:p w:rsidR="004338CB" w:rsidRPr="00A62FBE" w:rsidRDefault="004338CB" w:rsidP="005E5E71">
      <w:pPr>
        <w:pStyle w:val="Textonotapie"/>
        <w:jc w:val="both"/>
        <w:rPr>
          <w:rFonts w:ascii="Arial" w:hAnsi="Arial" w:cs="Arial"/>
          <w:sz w:val="18"/>
          <w:szCs w:val="18"/>
        </w:rPr>
      </w:pPr>
      <w:r w:rsidRPr="00A62FBE">
        <w:rPr>
          <w:rFonts w:ascii="Arial" w:hAnsi="Arial" w:cs="Arial"/>
          <w:sz w:val="18"/>
          <w:szCs w:val="18"/>
        </w:rPr>
        <w:t>f) En su caso, el monto del beneficio, lucro, daño o perjuicio derivado del incumplimiento de obligaciones.</w:t>
      </w:r>
    </w:p>
    <w:p w:rsidR="004338CB" w:rsidRPr="00A62FBE" w:rsidRDefault="004338CB" w:rsidP="005E5E71">
      <w:pPr>
        <w:pStyle w:val="Textonotapie"/>
        <w:jc w:val="both"/>
        <w:rPr>
          <w:rFonts w:ascii="Arial" w:hAnsi="Arial" w:cs="Arial"/>
          <w:sz w:val="18"/>
          <w:szCs w:val="18"/>
        </w:rPr>
      </w:pPr>
      <w:r w:rsidRPr="00A62FBE">
        <w:rPr>
          <w:rFonts w:ascii="Arial" w:hAnsi="Arial" w:cs="Arial"/>
          <w:sz w:val="18"/>
          <w:szCs w:val="18"/>
        </w:rPr>
        <w:t>[…]</w:t>
      </w:r>
    </w:p>
  </w:footnote>
  <w:footnote w:id="29">
    <w:p w:rsidR="004338CB" w:rsidRPr="00A62FBE" w:rsidRDefault="004338CB" w:rsidP="005E5E71">
      <w:pPr>
        <w:pStyle w:val="Textonotapie"/>
        <w:jc w:val="both"/>
        <w:rPr>
          <w:rFonts w:ascii="Arial" w:hAnsi="Arial" w:cs="Arial"/>
          <w:sz w:val="18"/>
          <w:szCs w:val="18"/>
        </w:rPr>
      </w:pPr>
      <w:r w:rsidRPr="00A62FBE">
        <w:rPr>
          <w:rStyle w:val="Refdenotaalpie"/>
          <w:rFonts w:ascii="Arial" w:hAnsi="Arial" w:cs="Arial"/>
          <w:sz w:val="18"/>
          <w:szCs w:val="18"/>
        </w:rPr>
        <w:footnoteRef/>
      </w:r>
      <w:r w:rsidRPr="00A62FBE">
        <w:rPr>
          <w:rFonts w:ascii="Arial" w:hAnsi="Arial" w:cs="Arial"/>
          <w:sz w:val="18"/>
          <w:szCs w:val="18"/>
        </w:rPr>
        <w:t xml:space="preserve"> La responsable también precisa, sobre este tema, lo siguiente: </w:t>
      </w:r>
    </w:p>
    <w:p w:rsidR="004338CB" w:rsidRPr="00A62FBE" w:rsidRDefault="004338CB" w:rsidP="005E5E71">
      <w:pPr>
        <w:spacing w:after="0" w:line="240" w:lineRule="auto"/>
        <w:jc w:val="both"/>
        <w:rPr>
          <w:rFonts w:ascii="Arial" w:hAnsi="Arial" w:cs="Arial"/>
          <w:bCs/>
          <w:sz w:val="18"/>
          <w:szCs w:val="18"/>
          <w:lang w:val="es-ES_tradnl"/>
        </w:rPr>
      </w:pPr>
      <w:r w:rsidRPr="00A62FBE">
        <w:rPr>
          <w:rFonts w:ascii="Arial" w:hAnsi="Arial" w:cs="Arial"/>
          <w:bCs/>
          <w:sz w:val="18"/>
          <w:szCs w:val="18"/>
          <w:lang w:val="es-ES_tradnl"/>
        </w:rPr>
        <w:t xml:space="preserve">Esta conducta ilegal se realizó porque </w:t>
      </w:r>
      <w:r w:rsidRPr="00A62FBE">
        <w:rPr>
          <w:rFonts w:ascii="Arial" w:hAnsi="Arial" w:cs="Arial"/>
          <w:b/>
          <w:bCs/>
          <w:sz w:val="18"/>
          <w:szCs w:val="18"/>
          <w:lang w:val="es-ES_tradnl"/>
        </w:rPr>
        <w:t>el spot se alojó en el Portal de Promocionales de Radio y Televisión del INE</w:t>
      </w:r>
      <w:r w:rsidRPr="00A62FBE">
        <w:rPr>
          <w:rFonts w:ascii="Arial" w:hAnsi="Arial" w:cs="Arial"/>
          <w:bCs/>
          <w:sz w:val="18"/>
          <w:szCs w:val="18"/>
          <w:lang w:val="es-ES_tradnl"/>
        </w:rPr>
        <w:t xml:space="preserve"> (</w:t>
      </w:r>
      <w:hyperlink r:id="rId1" w:history="1">
        <w:r w:rsidRPr="00A62FBE">
          <w:rPr>
            <w:rFonts w:ascii="Arial" w:hAnsi="Arial" w:cs="Arial"/>
            <w:bCs/>
            <w:sz w:val="18"/>
            <w:szCs w:val="18"/>
            <w:lang w:val="es-ES_tradnl"/>
          </w:rPr>
          <w:t>https://portal-pautas.ine.mx</w:t>
        </w:r>
      </w:hyperlink>
      <w:r w:rsidRPr="00A62FBE">
        <w:rPr>
          <w:rFonts w:ascii="Arial" w:hAnsi="Arial" w:cs="Arial"/>
          <w:bCs/>
          <w:sz w:val="18"/>
          <w:szCs w:val="18"/>
          <w:lang w:val="es-ES_tradnl"/>
        </w:rPr>
        <w:t xml:space="preserve">). </w:t>
      </w:r>
    </w:p>
    <w:p w:rsidR="004338CB" w:rsidRPr="00A62FBE" w:rsidRDefault="004338CB" w:rsidP="005E5E71">
      <w:pPr>
        <w:spacing w:after="0" w:line="240" w:lineRule="auto"/>
        <w:jc w:val="both"/>
        <w:rPr>
          <w:rFonts w:ascii="Arial" w:hAnsi="Arial" w:cs="Arial"/>
          <w:bCs/>
          <w:sz w:val="18"/>
          <w:szCs w:val="18"/>
          <w:lang w:val="es-ES_tradnl"/>
        </w:rPr>
      </w:pPr>
      <w:r w:rsidRPr="00A62FBE">
        <w:rPr>
          <w:rFonts w:ascii="Arial" w:hAnsi="Arial" w:cs="Arial"/>
          <w:bCs/>
          <w:sz w:val="18"/>
          <w:szCs w:val="18"/>
          <w:lang w:val="es-ES_tradnl"/>
        </w:rPr>
        <w:t xml:space="preserve">Si bien, no se materializó su difusión en </w:t>
      </w:r>
      <w:r w:rsidRPr="00A62FBE">
        <w:rPr>
          <w:rFonts w:ascii="Arial" w:hAnsi="Arial" w:cs="Arial"/>
          <w:sz w:val="18"/>
          <w:szCs w:val="18"/>
        </w:rPr>
        <w:t>radio</w:t>
      </w:r>
      <w:r w:rsidRPr="00A62FBE">
        <w:rPr>
          <w:rFonts w:ascii="Arial" w:hAnsi="Arial" w:cs="Arial"/>
          <w:bCs/>
          <w:sz w:val="18"/>
          <w:szCs w:val="18"/>
          <w:lang w:val="es-ES_tradnl"/>
        </w:rPr>
        <w:t xml:space="preserve"> y televisión, por solo pautar el spot en la página web del INE, se puso en riesgo el modelo de comunicación política</w:t>
      </w:r>
      <w:r w:rsidRPr="00A62FBE">
        <w:rPr>
          <w:rFonts w:ascii="Arial" w:hAnsi="Arial" w:cs="Arial"/>
          <w:bCs/>
          <w:sz w:val="18"/>
          <w:szCs w:val="18"/>
          <w:vertAlign w:val="superscript"/>
          <w:lang w:val="es-ES_tradnl"/>
        </w:rPr>
        <w:footnoteRef/>
      </w:r>
      <w:r w:rsidRPr="00A62FBE">
        <w:rPr>
          <w:rFonts w:ascii="Arial" w:hAnsi="Arial" w:cs="Arial"/>
          <w:bCs/>
          <w:sz w:val="18"/>
          <w:szCs w:val="18"/>
          <w:lang w:val="es-ES_tradnl"/>
        </w:rPr>
        <w:t>; ya que se hizo público su contenido y al estar expuesto y a disposición de los institutos políticos contendientes, como del público en general, podían ser reproducidos por quien realizara la consulta respectiva.</w:t>
      </w:r>
    </w:p>
    <w:p w:rsidR="004338CB" w:rsidRPr="00A62FBE" w:rsidRDefault="004338CB" w:rsidP="005E5E71">
      <w:pPr>
        <w:spacing w:after="0" w:line="240" w:lineRule="auto"/>
        <w:jc w:val="both"/>
        <w:rPr>
          <w:rFonts w:ascii="Arial" w:hAnsi="Arial" w:cs="Arial"/>
          <w:bCs/>
          <w:sz w:val="18"/>
          <w:szCs w:val="18"/>
          <w:lang w:val="es-ES_tradnl"/>
        </w:rPr>
      </w:pPr>
      <w:r w:rsidRPr="00A62FBE">
        <w:rPr>
          <w:rFonts w:ascii="Arial" w:hAnsi="Arial" w:cs="Arial"/>
          <w:bCs/>
          <w:sz w:val="18"/>
          <w:szCs w:val="18"/>
          <w:lang w:val="es-ES_tradnl"/>
        </w:rPr>
        <w:t xml:space="preserve">Se cometió la falta de consciencia y responsabilidad al pautar un spot (en la página de internet del INE), y red social que reproduce estereotipos de género, que subordinan y minimizan las capacidades de la candidata dentro de la vida política. </w:t>
      </w:r>
    </w:p>
    <w:p w:rsidR="004338CB" w:rsidRPr="00A62FBE" w:rsidRDefault="004338CB" w:rsidP="005E5E71">
      <w:pPr>
        <w:spacing w:after="0" w:line="240" w:lineRule="auto"/>
        <w:jc w:val="both"/>
        <w:rPr>
          <w:rFonts w:ascii="Arial" w:hAnsi="Arial" w:cs="Arial"/>
          <w:bCs/>
          <w:sz w:val="18"/>
          <w:szCs w:val="18"/>
          <w:lang w:val="es-ES_tradnl"/>
        </w:rPr>
      </w:pPr>
      <w:r w:rsidRPr="00A62FBE">
        <w:rPr>
          <w:rFonts w:ascii="Arial" w:hAnsi="Arial" w:cs="Arial"/>
          <w:bCs/>
          <w:sz w:val="18"/>
          <w:szCs w:val="18"/>
          <w:lang w:val="es-ES_tradnl"/>
        </w:rPr>
        <w:t>Así como, una afectación a la ciudadanía en general a su derecho de información por omitir identificar el partido político emisor del mensaje.</w:t>
      </w:r>
    </w:p>
    <w:p w:rsidR="004338CB" w:rsidRPr="00A62FBE" w:rsidRDefault="004338CB" w:rsidP="005E5E71">
      <w:pPr>
        <w:spacing w:after="0" w:line="240" w:lineRule="auto"/>
        <w:jc w:val="both"/>
        <w:rPr>
          <w:rFonts w:ascii="Arial" w:hAnsi="Arial" w:cs="Arial"/>
          <w:sz w:val="18"/>
          <w:szCs w:val="18"/>
        </w:rPr>
      </w:pPr>
      <w:r w:rsidRPr="00A62FBE">
        <w:rPr>
          <w:rFonts w:ascii="Arial" w:hAnsi="Arial" w:cs="Arial"/>
          <w:sz w:val="18"/>
          <w:szCs w:val="18"/>
        </w:rPr>
        <w:t xml:space="preserve">Se acreditaron </w:t>
      </w:r>
      <w:r w:rsidRPr="00A62FBE">
        <w:rPr>
          <w:rFonts w:ascii="Arial" w:hAnsi="Arial" w:cs="Arial"/>
          <w:b/>
          <w:sz w:val="18"/>
          <w:szCs w:val="18"/>
        </w:rPr>
        <w:t>dos</w:t>
      </w:r>
      <w:r w:rsidRPr="00A62FBE">
        <w:rPr>
          <w:rFonts w:ascii="Arial" w:hAnsi="Arial" w:cs="Arial"/>
          <w:sz w:val="18"/>
          <w:szCs w:val="18"/>
        </w:rPr>
        <w:t xml:space="preserve"> </w:t>
      </w:r>
      <w:r w:rsidRPr="00A62FBE">
        <w:rPr>
          <w:rFonts w:ascii="Arial" w:hAnsi="Arial" w:cs="Arial"/>
          <w:b/>
          <w:sz w:val="18"/>
          <w:szCs w:val="18"/>
        </w:rPr>
        <w:t>faltas</w:t>
      </w:r>
      <w:r w:rsidRPr="00A62FBE">
        <w:rPr>
          <w:rFonts w:ascii="Arial" w:hAnsi="Arial" w:cs="Arial"/>
          <w:sz w:val="18"/>
          <w:szCs w:val="18"/>
        </w:rPr>
        <w:t xml:space="preserve"> a la normativa electoral (Singularidad o pluralidad de las faltas), por el uso indebido de su pauta (PRI), al utilizar y reproducir estereotipos de género en alusión a la violencia en contra de las mujeres (contenido que se difundió en redes sociales); y omitir identificarse como el partido responsable del spot en su versión de radio. </w:t>
      </w:r>
    </w:p>
  </w:footnote>
  <w:footnote w:id="30">
    <w:p w:rsidR="004338CB" w:rsidRPr="00EA0E32" w:rsidRDefault="004338CB" w:rsidP="005E5E71">
      <w:pPr>
        <w:spacing w:after="0" w:line="240" w:lineRule="auto"/>
        <w:jc w:val="both"/>
        <w:rPr>
          <w:rFonts w:ascii="Arial" w:hAnsi="Arial" w:cs="Arial"/>
          <w:vertAlign w:val="superscript"/>
        </w:rPr>
      </w:pPr>
      <w:r w:rsidRPr="00EA0E32">
        <w:rPr>
          <w:rStyle w:val="Refdenotaalpie"/>
          <w:rFonts w:ascii="Arial" w:hAnsi="Arial" w:cs="Arial"/>
          <w:sz w:val="18"/>
          <w:szCs w:val="18"/>
        </w:rPr>
        <w:footnoteRef/>
      </w:r>
      <w:r w:rsidRPr="00EA0E32">
        <w:rPr>
          <w:rFonts w:ascii="Arial" w:hAnsi="Arial" w:cs="Arial"/>
          <w:sz w:val="18"/>
          <w:szCs w:val="18"/>
        </w:rPr>
        <w:t xml:space="preserve"> La </w:t>
      </w:r>
      <w:r w:rsidRPr="00EA0E32">
        <w:rPr>
          <w:rFonts w:ascii="Arial" w:hAnsi="Arial" w:cs="Arial"/>
          <w:bCs/>
          <w:sz w:val="18"/>
          <w:szCs w:val="18"/>
          <w:lang w:val="es-ES_tradnl"/>
        </w:rPr>
        <w:t>responsable</w:t>
      </w:r>
      <w:r w:rsidRPr="00EA0E32">
        <w:rPr>
          <w:rFonts w:ascii="Arial" w:hAnsi="Arial" w:cs="Arial"/>
          <w:sz w:val="18"/>
          <w:szCs w:val="18"/>
        </w:rPr>
        <w:t xml:space="preserve"> precisó que en la sentencia SRE-PSC-166/2018 se sancionó al PRI y a su candidato a la gubernatura por difundir un promocional que se traduce en violencia política por razón de género en contra de Martha Erika Alonso Hidalgo; pero dicha sentencia se resolvió el veintiséis de junio de dos mil dieciocho, por tanto, el partido no tuvo conocimiento del sentido de dicha sentencia, antes de la difusión del spot que se denuncia.</w:t>
      </w:r>
    </w:p>
  </w:footnote>
  <w:footnote w:id="31">
    <w:p w:rsidR="004338CB" w:rsidRPr="005048DC" w:rsidRDefault="004338CB" w:rsidP="005E5E71">
      <w:pPr>
        <w:spacing w:after="0" w:line="240" w:lineRule="auto"/>
        <w:jc w:val="both"/>
        <w:rPr>
          <w:rFonts w:cs="Arial"/>
          <w:sz w:val="18"/>
          <w:szCs w:val="18"/>
        </w:rPr>
      </w:pPr>
      <w:r w:rsidRPr="00EA0E32">
        <w:rPr>
          <w:rFonts w:ascii="Arial" w:hAnsi="Arial" w:cs="Arial"/>
          <w:sz w:val="18"/>
          <w:szCs w:val="18"/>
          <w:vertAlign w:val="superscript"/>
        </w:rPr>
        <w:footnoteRef/>
      </w:r>
      <w:r w:rsidRPr="00EA0E32">
        <w:rPr>
          <w:rFonts w:ascii="Arial" w:hAnsi="Arial" w:cs="Arial"/>
          <w:sz w:val="18"/>
          <w:szCs w:val="18"/>
        </w:rPr>
        <w:t xml:space="preserve"> En términos del artículo 456, inciso a), fracción II, de la Ley Electoral.</w:t>
      </w:r>
    </w:p>
  </w:footnote>
  <w:footnote w:id="32">
    <w:p w:rsidR="004338CB" w:rsidRPr="00334E43" w:rsidRDefault="004338CB" w:rsidP="00334E43">
      <w:pPr>
        <w:spacing w:after="0" w:line="240" w:lineRule="auto"/>
        <w:rPr>
          <w:rFonts w:ascii="Arial" w:hAnsi="Arial" w:cs="Arial"/>
        </w:rPr>
      </w:pPr>
      <w:r w:rsidRPr="00334E43">
        <w:rPr>
          <w:rFonts w:ascii="Arial" w:hAnsi="Arial" w:cs="Arial"/>
          <w:sz w:val="18"/>
          <w:szCs w:val="18"/>
          <w:vertAlign w:val="superscript"/>
        </w:rPr>
        <w:footnoteRef/>
      </w:r>
      <w:r w:rsidRPr="00334E43">
        <w:rPr>
          <w:rFonts w:ascii="Arial" w:hAnsi="Arial" w:cs="Arial"/>
          <w:sz w:val="18"/>
          <w:szCs w:val="18"/>
          <w:vertAlign w:val="superscript"/>
        </w:rPr>
        <w:t xml:space="preserve"> </w:t>
      </w:r>
      <w:r w:rsidRPr="00334E43">
        <w:rPr>
          <w:rFonts w:ascii="Arial" w:hAnsi="Arial" w:cs="Arial"/>
          <w:sz w:val="18"/>
          <w:szCs w:val="18"/>
        </w:rPr>
        <w:t>En términos del artículo 456, inciso c), fracción II, de la Ley Electoral.</w:t>
      </w:r>
    </w:p>
  </w:footnote>
  <w:footnote w:id="33">
    <w:p w:rsidR="004338CB" w:rsidRPr="00737DCE" w:rsidRDefault="004338CB" w:rsidP="005E5E71">
      <w:pPr>
        <w:spacing w:after="0" w:line="240" w:lineRule="auto"/>
        <w:jc w:val="both"/>
        <w:rPr>
          <w:rFonts w:ascii="Arial" w:hAnsi="Arial" w:cs="Arial"/>
          <w:sz w:val="18"/>
          <w:szCs w:val="18"/>
        </w:rPr>
      </w:pPr>
      <w:r w:rsidRPr="00737DCE">
        <w:rPr>
          <w:rFonts w:ascii="Arial" w:hAnsi="Arial" w:cs="Arial"/>
          <w:sz w:val="18"/>
          <w:szCs w:val="18"/>
          <w:vertAlign w:val="superscript"/>
        </w:rPr>
        <w:footnoteRef/>
      </w:r>
      <w:r w:rsidRPr="00737DCE">
        <w:rPr>
          <w:rFonts w:ascii="Arial" w:hAnsi="Arial" w:cs="Arial"/>
          <w:sz w:val="18"/>
          <w:szCs w:val="18"/>
        </w:rPr>
        <w:t xml:space="preserve"> Mientras que por otra parte se vulneró el acceso a la información de la ciudadanía en general y de las personas con discapacidad visual, al omitir identificarse, en el spot de radio, como el partido responsable del mensaje.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338CB" w:rsidRDefault="004338CB" w:rsidP="00A743E5">
    <w:pPr>
      <w:pStyle w:val="Encabezado"/>
    </w:pPr>
    <w:r w:rsidRPr="006D68E6">
      <w:rPr>
        <w:rFonts w:ascii="Arial" w:hAnsi="Arial" w:cs="Arial"/>
        <w:b/>
        <w:sz w:val="24"/>
        <w:szCs w:val="24"/>
      </w:rPr>
      <w:t>SUP-</w:t>
    </w:r>
    <w:r>
      <w:rPr>
        <w:rFonts w:ascii="Arial" w:hAnsi="Arial" w:cs="Arial"/>
        <w:b/>
        <w:sz w:val="24"/>
        <w:szCs w:val="24"/>
      </w:rPr>
      <w:t>REP</w:t>
    </w:r>
    <w:r w:rsidRPr="006D68E6">
      <w:rPr>
        <w:rFonts w:ascii="Arial" w:hAnsi="Arial" w:cs="Arial"/>
        <w:b/>
        <w:sz w:val="24"/>
        <w:szCs w:val="24"/>
      </w:rPr>
      <w:t>-</w:t>
    </w:r>
    <w:r>
      <w:rPr>
        <w:rFonts w:ascii="Arial" w:hAnsi="Arial" w:cs="Arial"/>
        <w:b/>
        <w:sz w:val="24"/>
        <w:szCs w:val="24"/>
      </w:rPr>
      <w:t>235/2018</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3240" w:rsidRDefault="00523240" w:rsidP="00A743E5">
    <w:pPr>
      <w:pStyle w:val="Encabezado"/>
      <w:jc w:val="right"/>
      <w:rPr>
        <w:rFonts w:ascii="Arial" w:hAnsi="Arial" w:cs="Arial"/>
        <w:b/>
        <w:sz w:val="24"/>
        <w:szCs w:val="24"/>
      </w:rPr>
    </w:pPr>
    <w:r w:rsidRPr="006D68E6">
      <w:rPr>
        <w:rFonts w:ascii="Arial" w:hAnsi="Arial" w:cs="Arial"/>
        <w:b/>
        <w:sz w:val="24"/>
        <w:szCs w:val="24"/>
      </w:rPr>
      <w:t>SUP-</w:t>
    </w:r>
    <w:r>
      <w:rPr>
        <w:rFonts w:ascii="Arial" w:hAnsi="Arial" w:cs="Arial"/>
        <w:b/>
        <w:sz w:val="24"/>
        <w:szCs w:val="24"/>
      </w:rPr>
      <w:t>REP</w:t>
    </w:r>
    <w:r w:rsidRPr="006D68E6">
      <w:rPr>
        <w:rFonts w:ascii="Arial" w:hAnsi="Arial" w:cs="Arial"/>
        <w:b/>
        <w:sz w:val="24"/>
        <w:szCs w:val="24"/>
      </w:rPr>
      <w:t>-</w:t>
    </w:r>
    <w:r>
      <w:rPr>
        <w:rFonts w:ascii="Arial" w:hAnsi="Arial" w:cs="Arial"/>
        <w:b/>
        <w:sz w:val="24"/>
        <w:szCs w:val="24"/>
      </w:rPr>
      <w:t>623/2018</w:t>
    </w:r>
  </w:p>
  <w:p w:rsidR="004338CB" w:rsidRDefault="004338CB" w:rsidP="00A743E5">
    <w:pPr>
      <w:pStyle w:val="Encabezado"/>
      <w:jc w:val="right"/>
    </w:pPr>
  </w:p>
  <w:p w:rsidR="004338CB" w:rsidRDefault="004338CB" w:rsidP="00A743E5">
    <w:pPr>
      <w:pStyle w:val="Encabezado"/>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F24F5"/>
    <w:multiLevelType w:val="hybridMultilevel"/>
    <w:tmpl w:val="16DA00EA"/>
    <w:lvl w:ilvl="0" w:tplc="75140C5A">
      <w:start w:val="1"/>
      <w:numFmt w:val="bullet"/>
      <w:lvlText w:val=""/>
      <w:lvlJc w:val="left"/>
      <w:pPr>
        <w:ind w:left="838" w:hanging="360"/>
      </w:pPr>
      <w:rPr>
        <w:rFonts w:ascii="Symbol" w:eastAsia="Symbol" w:hAnsi="Symbol" w:hint="default"/>
        <w:sz w:val="22"/>
        <w:szCs w:val="22"/>
      </w:rPr>
    </w:lvl>
    <w:lvl w:ilvl="1" w:tplc="5F20C1CC">
      <w:start w:val="1"/>
      <w:numFmt w:val="bullet"/>
      <w:lvlText w:val="•"/>
      <w:lvlJc w:val="left"/>
      <w:pPr>
        <w:ind w:left="1677" w:hanging="360"/>
      </w:pPr>
      <w:rPr>
        <w:rFonts w:hint="default"/>
      </w:rPr>
    </w:lvl>
    <w:lvl w:ilvl="2" w:tplc="4956CEAC">
      <w:start w:val="1"/>
      <w:numFmt w:val="bullet"/>
      <w:lvlText w:val="•"/>
      <w:lvlJc w:val="left"/>
      <w:pPr>
        <w:ind w:left="2515" w:hanging="360"/>
      </w:pPr>
      <w:rPr>
        <w:rFonts w:hint="default"/>
      </w:rPr>
    </w:lvl>
    <w:lvl w:ilvl="3" w:tplc="52AC07C0">
      <w:start w:val="1"/>
      <w:numFmt w:val="bullet"/>
      <w:lvlText w:val="•"/>
      <w:lvlJc w:val="left"/>
      <w:pPr>
        <w:ind w:left="3353" w:hanging="360"/>
      </w:pPr>
      <w:rPr>
        <w:rFonts w:hint="default"/>
      </w:rPr>
    </w:lvl>
    <w:lvl w:ilvl="4" w:tplc="BCD6CD1A">
      <w:start w:val="1"/>
      <w:numFmt w:val="bullet"/>
      <w:lvlText w:val="•"/>
      <w:lvlJc w:val="left"/>
      <w:pPr>
        <w:ind w:left="4192" w:hanging="360"/>
      </w:pPr>
      <w:rPr>
        <w:rFonts w:hint="default"/>
      </w:rPr>
    </w:lvl>
    <w:lvl w:ilvl="5" w:tplc="16BED2A8">
      <w:start w:val="1"/>
      <w:numFmt w:val="bullet"/>
      <w:lvlText w:val="•"/>
      <w:lvlJc w:val="left"/>
      <w:pPr>
        <w:ind w:left="5030" w:hanging="360"/>
      </w:pPr>
      <w:rPr>
        <w:rFonts w:hint="default"/>
      </w:rPr>
    </w:lvl>
    <w:lvl w:ilvl="6" w:tplc="37B81F24">
      <w:start w:val="1"/>
      <w:numFmt w:val="bullet"/>
      <w:lvlText w:val="•"/>
      <w:lvlJc w:val="left"/>
      <w:pPr>
        <w:ind w:left="5868" w:hanging="360"/>
      </w:pPr>
      <w:rPr>
        <w:rFonts w:hint="default"/>
      </w:rPr>
    </w:lvl>
    <w:lvl w:ilvl="7" w:tplc="0E8C4F20">
      <w:start w:val="1"/>
      <w:numFmt w:val="bullet"/>
      <w:lvlText w:val="•"/>
      <w:lvlJc w:val="left"/>
      <w:pPr>
        <w:ind w:left="6707" w:hanging="360"/>
      </w:pPr>
      <w:rPr>
        <w:rFonts w:hint="default"/>
      </w:rPr>
    </w:lvl>
    <w:lvl w:ilvl="8" w:tplc="04AEBF28">
      <w:start w:val="1"/>
      <w:numFmt w:val="bullet"/>
      <w:lvlText w:val="•"/>
      <w:lvlJc w:val="left"/>
      <w:pPr>
        <w:ind w:left="7545" w:hanging="360"/>
      </w:pPr>
      <w:rPr>
        <w:rFonts w:hint="default"/>
      </w:rPr>
    </w:lvl>
  </w:abstractNum>
  <w:abstractNum w:abstractNumId="1" w15:restartNumberingAfterBreak="0">
    <w:nsid w:val="06E22F3C"/>
    <w:multiLevelType w:val="hybridMultilevel"/>
    <w:tmpl w:val="03DA0CC6"/>
    <w:lvl w:ilvl="0" w:tplc="5F78D7B0">
      <w:start w:val="5"/>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7F2B60"/>
    <w:multiLevelType w:val="multilevel"/>
    <w:tmpl w:val="B394AB92"/>
    <w:lvl w:ilvl="0">
      <w:start w:val="1"/>
      <w:numFmt w:val="decimal"/>
      <w:lvlText w:val="%1."/>
      <w:lvlJc w:val="left"/>
      <w:pPr>
        <w:ind w:left="1114" w:hanging="279"/>
        <w:jc w:val="right"/>
      </w:pPr>
      <w:rPr>
        <w:rFonts w:ascii="Arial" w:eastAsia="Arial" w:hAnsi="Arial" w:hint="default"/>
        <w:b/>
        <w:bCs/>
        <w:w w:val="99"/>
        <w:sz w:val="25"/>
        <w:szCs w:val="25"/>
      </w:rPr>
    </w:lvl>
    <w:lvl w:ilvl="1">
      <w:start w:val="1"/>
      <w:numFmt w:val="decimal"/>
      <w:lvlText w:val="%1.%2."/>
      <w:lvlJc w:val="left"/>
      <w:pPr>
        <w:ind w:left="747" w:hanging="488"/>
        <w:jc w:val="right"/>
      </w:pPr>
      <w:rPr>
        <w:rFonts w:ascii="Arial" w:eastAsia="Arial" w:hAnsi="Arial" w:hint="default"/>
        <w:b/>
        <w:bCs/>
        <w:w w:val="99"/>
        <w:sz w:val="25"/>
        <w:szCs w:val="25"/>
      </w:rPr>
    </w:lvl>
    <w:lvl w:ilvl="2">
      <w:start w:val="1"/>
      <w:numFmt w:val="bullet"/>
      <w:lvlText w:val=""/>
      <w:lvlJc w:val="left"/>
      <w:pPr>
        <w:ind w:left="1834" w:hanging="360"/>
      </w:pPr>
      <w:rPr>
        <w:rFonts w:ascii="Symbol" w:eastAsia="Symbol" w:hAnsi="Symbol" w:hint="default"/>
        <w:sz w:val="22"/>
        <w:szCs w:val="22"/>
      </w:rPr>
    </w:lvl>
    <w:lvl w:ilvl="3">
      <w:start w:val="1"/>
      <w:numFmt w:val="bullet"/>
      <w:lvlText w:val="•"/>
      <w:lvlJc w:val="left"/>
      <w:pPr>
        <w:ind w:left="2705" w:hanging="360"/>
      </w:pPr>
      <w:rPr>
        <w:rFonts w:hint="default"/>
      </w:rPr>
    </w:lvl>
    <w:lvl w:ilvl="4">
      <w:start w:val="1"/>
      <w:numFmt w:val="bullet"/>
      <w:lvlText w:val="•"/>
      <w:lvlJc w:val="left"/>
      <w:pPr>
        <w:ind w:left="3576" w:hanging="360"/>
      </w:pPr>
      <w:rPr>
        <w:rFonts w:hint="default"/>
      </w:rPr>
    </w:lvl>
    <w:lvl w:ilvl="5">
      <w:start w:val="1"/>
      <w:numFmt w:val="bullet"/>
      <w:lvlText w:val="•"/>
      <w:lvlJc w:val="left"/>
      <w:pPr>
        <w:ind w:left="4447" w:hanging="360"/>
      </w:pPr>
      <w:rPr>
        <w:rFonts w:hint="default"/>
      </w:rPr>
    </w:lvl>
    <w:lvl w:ilvl="6">
      <w:start w:val="1"/>
      <w:numFmt w:val="bullet"/>
      <w:lvlText w:val="•"/>
      <w:lvlJc w:val="left"/>
      <w:pPr>
        <w:ind w:left="5318" w:hanging="360"/>
      </w:pPr>
      <w:rPr>
        <w:rFonts w:hint="default"/>
      </w:rPr>
    </w:lvl>
    <w:lvl w:ilvl="7">
      <w:start w:val="1"/>
      <w:numFmt w:val="bullet"/>
      <w:lvlText w:val="•"/>
      <w:lvlJc w:val="left"/>
      <w:pPr>
        <w:ind w:left="6189" w:hanging="360"/>
      </w:pPr>
      <w:rPr>
        <w:rFonts w:hint="default"/>
      </w:rPr>
    </w:lvl>
    <w:lvl w:ilvl="8">
      <w:start w:val="1"/>
      <w:numFmt w:val="bullet"/>
      <w:lvlText w:val="•"/>
      <w:lvlJc w:val="left"/>
      <w:pPr>
        <w:ind w:left="7060" w:hanging="360"/>
      </w:pPr>
      <w:rPr>
        <w:rFonts w:hint="default"/>
      </w:rPr>
    </w:lvl>
  </w:abstractNum>
  <w:abstractNum w:abstractNumId="3" w15:restartNumberingAfterBreak="0">
    <w:nsid w:val="0E6036C5"/>
    <w:multiLevelType w:val="multilevel"/>
    <w:tmpl w:val="7B90B1A2"/>
    <w:lvl w:ilvl="0">
      <w:start w:val="2"/>
      <w:numFmt w:val="decimal"/>
      <w:lvlText w:val="%1"/>
      <w:lvlJc w:val="left"/>
      <w:pPr>
        <w:ind w:left="1743" w:hanging="488"/>
      </w:pPr>
      <w:rPr>
        <w:rFonts w:hint="default"/>
      </w:rPr>
    </w:lvl>
    <w:lvl w:ilvl="1">
      <w:start w:val="1"/>
      <w:numFmt w:val="decimal"/>
      <w:lvlText w:val="%1.%2."/>
      <w:lvlJc w:val="left"/>
      <w:pPr>
        <w:ind w:left="1743" w:hanging="488"/>
        <w:jc w:val="right"/>
      </w:pPr>
      <w:rPr>
        <w:rFonts w:ascii="Arial" w:eastAsia="Arial" w:hAnsi="Arial" w:hint="default"/>
        <w:b/>
        <w:bCs/>
        <w:w w:val="99"/>
        <w:sz w:val="25"/>
        <w:szCs w:val="25"/>
      </w:rPr>
    </w:lvl>
    <w:lvl w:ilvl="2">
      <w:start w:val="1"/>
      <w:numFmt w:val="bullet"/>
      <w:lvlText w:val="•"/>
      <w:lvlJc w:val="left"/>
      <w:pPr>
        <w:ind w:left="3239" w:hanging="488"/>
      </w:pPr>
      <w:rPr>
        <w:rFonts w:hint="default"/>
      </w:rPr>
    </w:lvl>
    <w:lvl w:ilvl="3">
      <w:start w:val="1"/>
      <w:numFmt w:val="bullet"/>
      <w:lvlText w:val="•"/>
      <w:lvlJc w:val="left"/>
      <w:pPr>
        <w:ind w:left="3987" w:hanging="488"/>
      </w:pPr>
      <w:rPr>
        <w:rFonts w:hint="default"/>
      </w:rPr>
    </w:lvl>
    <w:lvl w:ilvl="4">
      <w:start w:val="1"/>
      <w:numFmt w:val="bullet"/>
      <w:lvlText w:val="•"/>
      <w:lvlJc w:val="left"/>
      <w:pPr>
        <w:ind w:left="4735" w:hanging="488"/>
      </w:pPr>
      <w:rPr>
        <w:rFonts w:hint="default"/>
      </w:rPr>
    </w:lvl>
    <w:lvl w:ilvl="5">
      <w:start w:val="1"/>
      <w:numFmt w:val="bullet"/>
      <w:lvlText w:val="•"/>
      <w:lvlJc w:val="left"/>
      <w:pPr>
        <w:ind w:left="5483" w:hanging="488"/>
      </w:pPr>
      <w:rPr>
        <w:rFonts w:hint="default"/>
      </w:rPr>
    </w:lvl>
    <w:lvl w:ilvl="6">
      <w:start w:val="1"/>
      <w:numFmt w:val="bullet"/>
      <w:lvlText w:val="•"/>
      <w:lvlJc w:val="left"/>
      <w:pPr>
        <w:ind w:left="6230" w:hanging="488"/>
      </w:pPr>
      <w:rPr>
        <w:rFonts w:hint="default"/>
      </w:rPr>
    </w:lvl>
    <w:lvl w:ilvl="7">
      <w:start w:val="1"/>
      <w:numFmt w:val="bullet"/>
      <w:lvlText w:val="•"/>
      <w:lvlJc w:val="left"/>
      <w:pPr>
        <w:ind w:left="6978" w:hanging="488"/>
      </w:pPr>
      <w:rPr>
        <w:rFonts w:hint="default"/>
      </w:rPr>
    </w:lvl>
    <w:lvl w:ilvl="8">
      <w:start w:val="1"/>
      <w:numFmt w:val="bullet"/>
      <w:lvlText w:val="•"/>
      <w:lvlJc w:val="left"/>
      <w:pPr>
        <w:ind w:left="7726" w:hanging="488"/>
      </w:pPr>
      <w:rPr>
        <w:rFonts w:hint="default"/>
      </w:rPr>
    </w:lvl>
  </w:abstractNum>
  <w:abstractNum w:abstractNumId="4" w15:restartNumberingAfterBreak="0">
    <w:nsid w:val="14F94FC0"/>
    <w:multiLevelType w:val="hybridMultilevel"/>
    <w:tmpl w:val="FEC687BA"/>
    <w:lvl w:ilvl="0" w:tplc="FFE0BAAC">
      <w:start w:val="2"/>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6A60FB7"/>
    <w:multiLevelType w:val="hybridMultilevel"/>
    <w:tmpl w:val="460A7F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BA40969"/>
    <w:multiLevelType w:val="hybridMultilevel"/>
    <w:tmpl w:val="4A2CDE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42569E1"/>
    <w:multiLevelType w:val="hybridMultilevel"/>
    <w:tmpl w:val="986CDDA4"/>
    <w:lvl w:ilvl="0" w:tplc="89FE45C8">
      <w:start w:val="1"/>
      <w:numFmt w:val="lowerLetter"/>
      <w:lvlText w:val="%1)"/>
      <w:lvlJc w:val="left"/>
      <w:pPr>
        <w:ind w:left="1440" w:hanging="360"/>
      </w:pPr>
      <w:rPr>
        <w:b/>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8" w15:restartNumberingAfterBreak="0">
    <w:nsid w:val="24BF6E78"/>
    <w:multiLevelType w:val="hybridMultilevel"/>
    <w:tmpl w:val="7E6A34C6"/>
    <w:lvl w:ilvl="0" w:tplc="AF9470C4">
      <w:start w:val="1"/>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62D434D"/>
    <w:multiLevelType w:val="hybridMultilevel"/>
    <w:tmpl w:val="3C40DF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8B5690A"/>
    <w:multiLevelType w:val="hybridMultilevel"/>
    <w:tmpl w:val="069CED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CB42260"/>
    <w:multiLevelType w:val="hybridMultilevel"/>
    <w:tmpl w:val="2B6C53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31194CEA"/>
    <w:multiLevelType w:val="multilevel"/>
    <w:tmpl w:val="4B8EDA1C"/>
    <w:lvl w:ilvl="0">
      <w:start w:val="1"/>
      <w:numFmt w:val="decimal"/>
      <w:lvlText w:val="%1."/>
      <w:lvlJc w:val="left"/>
      <w:pPr>
        <w:ind w:left="720" w:hanging="360"/>
      </w:pPr>
      <w:rPr>
        <w:rFonts w:hint="default"/>
      </w:rPr>
    </w:lvl>
    <w:lvl w:ilvl="1">
      <w:start w:val="1"/>
      <w:numFmt w:val="decimal"/>
      <w:isLgl/>
      <w:lvlText w:val="%1.%2"/>
      <w:lvlJc w:val="left"/>
      <w:pPr>
        <w:ind w:left="4755"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3216211A"/>
    <w:multiLevelType w:val="hybridMultilevel"/>
    <w:tmpl w:val="A1E67452"/>
    <w:lvl w:ilvl="0" w:tplc="381AA71E">
      <w:start w:val="1"/>
      <w:numFmt w:val="lowerLetter"/>
      <w:lvlText w:val="%1."/>
      <w:lvlJc w:val="left"/>
      <w:pPr>
        <w:ind w:left="720" w:hanging="360"/>
      </w:pPr>
      <w:rPr>
        <w:rFonts w:eastAsiaTheme="minorHAns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9D269A2"/>
    <w:multiLevelType w:val="hybridMultilevel"/>
    <w:tmpl w:val="CA7EB71C"/>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A3F4164"/>
    <w:multiLevelType w:val="hybridMultilevel"/>
    <w:tmpl w:val="DE0AA47E"/>
    <w:lvl w:ilvl="0" w:tplc="D480A9FC">
      <w:start w:val="1"/>
      <w:numFmt w:val="decimal"/>
      <w:lvlText w:val="%1."/>
      <w:lvlJc w:val="left"/>
      <w:pPr>
        <w:ind w:left="720" w:hanging="360"/>
      </w:pPr>
      <w:rPr>
        <w:rFonts w:ascii="Arial" w:eastAsiaTheme="minorHAnsi" w:hAnsi="Arial" w:cstheme="minorBidi" w:hint="default"/>
        <w:b w:val="0"/>
        <w:i w:val="0"/>
        <w:sz w:val="22"/>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AAA5D20"/>
    <w:multiLevelType w:val="hybridMultilevel"/>
    <w:tmpl w:val="43F0C0EA"/>
    <w:lvl w:ilvl="0" w:tplc="4EE63576">
      <w:start w:val="1"/>
      <w:numFmt w:val="lowerLetter"/>
      <w:lvlText w:val="%1)"/>
      <w:lvlJc w:val="left"/>
      <w:pPr>
        <w:ind w:left="720" w:hanging="360"/>
      </w:pPr>
      <w:rPr>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B1257EA"/>
    <w:multiLevelType w:val="hybridMultilevel"/>
    <w:tmpl w:val="8A5C814E"/>
    <w:lvl w:ilvl="0" w:tplc="1264D686">
      <w:start w:val="5"/>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FCB11BC"/>
    <w:multiLevelType w:val="hybridMultilevel"/>
    <w:tmpl w:val="F912D682"/>
    <w:lvl w:ilvl="0" w:tplc="CC22E16E">
      <w:start w:val="5"/>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0C459C6"/>
    <w:multiLevelType w:val="hybridMultilevel"/>
    <w:tmpl w:val="1CC29720"/>
    <w:lvl w:ilvl="0" w:tplc="1B0AB730">
      <w:start w:val="2"/>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6E925E2"/>
    <w:multiLevelType w:val="hybridMultilevel"/>
    <w:tmpl w:val="1C8EC8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DA16566"/>
    <w:multiLevelType w:val="multilevel"/>
    <w:tmpl w:val="48D20614"/>
    <w:lvl w:ilvl="0">
      <w:start w:val="4"/>
      <w:numFmt w:val="decimal"/>
      <w:lvlText w:val="%1"/>
      <w:lvlJc w:val="left"/>
      <w:pPr>
        <w:ind w:left="747" w:hanging="488"/>
      </w:pPr>
      <w:rPr>
        <w:rFonts w:hint="default"/>
      </w:rPr>
    </w:lvl>
    <w:lvl w:ilvl="1">
      <w:start w:val="1"/>
      <w:numFmt w:val="decimal"/>
      <w:lvlText w:val="%1.%2."/>
      <w:lvlJc w:val="left"/>
      <w:pPr>
        <w:ind w:left="747" w:hanging="488"/>
        <w:jc w:val="right"/>
      </w:pPr>
      <w:rPr>
        <w:rFonts w:ascii="Arial" w:eastAsia="Arial" w:hAnsi="Arial" w:hint="default"/>
        <w:b/>
        <w:bCs/>
        <w:w w:val="99"/>
        <w:sz w:val="25"/>
        <w:szCs w:val="25"/>
      </w:rPr>
    </w:lvl>
    <w:lvl w:ilvl="2">
      <w:start w:val="1"/>
      <w:numFmt w:val="bullet"/>
      <w:lvlText w:val="•"/>
      <w:lvlJc w:val="left"/>
      <w:pPr>
        <w:ind w:left="2442" w:hanging="488"/>
      </w:pPr>
      <w:rPr>
        <w:rFonts w:hint="default"/>
      </w:rPr>
    </w:lvl>
    <w:lvl w:ilvl="3">
      <w:start w:val="1"/>
      <w:numFmt w:val="bullet"/>
      <w:lvlText w:val="•"/>
      <w:lvlJc w:val="left"/>
      <w:pPr>
        <w:ind w:left="3290" w:hanging="488"/>
      </w:pPr>
      <w:rPr>
        <w:rFonts w:hint="default"/>
      </w:rPr>
    </w:lvl>
    <w:lvl w:ilvl="4">
      <w:start w:val="1"/>
      <w:numFmt w:val="bullet"/>
      <w:lvlText w:val="•"/>
      <w:lvlJc w:val="left"/>
      <w:pPr>
        <w:ind w:left="4137" w:hanging="488"/>
      </w:pPr>
      <w:rPr>
        <w:rFonts w:hint="default"/>
      </w:rPr>
    </w:lvl>
    <w:lvl w:ilvl="5">
      <w:start w:val="1"/>
      <w:numFmt w:val="bullet"/>
      <w:lvlText w:val="•"/>
      <w:lvlJc w:val="left"/>
      <w:pPr>
        <w:ind w:left="4985" w:hanging="488"/>
      </w:pPr>
      <w:rPr>
        <w:rFonts w:hint="default"/>
      </w:rPr>
    </w:lvl>
    <w:lvl w:ilvl="6">
      <w:start w:val="1"/>
      <w:numFmt w:val="bullet"/>
      <w:lvlText w:val="•"/>
      <w:lvlJc w:val="left"/>
      <w:pPr>
        <w:ind w:left="5832" w:hanging="488"/>
      </w:pPr>
      <w:rPr>
        <w:rFonts w:hint="default"/>
      </w:rPr>
    </w:lvl>
    <w:lvl w:ilvl="7">
      <w:start w:val="1"/>
      <w:numFmt w:val="bullet"/>
      <w:lvlText w:val="•"/>
      <w:lvlJc w:val="left"/>
      <w:pPr>
        <w:ind w:left="6679" w:hanging="488"/>
      </w:pPr>
      <w:rPr>
        <w:rFonts w:hint="default"/>
      </w:rPr>
    </w:lvl>
    <w:lvl w:ilvl="8">
      <w:start w:val="1"/>
      <w:numFmt w:val="bullet"/>
      <w:lvlText w:val="•"/>
      <w:lvlJc w:val="left"/>
      <w:pPr>
        <w:ind w:left="7527" w:hanging="488"/>
      </w:pPr>
      <w:rPr>
        <w:rFonts w:hint="default"/>
      </w:rPr>
    </w:lvl>
  </w:abstractNum>
  <w:abstractNum w:abstractNumId="22" w15:restartNumberingAfterBreak="0">
    <w:nsid w:val="511A072B"/>
    <w:multiLevelType w:val="hybridMultilevel"/>
    <w:tmpl w:val="FD2890E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3C901BD"/>
    <w:multiLevelType w:val="hybridMultilevel"/>
    <w:tmpl w:val="46EC1DFE"/>
    <w:lvl w:ilvl="0" w:tplc="7CF42F6A">
      <w:start w:val="1"/>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4B45482"/>
    <w:multiLevelType w:val="hybridMultilevel"/>
    <w:tmpl w:val="817635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9D17528"/>
    <w:multiLevelType w:val="hybridMultilevel"/>
    <w:tmpl w:val="8B6AC5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AC508AC"/>
    <w:multiLevelType w:val="hybridMultilevel"/>
    <w:tmpl w:val="20FCCFA4"/>
    <w:lvl w:ilvl="0" w:tplc="67EC2C9E">
      <w:start w:val="1"/>
      <w:numFmt w:val="lowerLetter"/>
      <w:lvlText w:val="%1)"/>
      <w:lvlJc w:val="left"/>
      <w:pPr>
        <w:ind w:left="5747" w:hanging="360"/>
      </w:pPr>
      <w:rPr>
        <w:rFonts w:hint="default"/>
        <w:b/>
      </w:rPr>
    </w:lvl>
    <w:lvl w:ilvl="1" w:tplc="080A0019" w:tentative="1">
      <w:start w:val="1"/>
      <w:numFmt w:val="lowerLetter"/>
      <w:lvlText w:val="%2."/>
      <w:lvlJc w:val="left"/>
      <w:pPr>
        <w:ind w:left="6467" w:hanging="360"/>
      </w:pPr>
    </w:lvl>
    <w:lvl w:ilvl="2" w:tplc="080A001B" w:tentative="1">
      <w:start w:val="1"/>
      <w:numFmt w:val="lowerRoman"/>
      <w:lvlText w:val="%3."/>
      <w:lvlJc w:val="right"/>
      <w:pPr>
        <w:ind w:left="7187" w:hanging="180"/>
      </w:pPr>
    </w:lvl>
    <w:lvl w:ilvl="3" w:tplc="080A000F" w:tentative="1">
      <w:start w:val="1"/>
      <w:numFmt w:val="decimal"/>
      <w:lvlText w:val="%4."/>
      <w:lvlJc w:val="left"/>
      <w:pPr>
        <w:ind w:left="7907" w:hanging="360"/>
      </w:pPr>
    </w:lvl>
    <w:lvl w:ilvl="4" w:tplc="080A0019" w:tentative="1">
      <w:start w:val="1"/>
      <w:numFmt w:val="lowerLetter"/>
      <w:lvlText w:val="%5."/>
      <w:lvlJc w:val="left"/>
      <w:pPr>
        <w:ind w:left="8627" w:hanging="360"/>
      </w:pPr>
    </w:lvl>
    <w:lvl w:ilvl="5" w:tplc="080A001B" w:tentative="1">
      <w:start w:val="1"/>
      <w:numFmt w:val="lowerRoman"/>
      <w:lvlText w:val="%6."/>
      <w:lvlJc w:val="right"/>
      <w:pPr>
        <w:ind w:left="9347" w:hanging="180"/>
      </w:pPr>
    </w:lvl>
    <w:lvl w:ilvl="6" w:tplc="080A000F" w:tentative="1">
      <w:start w:val="1"/>
      <w:numFmt w:val="decimal"/>
      <w:lvlText w:val="%7."/>
      <w:lvlJc w:val="left"/>
      <w:pPr>
        <w:ind w:left="10067" w:hanging="360"/>
      </w:pPr>
    </w:lvl>
    <w:lvl w:ilvl="7" w:tplc="080A0019" w:tentative="1">
      <w:start w:val="1"/>
      <w:numFmt w:val="lowerLetter"/>
      <w:lvlText w:val="%8."/>
      <w:lvlJc w:val="left"/>
      <w:pPr>
        <w:ind w:left="10787" w:hanging="360"/>
      </w:pPr>
    </w:lvl>
    <w:lvl w:ilvl="8" w:tplc="080A001B" w:tentative="1">
      <w:start w:val="1"/>
      <w:numFmt w:val="lowerRoman"/>
      <w:lvlText w:val="%9."/>
      <w:lvlJc w:val="right"/>
      <w:pPr>
        <w:ind w:left="11507" w:hanging="180"/>
      </w:pPr>
    </w:lvl>
  </w:abstractNum>
  <w:abstractNum w:abstractNumId="27" w15:restartNumberingAfterBreak="0">
    <w:nsid w:val="5C3F2662"/>
    <w:multiLevelType w:val="hybridMultilevel"/>
    <w:tmpl w:val="6E4255A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8" w15:restartNumberingAfterBreak="0">
    <w:nsid w:val="5D5A17A6"/>
    <w:multiLevelType w:val="hybridMultilevel"/>
    <w:tmpl w:val="E9A4F5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F102938"/>
    <w:multiLevelType w:val="hybridMultilevel"/>
    <w:tmpl w:val="27868252"/>
    <w:lvl w:ilvl="0" w:tplc="262CEEE4">
      <w:start w:val="1"/>
      <w:numFmt w:val="bullet"/>
      <w:lvlText w:val=""/>
      <w:lvlJc w:val="left"/>
      <w:pPr>
        <w:ind w:left="838" w:hanging="360"/>
      </w:pPr>
      <w:rPr>
        <w:rFonts w:ascii="Symbol" w:eastAsia="Symbol" w:hAnsi="Symbol" w:hint="default"/>
        <w:sz w:val="22"/>
        <w:szCs w:val="22"/>
      </w:rPr>
    </w:lvl>
    <w:lvl w:ilvl="1" w:tplc="59BAA1FE">
      <w:start w:val="1"/>
      <w:numFmt w:val="bullet"/>
      <w:lvlText w:val="•"/>
      <w:lvlJc w:val="left"/>
      <w:pPr>
        <w:ind w:left="1677" w:hanging="360"/>
      </w:pPr>
      <w:rPr>
        <w:rFonts w:hint="default"/>
      </w:rPr>
    </w:lvl>
    <w:lvl w:ilvl="2" w:tplc="FD4CD242">
      <w:start w:val="1"/>
      <w:numFmt w:val="bullet"/>
      <w:lvlText w:val="•"/>
      <w:lvlJc w:val="left"/>
      <w:pPr>
        <w:ind w:left="2515" w:hanging="360"/>
      </w:pPr>
      <w:rPr>
        <w:rFonts w:hint="default"/>
      </w:rPr>
    </w:lvl>
    <w:lvl w:ilvl="3" w:tplc="D0F02350">
      <w:start w:val="1"/>
      <w:numFmt w:val="bullet"/>
      <w:lvlText w:val="•"/>
      <w:lvlJc w:val="left"/>
      <w:pPr>
        <w:ind w:left="3353" w:hanging="360"/>
      </w:pPr>
      <w:rPr>
        <w:rFonts w:hint="default"/>
      </w:rPr>
    </w:lvl>
    <w:lvl w:ilvl="4" w:tplc="3AA4FAB6">
      <w:start w:val="1"/>
      <w:numFmt w:val="bullet"/>
      <w:lvlText w:val="•"/>
      <w:lvlJc w:val="left"/>
      <w:pPr>
        <w:ind w:left="4192" w:hanging="360"/>
      </w:pPr>
      <w:rPr>
        <w:rFonts w:hint="default"/>
      </w:rPr>
    </w:lvl>
    <w:lvl w:ilvl="5" w:tplc="E2CEB490">
      <w:start w:val="1"/>
      <w:numFmt w:val="bullet"/>
      <w:lvlText w:val="•"/>
      <w:lvlJc w:val="left"/>
      <w:pPr>
        <w:ind w:left="5030" w:hanging="360"/>
      </w:pPr>
      <w:rPr>
        <w:rFonts w:hint="default"/>
      </w:rPr>
    </w:lvl>
    <w:lvl w:ilvl="6" w:tplc="86CE0BE2">
      <w:start w:val="1"/>
      <w:numFmt w:val="bullet"/>
      <w:lvlText w:val="•"/>
      <w:lvlJc w:val="left"/>
      <w:pPr>
        <w:ind w:left="5868" w:hanging="360"/>
      </w:pPr>
      <w:rPr>
        <w:rFonts w:hint="default"/>
      </w:rPr>
    </w:lvl>
    <w:lvl w:ilvl="7" w:tplc="2B0E07BC">
      <w:start w:val="1"/>
      <w:numFmt w:val="bullet"/>
      <w:lvlText w:val="•"/>
      <w:lvlJc w:val="left"/>
      <w:pPr>
        <w:ind w:left="6707" w:hanging="360"/>
      </w:pPr>
      <w:rPr>
        <w:rFonts w:hint="default"/>
      </w:rPr>
    </w:lvl>
    <w:lvl w:ilvl="8" w:tplc="1978593E">
      <w:start w:val="1"/>
      <w:numFmt w:val="bullet"/>
      <w:lvlText w:val="•"/>
      <w:lvlJc w:val="left"/>
      <w:pPr>
        <w:ind w:left="7545" w:hanging="360"/>
      </w:pPr>
      <w:rPr>
        <w:rFonts w:hint="default"/>
      </w:rPr>
    </w:lvl>
  </w:abstractNum>
  <w:abstractNum w:abstractNumId="30" w15:restartNumberingAfterBreak="0">
    <w:nsid w:val="64DC14B2"/>
    <w:multiLevelType w:val="multilevel"/>
    <w:tmpl w:val="45A075E4"/>
    <w:lvl w:ilvl="0">
      <w:start w:val="1"/>
      <w:numFmt w:val="decimal"/>
      <w:lvlText w:val="%1."/>
      <w:lvlJc w:val="left"/>
      <w:pPr>
        <w:ind w:left="720" w:hanging="360"/>
      </w:pPr>
      <w:rPr>
        <w:rFonts w:ascii="Arial" w:eastAsia="Times New Roman" w:hAnsi="Arial" w:cs="Arial"/>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70E72132"/>
    <w:multiLevelType w:val="hybridMultilevel"/>
    <w:tmpl w:val="3A16F108"/>
    <w:lvl w:ilvl="0" w:tplc="6AFEFF8C">
      <w:start w:val="1"/>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75B45ECD"/>
    <w:multiLevelType w:val="hybridMultilevel"/>
    <w:tmpl w:val="3F0ACF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8DC544D"/>
    <w:multiLevelType w:val="hybridMultilevel"/>
    <w:tmpl w:val="B3A8D4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7ABA1223"/>
    <w:multiLevelType w:val="hybridMultilevel"/>
    <w:tmpl w:val="ACFA605C"/>
    <w:lvl w:ilvl="0" w:tplc="080A0001">
      <w:start w:val="1"/>
      <w:numFmt w:val="bullet"/>
      <w:lvlText w:val=""/>
      <w:lvlJc w:val="left"/>
      <w:pPr>
        <w:ind w:left="786" w:hanging="360"/>
      </w:pPr>
      <w:rPr>
        <w:rFonts w:ascii="Symbol" w:hAnsi="Symbol"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35" w15:restartNumberingAfterBreak="0">
    <w:nsid w:val="7BA41503"/>
    <w:multiLevelType w:val="hybridMultilevel"/>
    <w:tmpl w:val="A1549B96"/>
    <w:lvl w:ilvl="0" w:tplc="61904BC6">
      <w:start w:val="1"/>
      <w:numFmt w:val="bullet"/>
      <w:lvlText w:val=""/>
      <w:lvlJc w:val="left"/>
      <w:pPr>
        <w:ind w:left="838" w:hanging="360"/>
      </w:pPr>
      <w:rPr>
        <w:rFonts w:ascii="Symbol" w:eastAsia="Symbol" w:hAnsi="Symbol" w:hint="default"/>
        <w:sz w:val="22"/>
        <w:szCs w:val="22"/>
      </w:rPr>
    </w:lvl>
    <w:lvl w:ilvl="1" w:tplc="61C2D7DE">
      <w:start w:val="1"/>
      <w:numFmt w:val="bullet"/>
      <w:lvlText w:val=""/>
      <w:lvlJc w:val="left"/>
      <w:pPr>
        <w:ind w:left="1834" w:hanging="360"/>
      </w:pPr>
      <w:rPr>
        <w:rFonts w:ascii="Symbol" w:eastAsia="Symbol" w:hAnsi="Symbol" w:hint="default"/>
        <w:sz w:val="22"/>
        <w:szCs w:val="22"/>
      </w:rPr>
    </w:lvl>
    <w:lvl w:ilvl="2" w:tplc="006C8648">
      <w:start w:val="1"/>
      <w:numFmt w:val="bullet"/>
      <w:lvlText w:val="•"/>
      <w:lvlJc w:val="left"/>
      <w:pPr>
        <w:ind w:left="2608" w:hanging="360"/>
      </w:pPr>
      <w:rPr>
        <w:rFonts w:hint="default"/>
      </w:rPr>
    </w:lvl>
    <w:lvl w:ilvl="3" w:tplc="18468E7C">
      <w:start w:val="1"/>
      <w:numFmt w:val="bullet"/>
      <w:lvlText w:val="•"/>
      <w:lvlJc w:val="left"/>
      <w:pPr>
        <w:ind w:left="3383" w:hanging="360"/>
      </w:pPr>
      <w:rPr>
        <w:rFonts w:hint="default"/>
      </w:rPr>
    </w:lvl>
    <w:lvl w:ilvl="4" w:tplc="D450A406">
      <w:start w:val="1"/>
      <w:numFmt w:val="bullet"/>
      <w:lvlText w:val="•"/>
      <w:lvlJc w:val="left"/>
      <w:pPr>
        <w:ind w:left="4157" w:hanging="360"/>
      </w:pPr>
      <w:rPr>
        <w:rFonts w:hint="default"/>
      </w:rPr>
    </w:lvl>
    <w:lvl w:ilvl="5" w:tplc="1B12D988">
      <w:start w:val="1"/>
      <w:numFmt w:val="bullet"/>
      <w:lvlText w:val="•"/>
      <w:lvlJc w:val="left"/>
      <w:pPr>
        <w:ind w:left="4931" w:hanging="360"/>
      </w:pPr>
      <w:rPr>
        <w:rFonts w:hint="default"/>
      </w:rPr>
    </w:lvl>
    <w:lvl w:ilvl="6" w:tplc="C08A0C2C">
      <w:start w:val="1"/>
      <w:numFmt w:val="bullet"/>
      <w:lvlText w:val="•"/>
      <w:lvlJc w:val="left"/>
      <w:pPr>
        <w:ind w:left="5705" w:hanging="360"/>
      </w:pPr>
      <w:rPr>
        <w:rFonts w:hint="default"/>
      </w:rPr>
    </w:lvl>
    <w:lvl w:ilvl="7" w:tplc="315A9766">
      <w:start w:val="1"/>
      <w:numFmt w:val="bullet"/>
      <w:lvlText w:val="•"/>
      <w:lvlJc w:val="left"/>
      <w:pPr>
        <w:ind w:left="6479" w:hanging="360"/>
      </w:pPr>
      <w:rPr>
        <w:rFonts w:hint="default"/>
      </w:rPr>
    </w:lvl>
    <w:lvl w:ilvl="8" w:tplc="A9440D1E">
      <w:start w:val="1"/>
      <w:numFmt w:val="bullet"/>
      <w:lvlText w:val="•"/>
      <w:lvlJc w:val="left"/>
      <w:pPr>
        <w:ind w:left="7254" w:hanging="360"/>
      </w:pPr>
      <w:rPr>
        <w:rFonts w:hint="default"/>
      </w:rPr>
    </w:lvl>
  </w:abstractNum>
  <w:abstractNum w:abstractNumId="36" w15:restartNumberingAfterBreak="0">
    <w:nsid w:val="7DF27FD4"/>
    <w:multiLevelType w:val="hybridMultilevel"/>
    <w:tmpl w:val="840069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3"/>
  </w:num>
  <w:num w:numId="2">
    <w:abstractNumId w:val="12"/>
  </w:num>
  <w:num w:numId="3">
    <w:abstractNumId w:val="4"/>
  </w:num>
  <w:num w:numId="4">
    <w:abstractNumId w:val="14"/>
  </w:num>
  <w:num w:numId="5">
    <w:abstractNumId w:val="19"/>
  </w:num>
  <w:num w:numId="6">
    <w:abstractNumId w:val="28"/>
  </w:num>
  <w:num w:numId="7">
    <w:abstractNumId w:val="15"/>
  </w:num>
  <w:num w:numId="8">
    <w:abstractNumId w:val="35"/>
  </w:num>
  <w:num w:numId="9">
    <w:abstractNumId w:val="21"/>
  </w:num>
  <w:num w:numId="10">
    <w:abstractNumId w:val="29"/>
  </w:num>
  <w:num w:numId="11">
    <w:abstractNumId w:val="0"/>
  </w:num>
  <w:num w:numId="12">
    <w:abstractNumId w:val="3"/>
  </w:num>
  <w:num w:numId="13">
    <w:abstractNumId w:val="2"/>
  </w:num>
  <w:num w:numId="14">
    <w:abstractNumId w:val="32"/>
  </w:num>
  <w:num w:numId="15">
    <w:abstractNumId w:val="36"/>
  </w:num>
  <w:num w:numId="16">
    <w:abstractNumId w:val="5"/>
  </w:num>
  <w:num w:numId="17">
    <w:abstractNumId w:val="9"/>
  </w:num>
  <w:num w:numId="18">
    <w:abstractNumId w:val="24"/>
  </w:num>
  <w:num w:numId="19">
    <w:abstractNumId w:val="16"/>
  </w:num>
  <w:num w:numId="20">
    <w:abstractNumId w:val="30"/>
  </w:num>
  <w:num w:numId="21">
    <w:abstractNumId w:val="8"/>
  </w:num>
  <w:num w:numId="22">
    <w:abstractNumId w:val="23"/>
  </w:num>
  <w:num w:numId="23">
    <w:abstractNumId w:val="31"/>
  </w:num>
  <w:num w:numId="24">
    <w:abstractNumId w:val="18"/>
  </w:num>
  <w:num w:numId="25">
    <w:abstractNumId w:val="1"/>
  </w:num>
  <w:num w:numId="26">
    <w:abstractNumId w:val="17"/>
  </w:num>
  <w:num w:numId="27">
    <w:abstractNumId w:val="26"/>
  </w:num>
  <w:num w:numId="28">
    <w:abstractNumId w:val="25"/>
  </w:num>
  <w:num w:numId="29">
    <w:abstractNumId w:val="20"/>
  </w:num>
  <w:num w:numId="30">
    <w:abstractNumId w:val="33"/>
  </w:num>
  <w:num w:numId="31">
    <w:abstractNumId w:val="10"/>
  </w:num>
  <w:num w:numId="32">
    <w:abstractNumId w:val="11"/>
  </w:num>
  <w:num w:numId="33">
    <w:abstractNumId w:val="27"/>
  </w:num>
  <w:num w:numId="34">
    <w:abstractNumId w:val="6"/>
  </w:num>
  <w:num w:numId="35">
    <w:abstractNumId w:val="22"/>
  </w:num>
  <w:num w:numId="36">
    <w:abstractNumId w:val="7"/>
  </w:num>
  <w:num w:numId="37">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3108"/>
    <w:rsid w:val="00034F41"/>
    <w:rsid w:val="00064B43"/>
    <w:rsid w:val="00074B69"/>
    <w:rsid w:val="00075081"/>
    <w:rsid w:val="00092D58"/>
    <w:rsid w:val="000950E0"/>
    <w:rsid w:val="000A4DB4"/>
    <w:rsid w:val="000B5417"/>
    <w:rsid w:val="000B6A85"/>
    <w:rsid w:val="000B6C19"/>
    <w:rsid w:val="000D7DCB"/>
    <w:rsid w:val="000F059D"/>
    <w:rsid w:val="000F26E8"/>
    <w:rsid w:val="00102D14"/>
    <w:rsid w:val="00112549"/>
    <w:rsid w:val="00120B7C"/>
    <w:rsid w:val="0012674A"/>
    <w:rsid w:val="001279EE"/>
    <w:rsid w:val="00142F88"/>
    <w:rsid w:val="00167995"/>
    <w:rsid w:val="001722CF"/>
    <w:rsid w:val="00175995"/>
    <w:rsid w:val="00183E52"/>
    <w:rsid w:val="00195B2D"/>
    <w:rsid w:val="001A3B79"/>
    <w:rsid w:val="001B4C17"/>
    <w:rsid w:val="001C1F0F"/>
    <w:rsid w:val="001D2114"/>
    <w:rsid w:val="001D4202"/>
    <w:rsid w:val="001F2B00"/>
    <w:rsid w:val="001F6601"/>
    <w:rsid w:val="002043CA"/>
    <w:rsid w:val="002157D3"/>
    <w:rsid w:val="002473ED"/>
    <w:rsid w:val="002671CD"/>
    <w:rsid w:val="002963D6"/>
    <w:rsid w:val="00296A7A"/>
    <w:rsid w:val="002B70F1"/>
    <w:rsid w:val="002C7B69"/>
    <w:rsid w:val="002E2E30"/>
    <w:rsid w:val="002F2483"/>
    <w:rsid w:val="002F4B6A"/>
    <w:rsid w:val="003236D5"/>
    <w:rsid w:val="00327CF5"/>
    <w:rsid w:val="00334E43"/>
    <w:rsid w:val="00346E4E"/>
    <w:rsid w:val="003505CC"/>
    <w:rsid w:val="00364F7F"/>
    <w:rsid w:val="003812FD"/>
    <w:rsid w:val="00386817"/>
    <w:rsid w:val="00391EED"/>
    <w:rsid w:val="003C020E"/>
    <w:rsid w:val="003D46B4"/>
    <w:rsid w:val="003E6AE1"/>
    <w:rsid w:val="003F0C4B"/>
    <w:rsid w:val="004338CB"/>
    <w:rsid w:val="00435ED8"/>
    <w:rsid w:val="00483B5B"/>
    <w:rsid w:val="00493393"/>
    <w:rsid w:val="004A2624"/>
    <w:rsid w:val="004A4CD1"/>
    <w:rsid w:val="004B0417"/>
    <w:rsid w:val="004B651A"/>
    <w:rsid w:val="004C044E"/>
    <w:rsid w:val="004C1911"/>
    <w:rsid w:val="004D15D3"/>
    <w:rsid w:val="004E3429"/>
    <w:rsid w:val="004E49A4"/>
    <w:rsid w:val="004F454B"/>
    <w:rsid w:val="00510CD3"/>
    <w:rsid w:val="00523240"/>
    <w:rsid w:val="0053075F"/>
    <w:rsid w:val="00534F67"/>
    <w:rsid w:val="00547A33"/>
    <w:rsid w:val="005514B1"/>
    <w:rsid w:val="005615D0"/>
    <w:rsid w:val="00567293"/>
    <w:rsid w:val="00575BE2"/>
    <w:rsid w:val="005A339C"/>
    <w:rsid w:val="005A4AA9"/>
    <w:rsid w:val="005B4E5E"/>
    <w:rsid w:val="005C74A2"/>
    <w:rsid w:val="005D096F"/>
    <w:rsid w:val="005D4A7D"/>
    <w:rsid w:val="005E0746"/>
    <w:rsid w:val="005E4E76"/>
    <w:rsid w:val="005E5515"/>
    <w:rsid w:val="005E5E71"/>
    <w:rsid w:val="006062AF"/>
    <w:rsid w:val="00620560"/>
    <w:rsid w:val="006236BC"/>
    <w:rsid w:val="006273B6"/>
    <w:rsid w:val="00645185"/>
    <w:rsid w:val="00675A1A"/>
    <w:rsid w:val="00676781"/>
    <w:rsid w:val="0068402B"/>
    <w:rsid w:val="006876C6"/>
    <w:rsid w:val="006B1A68"/>
    <w:rsid w:val="006C1A06"/>
    <w:rsid w:val="006D2E4E"/>
    <w:rsid w:val="006D4136"/>
    <w:rsid w:val="006F24A9"/>
    <w:rsid w:val="00707254"/>
    <w:rsid w:val="007368D7"/>
    <w:rsid w:val="00737DCE"/>
    <w:rsid w:val="0074744F"/>
    <w:rsid w:val="007642F4"/>
    <w:rsid w:val="0076647D"/>
    <w:rsid w:val="0078003B"/>
    <w:rsid w:val="007872D3"/>
    <w:rsid w:val="00790CF2"/>
    <w:rsid w:val="00796283"/>
    <w:rsid w:val="007966AC"/>
    <w:rsid w:val="007A35A7"/>
    <w:rsid w:val="007B4919"/>
    <w:rsid w:val="007E22DE"/>
    <w:rsid w:val="007F1D31"/>
    <w:rsid w:val="007F2461"/>
    <w:rsid w:val="007F4487"/>
    <w:rsid w:val="008202B9"/>
    <w:rsid w:val="00822C12"/>
    <w:rsid w:val="00843D32"/>
    <w:rsid w:val="008622E7"/>
    <w:rsid w:val="00872142"/>
    <w:rsid w:val="008748FC"/>
    <w:rsid w:val="00891F4D"/>
    <w:rsid w:val="008B44B2"/>
    <w:rsid w:val="008B6CA0"/>
    <w:rsid w:val="008C16CF"/>
    <w:rsid w:val="008D34F1"/>
    <w:rsid w:val="008E39FD"/>
    <w:rsid w:val="008E3AC7"/>
    <w:rsid w:val="008F202C"/>
    <w:rsid w:val="00905467"/>
    <w:rsid w:val="00906E6F"/>
    <w:rsid w:val="009301A4"/>
    <w:rsid w:val="009434E2"/>
    <w:rsid w:val="009768E2"/>
    <w:rsid w:val="00981934"/>
    <w:rsid w:val="0098490F"/>
    <w:rsid w:val="00990FC2"/>
    <w:rsid w:val="00991581"/>
    <w:rsid w:val="00995B69"/>
    <w:rsid w:val="009A694E"/>
    <w:rsid w:val="009B29B6"/>
    <w:rsid w:val="009E6D51"/>
    <w:rsid w:val="009F581B"/>
    <w:rsid w:val="00A02203"/>
    <w:rsid w:val="00A077A0"/>
    <w:rsid w:val="00A10FB0"/>
    <w:rsid w:val="00A2425D"/>
    <w:rsid w:val="00A2537A"/>
    <w:rsid w:val="00A26DC1"/>
    <w:rsid w:val="00A44BC5"/>
    <w:rsid w:val="00A47052"/>
    <w:rsid w:val="00A54B3B"/>
    <w:rsid w:val="00A60523"/>
    <w:rsid w:val="00A61389"/>
    <w:rsid w:val="00A61CD3"/>
    <w:rsid w:val="00A62FBE"/>
    <w:rsid w:val="00A65A47"/>
    <w:rsid w:val="00A741C5"/>
    <w:rsid w:val="00A743E5"/>
    <w:rsid w:val="00A74D07"/>
    <w:rsid w:val="00A7616F"/>
    <w:rsid w:val="00A76AD8"/>
    <w:rsid w:val="00A853B0"/>
    <w:rsid w:val="00A87A60"/>
    <w:rsid w:val="00AA3E89"/>
    <w:rsid w:val="00AB27A1"/>
    <w:rsid w:val="00AB6EB3"/>
    <w:rsid w:val="00AC2259"/>
    <w:rsid w:val="00AD1064"/>
    <w:rsid w:val="00AD4F62"/>
    <w:rsid w:val="00AD66D0"/>
    <w:rsid w:val="00AE0A68"/>
    <w:rsid w:val="00AE259C"/>
    <w:rsid w:val="00AE3E60"/>
    <w:rsid w:val="00B02B92"/>
    <w:rsid w:val="00B175E1"/>
    <w:rsid w:val="00B25364"/>
    <w:rsid w:val="00B45C44"/>
    <w:rsid w:val="00B56C38"/>
    <w:rsid w:val="00B6308D"/>
    <w:rsid w:val="00B659E2"/>
    <w:rsid w:val="00B73E9D"/>
    <w:rsid w:val="00BA5D74"/>
    <w:rsid w:val="00BB4164"/>
    <w:rsid w:val="00BC05A7"/>
    <w:rsid w:val="00BC388F"/>
    <w:rsid w:val="00BD322A"/>
    <w:rsid w:val="00BD4253"/>
    <w:rsid w:val="00BD53FD"/>
    <w:rsid w:val="00BF1CB6"/>
    <w:rsid w:val="00C21D6B"/>
    <w:rsid w:val="00C4792B"/>
    <w:rsid w:val="00C6775C"/>
    <w:rsid w:val="00C77AC0"/>
    <w:rsid w:val="00C86471"/>
    <w:rsid w:val="00C920AF"/>
    <w:rsid w:val="00CA7A6E"/>
    <w:rsid w:val="00CF13D1"/>
    <w:rsid w:val="00D06D70"/>
    <w:rsid w:val="00D13EBA"/>
    <w:rsid w:val="00D16FB8"/>
    <w:rsid w:val="00D4453E"/>
    <w:rsid w:val="00D50753"/>
    <w:rsid w:val="00D51D6B"/>
    <w:rsid w:val="00D60114"/>
    <w:rsid w:val="00D96C75"/>
    <w:rsid w:val="00DB2484"/>
    <w:rsid w:val="00DB67B7"/>
    <w:rsid w:val="00DC60F4"/>
    <w:rsid w:val="00DD329D"/>
    <w:rsid w:val="00DD673B"/>
    <w:rsid w:val="00DF7F46"/>
    <w:rsid w:val="00E1592E"/>
    <w:rsid w:val="00E37C47"/>
    <w:rsid w:val="00E4370A"/>
    <w:rsid w:val="00E46C96"/>
    <w:rsid w:val="00E54596"/>
    <w:rsid w:val="00E63CA1"/>
    <w:rsid w:val="00E64B10"/>
    <w:rsid w:val="00E97162"/>
    <w:rsid w:val="00E97783"/>
    <w:rsid w:val="00EA0E32"/>
    <w:rsid w:val="00EA1F4E"/>
    <w:rsid w:val="00EA2C07"/>
    <w:rsid w:val="00EB0AAC"/>
    <w:rsid w:val="00EB40D2"/>
    <w:rsid w:val="00EC0744"/>
    <w:rsid w:val="00EF5FBD"/>
    <w:rsid w:val="00F00374"/>
    <w:rsid w:val="00F00FBC"/>
    <w:rsid w:val="00F01139"/>
    <w:rsid w:val="00F148E0"/>
    <w:rsid w:val="00F15E14"/>
    <w:rsid w:val="00F33108"/>
    <w:rsid w:val="00F50328"/>
    <w:rsid w:val="00F64CAD"/>
    <w:rsid w:val="00F8302C"/>
    <w:rsid w:val="00F9277D"/>
    <w:rsid w:val="00FA1EA7"/>
    <w:rsid w:val="00FC51FD"/>
    <w:rsid w:val="00FD14C8"/>
    <w:rsid w:val="00FD67C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9210E4"/>
  <w15:chartTrackingRefBased/>
  <w15:docId w15:val="{E6F2EDD3-6112-4DB5-8150-ACCA79B11D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45C44"/>
  </w:style>
  <w:style w:type="paragraph" w:styleId="Ttulo1">
    <w:name w:val="heading 1"/>
    <w:basedOn w:val="Normal"/>
    <w:next w:val="Normal"/>
    <w:link w:val="Ttulo1Car"/>
    <w:uiPriority w:val="1"/>
    <w:qFormat/>
    <w:rsid w:val="00F33108"/>
    <w:pPr>
      <w:keepNext/>
      <w:keepLines/>
      <w:spacing w:before="100" w:beforeAutospacing="1" w:after="100" w:afterAutospacing="1" w:line="360" w:lineRule="auto"/>
      <w:jc w:val="center"/>
      <w:outlineLvl w:val="0"/>
    </w:pPr>
    <w:rPr>
      <w:rFonts w:ascii="Arial" w:eastAsia="Times New Roman" w:hAnsi="Arial" w:cs="Arial"/>
      <w:b/>
      <w:sz w:val="24"/>
      <w:szCs w:val="24"/>
    </w:rPr>
  </w:style>
  <w:style w:type="paragraph" w:styleId="Ttulo2">
    <w:name w:val="heading 2"/>
    <w:basedOn w:val="Normal"/>
    <w:next w:val="Normal"/>
    <w:link w:val="Ttulo2Car"/>
    <w:uiPriority w:val="9"/>
    <w:unhideWhenUsed/>
    <w:qFormat/>
    <w:rsid w:val="00F33108"/>
    <w:pPr>
      <w:keepNext/>
      <w:keepLines/>
      <w:spacing w:before="100" w:beforeAutospacing="1" w:after="100" w:afterAutospacing="1" w:line="360" w:lineRule="auto"/>
      <w:jc w:val="both"/>
      <w:outlineLvl w:val="1"/>
    </w:pPr>
    <w:rPr>
      <w:rFonts w:ascii="Arial" w:eastAsiaTheme="majorEastAsia" w:hAnsi="Arial" w:cs="Arial"/>
      <w:b/>
      <w:sz w:val="24"/>
      <w:szCs w:val="24"/>
    </w:rPr>
  </w:style>
  <w:style w:type="paragraph" w:styleId="Ttulo3">
    <w:name w:val="heading 3"/>
    <w:basedOn w:val="Normal"/>
    <w:next w:val="Normal"/>
    <w:link w:val="Ttulo3Car"/>
    <w:uiPriority w:val="9"/>
    <w:unhideWhenUsed/>
    <w:qFormat/>
    <w:rsid w:val="00F3310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F33108"/>
    <w:rPr>
      <w:rFonts w:ascii="Arial" w:eastAsia="Times New Roman" w:hAnsi="Arial" w:cs="Arial"/>
      <w:b/>
      <w:sz w:val="24"/>
      <w:szCs w:val="24"/>
    </w:rPr>
  </w:style>
  <w:style w:type="character" w:customStyle="1" w:styleId="Ttulo2Car">
    <w:name w:val="Título 2 Car"/>
    <w:basedOn w:val="Fuentedeprrafopredeter"/>
    <w:link w:val="Ttulo2"/>
    <w:uiPriority w:val="9"/>
    <w:rsid w:val="00F33108"/>
    <w:rPr>
      <w:rFonts w:ascii="Arial" w:eastAsiaTheme="majorEastAsia" w:hAnsi="Arial" w:cs="Arial"/>
      <w:b/>
      <w:sz w:val="24"/>
      <w:szCs w:val="24"/>
    </w:rPr>
  </w:style>
  <w:style w:type="character" w:customStyle="1" w:styleId="Ttulo3Car">
    <w:name w:val="Título 3 Car"/>
    <w:basedOn w:val="Fuentedeprrafopredeter"/>
    <w:link w:val="Ttulo3"/>
    <w:uiPriority w:val="9"/>
    <w:rsid w:val="00F33108"/>
    <w:rPr>
      <w:rFonts w:asciiTheme="majorHAnsi" w:eastAsiaTheme="majorEastAsia" w:hAnsiTheme="majorHAnsi" w:cstheme="majorBidi"/>
      <w:color w:val="1F3763" w:themeColor="accent1" w:themeShade="7F"/>
      <w:sz w:val="24"/>
      <w:szCs w:val="24"/>
    </w:rPr>
  </w:style>
  <w:style w:type="paragraph" w:styleId="NormalWeb">
    <w:name w:val="Normal (Web)"/>
    <w:aliases w:val="Normal (Web) Car1,Normal (Web) Car Car,Normal (Web) Car1 Car Car,Normal (Web) Car Car Car Car Car Car Car Car Car Car,Normal (Web) Car Car Car Car Car Car,Normal (Web) Car Car Car Car,Car Car Car Car,Car Car Car,Car,Car Car,C,Car Car C, C"/>
    <w:basedOn w:val="Normal"/>
    <w:link w:val="NormalWebCar"/>
    <w:uiPriority w:val="99"/>
    <w:unhideWhenUsed/>
    <w:qFormat/>
    <w:rsid w:val="00F33108"/>
    <w:rPr>
      <w:rFonts w:ascii="Times New Roman" w:hAnsi="Times New Roman" w:cs="Times New Roman"/>
      <w:sz w:val="24"/>
      <w:szCs w:val="24"/>
    </w:rPr>
  </w:style>
  <w:style w:type="character" w:customStyle="1" w:styleId="NormalWebCar">
    <w:name w:val="Normal (Web) Car"/>
    <w:aliases w:val="Normal (Web) Car1 Car,Normal (Web) Car Car Car,Normal (Web) Car1 Car Car Car,Normal (Web) Car Car Car Car Car Car Car Car Car Car Car,Normal (Web) Car Car Car Car Car Car Car,Normal (Web) Car Car Car Car Car,Car Car Car Car Car,Car Car1"/>
    <w:basedOn w:val="Fuentedeprrafopredeter"/>
    <w:link w:val="NormalWeb"/>
    <w:uiPriority w:val="99"/>
    <w:locked/>
    <w:rsid w:val="00F33108"/>
    <w:rPr>
      <w:rFonts w:ascii="Times New Roman" w:hAnsi="Times New Roman" w:cs="Times New Roman"/>
      <w:sz w:val="24"/>
      <w:szCs w:val="24"/>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F33108"/>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F33108"/>
    <w:rPr>
      <w:sz w:val="20"/>
      <w:szCs w:val="20"/>
    </w:rPr>
  </w:style>
  <w:style w:type="character" w:styleId="Refdenotaalpie">
    <w:name w:val="footnote reference"/>
    <w:aliases w:val="Texto de nota al pie,Footnotes refss,Appel note de bas de page,Footnote number,referencia nota al pie,BVI fnr,4_G,16 Point,Superscript 6 Point,Texto nota al pie,f,Ref. de nota al pie 2,Footnote Reference Char3,Footnote Reference,ftre"/>
    <w:link w:val="4GChar"/>
    <w:uiPriority w:val="99"/>
    <w:qFormat/>
    <w:rsid w:val="00F33108"/>
    <w:rPr>
      <w:rFonts w:cs="Times New Roman"/>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F33108"/>
    <w:pPr>
      <w:spacing w:after="0" w:line="240" w:lineRule="auto"/>
      <w:jc w:val="both"/>
    </w:pPr>
    <w:rPr>
      <w:rFonts w:cs="Times New Roman"/>
      <w:vertAlign w:val="superscript"/>
    </w:rPr>
  </w:style>
  <w:style w:type="table" w:styleId="Tablaconcuadrcula">
    <w:name w:val="Table Grid"/>
    <w:basedOn w:val="Tablanormal"/>
    <w:uiPriority w:val="39"/>
    <w:rsid w:val="00F331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F3310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33108"/>
  </w:style>
  <w:style w:type="paragraph" w:styleId="Piedepgina">
    <w:name w:val="footer"/>
    <w:basedOn w:val="Normal"/>
    <w:link w:val="PiedepginaCar"/>
    <w:uiPriority w:val="99"/>
    <w:unhideWhenUsed/>
    <w:rsid w:val="00F3310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33108"/>
  </w:style>
  <w:style w:type="character" w:customStyle="1" w:styleId="TextodegloboCar">
    <w:name w:val="Texto de globo Car"/>
    <w:basedOn w:val="Fuentedeprrafopredeter"/>
    <w:link w:val="Textodeglobo"/>
    <w:uiPriority w:val="99"/>
    <w:semiHidden/>
    <w:rsid w:val="00F33108"/>
    <w:rPr>
      <w:rFonts w:ascii="Segoe UI" w:hAnsi="Segoe UI" w:cs="Segoe UI"/>
      <w:sz w:val="18"/>
      <w:szCs w:val="18"/>
    </w:rPr>
  </w:style>
  <w:style w:type="paragraph" w:styleId="Textodeglobo">
    <w:name w:val="Balloon Text"/>
    <w:basedOn w:val="Normal"/>
    <w:link w:val="TextodegloboCar"/>
    <w:uiPriority w:val="99"/>
    <w:semiHidden/>
    <w:unhideWhenUsed/>
    <w:rsid w:val="00F33108"/>
    <w:pPr>
      <w:spacing w:after="0" w:line="240" w:lineRule="auto"/>
    </w:pPr>
    <w:rPr>
      <w:rFonts w:ascii="Segoe UI" w:hAnsi="Segoe UI" w:cs="Segoe UI"/>
      <w:sz w:val="18"/>
      <w:szCs w:val="18"/>
    </w:rPr>
  </w:style>
  <w:style w:type="character" w:customStyle="1" w:styleId="TextodegloboCar1">
    <w:name w:val="Texto de globo Car1"/>
    <w:basedOn w:val="Fuentedeprrafopredeter"/>
    <w:uiPriority w:val="99"/>
    <w:semiHidden/>
    <w:rsid w:val="00F33108"/>
    <w:rPr>
      <w:rFonts w:ascii="Segoe UI" w:hAnsi="Segoe UI" w:cs="Segoe UI"/>
      <w:sz w:val="18"/>
      <w:szCs w:val="18"/>
    </w:rPr>
  </w:style>
  <w:style w:type="character" w:styleId="Hipervnculo">
    <w:name w:val="Hyperlink"/>
    <w:basedOn w:val="Fuentedeprrafopredeter"/>
    <w:uiPriority w:val="99"/>
    <w:unhideWhenUsed/>
    <w:rsid w:val="00F33108"/>
    <w:rPr>
      <w:color w:val="0000FF"/>
      <w:u w:val="single"/>
    </w:rPr>
  </w:style>
  <w:style w:type="paragraph" w:styleId="Prrafodelista">
    <w:name w:val="List Paragraph"/>
    <w:aliases w:val="Cita texto,CNBV Parrafo1,Parrafo 1,Lista multicolor - Énfasis 11,Lista vistosa - Énfasis 11,Cuadrícula media 1 - Énfasis 21,Párrafo de lista1"/>
    <w:basedOn w:val="Normal"/>
    <w:link w:val="PrrafodelistaCar"/>
    <w:uiPriority w:val="34"/>
    <w:qFormat/>
    <w:rsid w:val="00F33108"/>
    <w:pPr>
      <w:ind w:left="720"/>
      <w:contextualSpacing/>
    </w:pPr>
  </w:style>
  <w:style w:type="character" w:customStyle="1" w:styleId="PrrafodelistaCar">
    <w:name w:val="Párrafo de lista Car"/>
    <w:aliases w:val="Cita texto Car,CNBV Parrafo1 Car,Parrafo 1 Car,Lista multicolor - Énfasis 11 Car,Lista vistosa - Énfasis 11 Car,Cuadrícula media 1 - Énfasis 21 Car,Párrafo de lista1 Car"/>
    <w:link w:val="Prrafodelista"/>
    <w:uiPriority w:val="34"/>
    <w:locked/>
    <w:rsid w:val="00F33108"/>
  </w:style>
  <w:style w:type="paragraph" w:customStyle="1" w:styleId="TEXTOLIBRE">
    <w:name w:val="TEXTO LIBRE"/>
    <w:basedOn w:val="Normal"/>
    <w:rsid w:val="00F33108"/>
    <w:pPr>
      <w:spacing w:before="120" w:after="120" w:line="360" w:lineRule="auto"/>
      <w:ind w:firstLine="709"/>
      <w:jc w:val="both"/>
    </w:pPr>
    <w:rPr>
      <w:rFonts w:ascii="Times New Roman" w:eastAsia="Times New Roman" w:hAnsi="Times New Roman" w:cs="Times New Roman"/>
      <w:sz w:val="28"/>
      <w:szCs w:val="24"/>
      <w:lang w:val="es-ES" w:eastAsia="es-ES"/>
    </w:rPr>
  </w:style>
  <w:style w:type="character" w:customStyle="1" w:styleId="TextocomentarioCar">
    <w:name w:val="Texto comentario Car"/>
    <w:basedOn w:val="Fuentedeprrafopredeter"/>
    <w:link w:val="Textocomentario"/>
    <w:uiPriority w:val="99"/>
    <w:semiHidden/>
    <w:rsid w:val="00F33108"/>
    <w:rPr>
      <w:sz w:val="20"/>
      <w:szCs w:val="20"/>
    </w:rPr>
  </w:style>
  <w:style w:type="paragraph" w:styleId="Textocomentario">
    <w:name w:val="annotation text"/>
    <w:basedOn w:val="Normal"/>
    <w:link w:val="TextocomentarioCar"/>
    <w:uiPriority w:val="99"/>
    <w:semiHidden/>
    <w:unhideWhenUsed/>
    <w:rsid w:val="00F33108"/>
    <w:pPr>
      <w:spacing w:line="240" w:lineRule="auto"/>
    </w:pPr>
    <w:rPr>
      <w:sz w:val="20"/>
      <w:szCs w:val="20"/>
    </w:rPr>
  </w:style>
  <w:style w:type="character" w:customStyle="1" w:styleId="TextocomentarioCar1">
    <w:name w:val="Texto comentario Car1"/>
    <w:basedOn w:val="Fuentedeprrafopredeter"/>
    <w:uiPriority w:val="99"/>
    <w:semiHidden/>
    <w:rsid w:val="00F33108"/>
    <w:rPr>
      <w:sz w:val="20"/>
      <w:szCs w:val="20"/>
    </w:rPr>
  </w:style>
  <w:style w:type="character" w:customStyle="1" w:styleId="AsuntodelcomentarioCar">
    <w:name w:val="Asunto del comentario Car"/>
    <w:basedOn w:val="TextocomentarioCar"/>
    <w:link w:val="Asuntodelcomentario"/>
    <w:uiPriority w:val="99"/>
    <w:semiHidden/>
    <w:rsid w:val="00F33108"/>
    <w:rPr>
      <w:b/>
      <w:bCs/>
      <w:sz w:val="20"/>
      <w:szCs w:val="20"/>
    </w:rPr>
  </w:style>
  <w:style w:type="paragraph" w:styleId="Asuntodelcomentario">
    <w:name w:val="annotation subject"/>
    <w:basedOn w:val="Textocomentario"/>
    <w:next w:val="Textocomentario"/>
    <w:link w:val="AsuntodelcomentarioCar"/>
    <w:uiPriority w:val="99"/>
    <w:semiHidden/>
    <w:unhideWhenUsed/>
    <w:rsid w:val="00F33108"/>
    <w:rPr>
      <w:b/>
      <w:bCs/>
    </w:rPr>
  </w:style>
  <w:style w:type="character" w:customStyle="1" w:styleId="AsuntodelcomentarioCar1">
    <w:name w:val="Asunto del comentario Car1"/>
    <w:basedOn w:val="TextocomentarioCar1"/>
    <w:uiPriority w:val="99"/>
    <w:semiHidden/>
    <w:rsid w:val="00F33108"/>
    <w:rPr>
      <w:b/>
      <w:bCs/>
      <w:sz w:val="20"/>
      <w:szCs w:val="20"/>
    </w:rPr>
  </w:style>
  <w:style w:type="paragraph" w:styleId="TtuloTDC">
    <w:name w:val="TOC Heading"/>
    <w:basedOn w:val="Ttulo1"/>
    <w:next w:val="Normal"/>
    <w:uiPriority w:val="39"/>
    <w:unhideWhenUsed/>
    <w:qFormat/>
    <w:rsid w:val="00F33108"/>
    <w:pPr>
      <w:spacing w:before="240" w:beforeAutospacing="0" w:after="0" w:afterAutospacing="0" w:line="259" w:lineRule="auto"/>
      <w:jc w:val="left"/>
      <w:outlineLvl w:val="9"/>
    </w:pPr>
    <w:rPr>
      <w:rFonts w:asciiTheme="majorHAnsi" w:eastAsiaTheme="majorEastAsia" w:hAnsiTheme="majorHAnsi" w:cstheme="majorBidi"/>
      <w:b w:val="0"/>
      <w:color w:val="2F5496" w:themeColor="accent1" w:themeShade="BF"/>
      <w:sz w:val="32"/>
      <w:szCs w:val="32"/>
      <w:lang w:eastAsia="es-MX"/>
    </w:rPr>
  </w:style>
  <w:style w:type="paragraph" w:styleId="TDC2">
    <w:name w:val="toc 2"/>
    <w:basedOn w:val="Normal"/>
    <w:next w:val="Normal"/>
    <w:autoRedefine/>
    <w:uiPriority w:val="39"/>
    <w:unhideWhenUsed/>
    <w:rsid w:val="00C920AF"/>
    <w:pPr>
      <w:tabs>
        <w:tab w:val="right" w:leader="dot" w:pos="7784"/>
      </w:tabs>
      <w:spacing w:after="0" w:line="240" w:lineRule="auto"/>
    </w:pPr>
    <w:rPr>
      <w:rFonts w:eastAsiaTheme="minorEastAsia" w:cs="Times New Roman"/>
      <w:b/>
      <w:lang w:eastAsia="es-MX"/>
    </w:rPr>
  </w:style>
  <w:style w:type="paragraph" w:styleId="TDC1">
    <w:name w:val="toc 1"/>
    <w:basedOn w:val="Normal"/>
    <w:next w:val="Normal"/>
    <w:autoRedefine/>
    <w:uiPriority w:val="39"/>
    <w:unhideWhenUsed/>
    <w:rsid w:val="00F00FBC"/>
    <w:pPr>
      <w:tabs>
        <w:tab w:val="right" w:leader="dot" w:pos="7807"/>
      </w:tabs>
      <w:spacing w:after="0" w:line="240" w:lineRule="auto"/>
    </w:pPr>
    <w:rPr>
      <w:rFonts w:eastAsiaTheme="minorEastAsia" w:cs="Times New Roman"/>
      <w:lang w:eastAsia="es-MX"/>
    </w:rPr>
  </w:style>
  <w:style w:type="paragraph" w:styleId="TDC3">
    <w:name w:val="toc 3"/>
    <w:basedOn w:val="Normal"/>
    <w:next w:val="Normal"/>
    <w:autoRedefine/>
    <w:uiPriority w:val="39"/>
    <w:unhideWhenUsed/>
    <w:rsid w:val="00F33108"/>
    <w:pPr>
      <w:spacing w:after="100"/>
      <w:ind w:left="440"/>
    </w:pPr>
    <w:rPr>
      <w:rFonts w:eastAsiaTheme="minorEastAsia" w:cs="Times New Roman"/>
      <w:lang w:eastAsia="es-MX"/>
    </w:rPr>
  </w:style>
  <w:style w:type="character" w:customStyle="1" w:styleId="Ninguno">
    <w:name w:val="Ninguno"/>
    <w:rsid w:val="00F33108"/>
    <w:rPr>
      <w:lang w:val="es-ES_tradnl"/>
    </w:rPr>
  </w:style>
  <w:style w:type="paragraph" w:styleId="Textoindependiente">
    <w:name w:val="Body Text"/>
    <w:basedOn w:val="Normal"/>
    <w:link w:val="TextoindependienteCar"/>
    <w:uiPriority w:val="1"/>
    <w:qFormat/>
    <w:rsid w:val="00F33108"/>
    <w:pPr>
      <w:widowControl w:val="0"/>
      <w:spacing w:after="0" w:line="240" w:lineRule="auto"/>
      <w:ind w:left="118"/>
    </w:pPr>
    <w:rPr>
      <w:rFonts w:ascii="Arial" w:eastAsia="Arial" w:hAnsi="Arial"/>
      <w:sz w:val="25"/>
      <w:szCs w:val="25"/>
      <w:lang w:val="en-US"/>
    </w:rPr>
  </w:style>
  <w:style w:type="character" w:customStyle="1" w:styleId="TextoindependienteCar">
    <w:name w:val="Texto independiente Car"/>
    <w:basedOn w:val="Fuentedeprrafopredeter"/>
    <w:link w:val="Textoindependiente"/>
    <w:uiPriority w:val="1"/>
    <w:rsid w:val="00F33108"/>
    <w:rPr>
      <w:rFonts w:ascii="Arial" w:eastAsia="Arial" w:hAnsi="Arial"/>
      <w:sz w:val="25"/>
      <w:szCs w:val="25"/>
      <w:lang w:val="en-US"/>
    </w:rPr>
  </w:style>
  <w:style w:type="paragraph" w:customStyle="1" w:styleId="TableParagraph">
    <w:name w:val="Table Paragraph"/>
    <w:basedOn w:val="Normal"/>
    <w:uiPriority w:val="1"/>
    <w:qFormat/>
    <w:rsid w:val="00F33108"/>
    <w:pPr>
      <w:widowControl w:val="0"/>
      <w:spacing w:after="0" w:line="240" w:lineRule="auto"/>
    </w:pPr>
    <w:rPr>
      <w:lang w:val="en-US"/>
    </w:rPr>
  </w:style>
  <w:style w:type="character" w:styleId="Textoennegrita">
    <w:name w:val="Strong"/>
    <w:basedOn w:val="Fuentedeprrafopredeter"/>
    <w:uiPriority w:val="22"/>
    <w:qFormat/>
    <w:rsid w:val="004C1911"/>
    <w:rPr>
      <w:b/>
      <w:bCs/>
    </w:rPr>
  </w:style>
  <w:style w:type="character" w:customStyle="1" w:styleId="detallearticulo1">
    <w:name w:val="detallearticulo1"/>
    <w:basedOn w:val="Fuentedeprrafopredeter"/>
    <w:rsid w:val="004C1911"/>
    <w:rPr>
      <w:rFonts w:ascii="Calibri" w:hAnsi="Calibri"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9625956">
      <w:bodyDiv w:val="1"/>
      <w:marLeft w:val="0"/>
      <w:marRight w:val="0"/>
      <w:marTop w:val="0"/>
      <w:marBottom w:val="0"/>
      <w:divBdr>
        <w:top w:val="none" w:sz="0" w:space="0" w:color="auto"/>
        <w:left w:val="none" w:sz="0" w:space="0" w:color="auto"/>
        <w:bottom w:val="none" w:sz="0" w:space="0" w:color="auto"/>
        <w:right w:val="none" w:sz="0" w:space="0" w:color="auto"/>
      </w:divBdr>
    </w:div>
    <w:div w:id="833185757">
      <w:bodyDiv w:val="1"/>
      <w:marLeft w:val="0"/>
      <w:marRight w:val="0"/>
      <w:marTop w:val="0"/>
      <w:marBottom w:val="0"/>
      <w:divBdr>
        <w:top w:val="none" w:sz="0" w:space="0" w:color="auto"/>
        <w:left w:val="none" w:sz="0" w:space="0" w:color="auto"/>
        <w:bottom w:val="none" w:sz="0" w:space="0" w:color="auto"/>
        <w:right w:val="none" w:sz="0" w:space="0" w:color="auto"/>
      </w:divBdr>
    </w:div>
    <w:div w:id="959530858">
      <w:bodyDiv w:val="1"/>
      <w:marLeft w:val="0"/>
      <w:marRight w:val="0"/>
      <w:marTop w:val="0"/>
      <w:marBottom w:val="0"/>
      <w:divBdr>
        <w:top w:val="none" w:sz="0" w:space="0" w:color="auto"/>
        <w:left w:val="none" w:sz="0" w:space="0" w:color="auto"/>
        <w:bottom w:val="none" w:sz="0" w:space="0" w:color="auto"/>
        <w:right w:val="none" w:sz="0" w:space="0" w:color="auto"/>
      </w:divBdr>
    </w:div>
    <w:div w:id="1045789415">
      <w:bodyDiv w:val="1"/>
      <w:marLeft w:val="0"/>
      <w:marRight w:val="0"/>
      <w:marTop w:val="0"/>
      <w:marBottom w:val="0"/>
      <w:divBdr>
        <w:top w:val="none" w:sz="0" w:space="0" w:color="auto"/>
        <w:left w:val="none" w:sz="0" w:space="0" w:color="auto"/>
        <w:bottom w:val="none" w:sz="0" w:space="0" w:color="auto"/>
        <w:right w:val="none" w:sz="0" w:space="0" w:color="auto"/>
      </w:divBdr>
    </w:div>
    <w:div w:id="1445810930">
      <w:bodyDiv w:val="1"/>
      <w:marLeft w:val="0"/>
      <w:marRight w:val="0"/>
      <w:marTop w:val="0"/>
      <w:marBottom w:val="0"/>
      <w:divBdr>
        <w:top w:val="none" w:sz="0" w:space="0" w:color="auto"/>
        <w:left w:val="none" w:sz="0" w:space="0" w:color="auto"/>
        <w:bottom w:val="none" w:sz="0" w:space="0" w:color="auto"/>
        <w:right w:val="none" w:sz="0" w:space="0" w:color="auto"/>
      </w:divBdr>
    </w:div>
    <w:div w:id="1670719302">
      <w:bodyDiv w:val="1"/>
      <w:marLeft w:val="0"/>
      <w:marRight w:val="0"/>
      <w:marTop w:val="0"/>
      <w:marBottom w:val="0"/>
      <w:divBdr>
        <w:top w:val="none" w:sz="0" w:space="0" w:color="auto"/>
        <w:left w:val="none" w:sz="0" w:space="0" w:color="auto"/>
        <w:bottom w:val="none" w:sz="0" w:space="0" w:color="auto"/>
        <w:right w:val="none" w:sz="0" w:space="0" w:color="auto"/>
      </w:divBdr>
    </w:div>
    <w:div w:id="1760297141">
      <w:bodyDiv w:val="1"/>
      <w:marLeft w:val="0"/>
      <w:marRight w:val="0"/>
      <w:marTop w:val="0"/>
      <w:marBottom w:val="0"/>
      <w:divBdr>
        <w:top w:val="none" w:sz="0" w:space="0" w:color="auto"/>
        <w:left w:val="none" w:sz="0" w:space="0" w:color="auto"/>
        <w:bottom w:val="none" w:sz="0" w:space="0" w:color="auto"/>
        <w:right w:val="none" w:sz="0" w:space="0" w:color="auto"/>
      </w:divBdr>
    </w:div>
    <w:div w:id="1860772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portal-pautas.ine.m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F248E6-6F50-4FAD-813B-841207B064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5103</Words>
  <Characters>28072</Characters>
  <Application>Microsoft Office Word</Application>
  <DocSecurity>0</DocSecurity>
  <Lines>233</Lines>
  <Paragraphs>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Osiris Vázquez Rangel</dc:creator>
  <cp:keywords/>
  <dc:description/>
  <cp:lastModifiedBy>Carolina Roque Morales</cp:lastModifiedBy>
  <cp:revision>2</cp:revision>
  <cp:lastPrinted>2018-07-11T16:10:00Z</cp:lastPrinted>
  <dcterms:created xsi:type="dcterms:W3CDTF">2018-07-11T16:12:00Z</dcterms:created>
  <dcterms:modified xsi:type="dcterms:W3CDTF">2018-07-11T16:12:00Z</dcterms:modified>
</cp:coreProperties>
</file>