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50136" w14:textId="2EF18313" w:rsidR="00790803" w:rsidRDefault="00426C90" w:rsidP="00AA2618">
      <w:pPr>
        <w:pStyle w:val="Ttulo1"/>
        <w:jc w:val="center"/>
        <w:rPr>
          <w:rFonts w:ascii="Gadugi" w:eastAsia="Times New Roman" w:hAnsi="Gadugi" w:cs="Times New Roman"/>
          <w:b/>
          <w:color w:val="C00000"/>
          <w:sz w:val="24"/>
          <w:szCs w:val="24"/>
          <w:lang w:eastAsia="es-MX"/>
        </w:rPr>
      </w:pPr>
      <w:r w:rsidRPr="00426C90">
        <w:rPr>
          <w:rFonts w:ascii="Gadugi" w:eastAsia="Times New Roman" w:hAnsi="Gadugi" w:cs="Times New Roman"/>
          <w:b/>
          <w:color w:val="C00000"/>
          <w:sz w:val="24"/>
          <w:szCs w:val="24"/>
          <w:lang w:eastAsia="es-MX"/>
        </w:rPr>
        <w:t>TESIS IX/2016</w:t>
      </w:r>
    </w:p>
    <w:p w14:paraId="023E31C5" w14:textId="77777777" w:rsidR="00AA2618" w:rsidRPr="00AA2618" w:rsidRDefault="00AA2618" w:rsidP="00AA2618">
      <w:pPr>
        <w:rPr>
          <w:lang w:eastAsia="es-MX"/>
        </w:rPr>
      </w:pP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5360"/>
      </w:tblGrid>
      <w:tr w:rsidR="00790803" w:rsidRPr="004D4888" w14:paraId="3CCE487D" w14:textId="77777777" w:rsidTr="00B57D8F">
        <w:trPr>
          <w:tblCellSpacing w:w="15" w:type="dxa"/>
        </w:trPr>
        <w:tc>
          <w:tcPr>
            <w:tcW w:w="7500" w:type="dxa"/>
            <w:vAlign w:val="center"/>
            <w:hideMark/>
          </w:tcPr>
          <w:p w14:paraId="3ECC405F" w14:textId="77777777" w:rsidR="00790803" w:rsidRPr="004D4888" w:rsidRDefault="00790803" w:rsidP="00B57D8F">
            <w:pPr>
              <w:spacing w:after="0" w:line="240" w:lineRule="auto"/>
              <w:rPr>
                <w:rFonts w:ascii="Times New Roman" w:eastAsia="Times New Roman" w:hAnsi="Times New Roman" w:cs="Times New Roman"/>
                <w:sz w:val="24"/>
                <w:szCs w:val="24"/>
                <w:lang w:eastAsia="es-MX"/>
              </w:rPr>
            </w:pPr>
            <w:r w:rsidRPr="004D4888">
              <w:rPr>
                <w:rFonts w:ascii="Times New Roman" w:eastAsia="Times New Roman" w:hAnsi="Times New Roman" w:cs="Times New Roman"/>
                <w:b/>
                <w:bCs/>
                <w:sz w:val="24"/>
                <w:szCs w:val="24"/>
                <w:lang w:eastAsia="es-MX"/>
              </w:rPr>
              <w:t>José Francisco Hernández Gordillo</w:t>
            </w:r>
            <w:r w:rsidRPr="004D4888">
              <w:rPr>
                <w:rFonts w:ascii="Times New Roman" w:eastAsia="Times New Roman" w:hAnsi="Times New Roman" w:cs="Times New Roman"/>
                <w:sz w:val="24"/>
                <w:szCs w:val="24"/>
                <w:lang w:eastAsia="es-MX"/>
              </w:rPr>
              <w:br/>
            </w:r>
            <w:r w:rsidRPr="004D4888">
              <w:rPr>
                <w:rFonts w:ascii="Times New Roman" w:eastAsia="Times New Roman" w:hAnsi="Times New Roman" w:cs="Times New Roman"/>
                <w:b/>
                <w:bCs/>
                <w:sz w:val="24"/>
                <w:szCs w:val="24"/>
                <w:lang w:eastAsia="es-MX"/>
              </w:rPr>
              <w:t>vs.</w:t>
            </w:r>
            <w:r w:rsidRPr="004D4888">
              <w:rPr>
                <w:rFonts w:ascii="Times New Roman" w:eastAsia="Times New Roman" w:hAnsi="Times New Roman" w:cs="Times New Roman"/>
                <w:sz w:val="24"/>
                <w:szCs w:val="24"/>
                <w:lang w:eastAsia="es-MX"/>
              </w:rPr>
              <w:br/>
            </w:r>
            <w:proofErr w:type="gramStart"/>
            <w:r w:rsidRPr="004D4888">
              <w:rPr>
                <w:rFonts w:ascii="Times New Roman" w:eastAsia="Times New Roman" w:hAnsi="Times New Roman" w:cs="Times New Roman"/>
                <w:b/>
                <w:bCs/>
                <w:sz w:val="24"/>
                <w:szCs w:val="24"/>
                <w:lang w:eastAsia="es-MX"/>
              </w:rPr>
              <w:t>Presidenta</w:t>
            </w:r>
            <w:proofErr w:type="gramEnd"/>
            <w:r w:rsidRPr="004D4888">
              <w:rPr>
                <w:rFonts w:ascii="Times New Roman" w:eastAsia="Times New Roman" w:hAnsi="Times New Roman" w:cs="Times New Roman"/>
                <w:b/>
                <w:bCs/>
                <w:sz w:val="24"/>
                <w:szCs w:val="24"/>
                <w:lang w:eastAsia="es-MX"/>
              </w:rPr>
              <w:t xml:space="preserve"> del Comité Ejecutivo Nacional del Partido Acción Nacional y otro</w:t>
            </w:r>
            <w:r w:rsidRPr="004D4888">
              <w:rPr>
                <w:rFonts w:ascii="Times New Roman" w:eastAsia="Times New Roman" w:hAnsi="Times New Roman" w:cs="Times New Roman"/>
                <w:sz w:val="24"/>
                <w:szCs w:val="24"/>
                <w:lang w:eastAsia="es-MX"/>
              </w:rPr>
              <w:br/>
            </w:r>
            <w:r w:rsidRPr="004D4888">
              <w:rPr>
                <w:rFonts w:ascii="Times New Roman" w:eastAsia="Times New Roman" w:hAnsi="Times New Roman" w:cs="Times New Roman"/>
                <w:sz w:val="24"/>
                <w:szCs w:val="24"/>
                <w:lang w:eastAsia="es-MX"/>
              </w:rPr>
              <w:br/>
            </w:r>
            <w:r w:rsidRPr="004D4888">
              <w:rPr>
                <w:rFonts w:ascii="Times New Roman" w:eastAsia="Times New Roman" w:hAnsi="Times New Roman" w:cs="Times New Roman"/>
                <w:b/>
                <w:bCs/>
                <w:color w:val="990000"/>
                <w:sz w:val="24"/>
                <w:szCs w:val="24"/>
                <w:lang w:eastAsia="es-MX"/>
              </w:rPr>
              <w:t>Tesis</w:t>
            </w:r>
            <w:r w:rsidRPr="004D4888">
              <w:rPr>
                <w:rFonts w:ascii="Times New Roman" w:eastAsia="Times New Roman" w:hAnsi="Times New Roman" w:cs="Times New Roman"/>
                <w:b/>
                <w:bCs/>
                <w:sz w:val="24"/>
                <w:szCs w:val="24"/>
                <w:lang w:eastAsia="es-MX"/>
              </w:rPr>
              <w:t> </w:t>
            </w:r>
            <w:r w:rsidRPr="004D4888">
              <w:rPr>
                <w:rFonts w:ascii="Times New Roman" w:eastAsia="Times New Roman" w:hAnsi="Times New Roman" w:cs="Times New Roman"/>
                <w:b/>
                <w:bCs/>
                <w:color w:val="990000"/>
                <w:sz w:val="24"/>
                <w:szCs w:val="24"/>
                <w:lang w:eastAsia="es-MX"/>
              </w:rPr>
              <w:t>IX/2016</w:t>
            </w:r>
            <w:r w:rsidRPr="004D4888">
              <w:rPr>
                <w:rFonts w:ascii="Times New Roman" w:eastAsia="Times New Roman" w:hAnsi="Times New Roman" w:cs="Times New Roman"/>
                <w:sz w:val="24"/>
                <w:szCs w:val="24"/>
                <w:lang w:eastAsia="es-MX"/>
              </w:rPr>
              <w:br/>
            </w:r>
          </w:p>
        </w:tc>
      </w:tr>
    </w:tbl>
    <w:p w14:paraId="50BFC44B" w14:textId="77777777" w:rsidR="00790803" w:rsidRPr="004D4888" w:rsidRDefault="00790803" w:rsidP="00790803">
      <w:pPr>
        <w:shd w:val="clear" w:color="auto" w:fill="FFFFFF"/>
        <w:spacing w:after="0" w:line="240" w:lineRule="auto"/>
        <w:jc w:val="both"/>
        <w:rPr>
          <w:rFonts w:ascii="Arial" w:eastAsia="Times New Roman" w:hAnsi="Arial" w:cs="Arial"/>
          <w:color w:val="000000"/>
          <w:sz w:val="24"/>
          <w:szCs w:val="24"/>
          <w:lang w:eastAsia="es-MX"/>
        </w:rPr>
      </w:pPr>
      <w:r w:rsidRPr="004D4888">
        <w:rPr>
          <w:rFonts w:ascii="Arial" w:eastAsia="Times New Roman" w:hAnsi="Arial" w:cs="Arial"/>
          <w:b/>
          <w:bCs/>
          <w:color w:val="000000"/>
          <w:sz w:val="24"/>
          <w:szCs w:val="24"/>
          <w:lang w:eastAsia="es-MX"/>
        </w:rPr>
        <w:t>CUOTA DE GÉNERO. DEBE OBSERVARSE EN LA INTEGRACIÓN DE LOS ÓRGANOS DIRECTIVOS PARTIDISTAS (NORMATIVA DEL PARTIDO ACCIÓN NACIONAL).- </w:t>
      </w:r>
      <w:r w:rsidRPr="004D4888">
        <w:rPr>
          <w:rFonts w:ascii="Arial" w:eastAsia="Times New Roman" w:hAnsi="Arial" w:cs="Arial"/>
          <w:color w:val="000000"/>
          <w:sz w:val="24"/>
          <w:szCs w:val="24"/>
          <w:lang w:eastAsia="es-MX"/>
        </w:rPr>
        <w:t xml:space="preserve">De lo dispuesto en los artículos 4, párrafo 1, 25, párrafo 1, inciso e), 38, párrafo 1, incisos f) y s), del Código Federal de Instituciones y Procedimientos Electorales; 25 párrafo 1, inciso l), de los Estatutos del Partido Acción Nacional; así como 31 del Reglamento de Órganos Estatales y Municipales de dicho instituto político, se desprende que es derecho de las y los ciudadanos, así como obligación de los partidos políticos, procurar la igualdad de oportunidades y paridad de género en la integración de sus órganos, y que al menos el cuarenta por ciento de los Consejeros Nacionales debe ser de un género distinto al de la mayoría. Por ello, en la aplicación de la norma, invariablemente debe respetarse el porcentaje mínimo de representación de un género frente al otro, incluso, de ser necesario, ajustar </w:t>
      </w:r>
      <w:proofErr w:type="gramStart"/>
      <w:r w:rsidRPr="004D4888">
        <w:rPr>
          <w:rFonts w:ascii="Arial" w:eastAsia="Times New Roman" w:hAnsi="Arial" w:cs="Arial"/>
          <w:color w:val="000000"/>
          <w:sz w:val="24"/>
          <w:szCs w:val="24"/>
          <w:lang w:eastAsia="es-MX"/>
        </w:rPr>
        <w:t>a la alza</w:t>
      </w:r>
      <w:proofErr w:type="gramEnd"/>
      <w:r w:rsidRPr="004D4888">
        <w:rPr>
          <w:rFonts w:ascii="Arial" w:eastAsia="Times New Roman" w:hAnsi="Arial" w:cs="Arial"/>
          <w:color w:val="000000"/>
          <w:sz w:val="24"/>
          <w:szCs w:val="24"/>
          <w:lang w:eastAsia="es-MX"/>
        </w:rPr>
        <w:t xml:space="preserve"> el número de consejeros o consejeras, según sea el caso, para llegar al porcentaje mínimo; y a la baja, para que el otro género no rebase el sesenta por ciento de representación.</w:t>
      </w:r>
    </w:p>
    <w:p w14:paraId="67DA45C3" w14:textId="77777777" w:rsidR="00790803" w:rsidRPr="004D4888" w:rsidRDefault="00790803" w:rsidP="00790803">
      <w:pPr>
        <w:shd w:val="clear" w:color="auto" w:fill="FFFFFF"/>
        <w:spacing w:after="0" w:line="240" w:lineRule="auto"/>
        <w:jc w:val="both"/>
        <w:rPr>
          <w:rFonts w:ascii="Arial" w:eastAsia="Times New Roman" w:hAnsi="Arial" w:cs="Arial"/>
          <w:color w:val="000000"/>
          <w:sz w:val="24"/>
          <w:szCs w:val="24"/>
          <w:lang w:eastAsia="es-MX"/>
        </w:rPr>
      </w:pPr>
      <w:r w:rsidRPr="004D4888">
        <w:rPr>
          <w:rFonts w:ascii="Arial" w:eastAsia="Times New Roman" w:hAnsi="Arial" w:cs="Arial"/>
          <w:color w:val="000000"/>
          <w:sz w:val="24"/>
          <w:szCs w:val="24"/>
          <w:lang w:eastAsia="es-MX"/>
        </w:rPr>
        <w:br/>
      </w:r>
      <w:r w:rsidRPr="004D4888">
        <w:rPr>
          <w:rFonts w:ascii="Arial" w:eastAsia="Times New Roman" w:hAnsi="Arial" w:cs="Arial"/>
          <w:color w:val="000000"/>
          <w:sz w:val="24"/>
          <w:szCs w:val="24"/>
          <w:lang w:eastAsia="es-MX"/>
        </w:rPr>
        <w:br/>
      </w:r>
      <w:r w:rsidRPr="004D4888">
        <w:rPr>
          <w:rFonts w:ascii="Arial" w:eastAsia="Times New Roman" w:hAnsi="Arial" w:cs="Arial"/>
          <w:b/>
          <w:bCs/>
          <w:color w:val="000000"/>
          <w:sz w:val="24"/>
          <w:szCs w:val="24"/>
          <w:lang w:eastAsia="es-MX"/>
        </w:rPr>
        <w:t>Quinta Época:</w:t>
      </w:r>
    </w:p>
    <w:p w14:paraId="3BB345D9" w14:textId="77777777" w:rsidR="00790803" w:rsidRPr="004D4888" w:rsidRDefault="00790803" w:rsidP="00790803">
      <w:pPr>
        <w:shd w:val="clear" w:color="auto" w:fill="FFFFFF"/>
        <w:spacing w:after="0" w:line="240" w:lineRule="auto"/>
        <w:jc w:val="both"/>
        <w:rPr>
          <w:rFonts w:ascii="Arial" w:eastAsia="Times New Roman" w:hAnsi="Arial" w:cs="Arial"/>
          <w:color w:val="000000"/>
          <w:sz w:val="24"/>
          <w:szCs w:val="24"/>
          <w:lang w:eastAsia="es-MX"/>
        </w:rPr>
      </w:pPr>
      <w:r w:rsidRPr="004D4888">
        <w:rPr>
          <w:rFonts w:ascii="Arial" w:eastAsia="Times New Roman" w:hAnsi="Arial" w:cs="Arial"/>
          <w:i/>
          <w:iCs/>
          <w:color w:val="000000"/>
          <w:sz w:val="24"/>
          <w:szCs w:val="24"/>
          <w:lang w:eastAsia="es-MX"/>
        </w:rPr>
        <w:br/>
      </w:r>
      <w:r w:rsidRPr="004D4888">
        <w:rPr>
          <w:rFonts w:ascii="Arial" w:eastAsia="Times New Roman" w:hAnsi="Arial" w:cs="Arial"/>
          <w:i/>
          <w:iCs/>
          <w:color w:val="000000"/>
          <w:sz w:val="24"/>
          <w:szCs w:val="24"/>
          <w:lang w:eastAsia="es-MX"/>
        </w:rPr>
        <w:br/>
        <w:t>Juicio para la protección de los derechos político-electorales del ciudadano. </w:t>
      </w:r>
      <w:hyperlink r:id="rId7" w:tgtFrame="_blank" w:history="1">
        <w:r w:rsidRPr="004D4888">
          <w:rPr>
            <w:rFonts w:ascii="Arial" w:eastAsia="Times New Roman" w:hAnsi="Arial" w:cs="Arial"/>
            <w:i/>
            <w:iCs/>
            <w:color w:val="006633"/>
            <w:sz w:val="24"/>
            <w:szCs w:val="24"/>
            <w:u w:val="single"/>
            <w:lang w:eastAsia="es-MX"/>
          </w:rPr>
          <w:t>SUP-JDC-380/2014</w:t>
        </w:r>
      </w:hyperlink>
      <w:r w:rsidRPr="004D4888">
        <w:rPr>
          <w:rFonts w:ascii="Arial" w:eastAsia="Times New Roman" w:hAnsi="Arial" w:cs="Arial"/>
          <w:i/>
          <w:iCs/>
          <w:color w:val="000000"/>
          <w:sz w:val="24"/>
          <w:szCs w:val="24"/>
          <w:lang w:eastAsia="es-MX"/>
        </w:rPr>
        <w:t xml:space="preserve">.—Actor: José Francisco Hernández Gordillo.—Órganos responsables: Presidenta del Comité Ejecutivo Nacional del Partido Acción Nacional y otro.—14 de mayo de 2014.—Unanimidad de votos.—Ponente: María del Carmen </w:t>
      </w:r>
      <w:proofErr w:type="spellStart"/>
      <w:r w:rsidRPr="004D4888">
        <w:rPr>
          <w:rFonts w:ascii="Arial" w:eastAsia="Times New Roman" w:hAnsi="Arial" w:cs="Arial"/>
          <w:i/>
          <w:iCs/>
          <w:color w:val="000000"/>
          <w:sz w:val="24"/>
          <w:szCs w:val="24"/>
          <w:lang w:eastAsia="es-MX"/>
        </w:rPr>
        <w:t>Alanis</w:t>
      </w:r>
      <w:proofErr w:type="spellEnd"/>
      <w:r w:rsidRPr="004D4888">
        <w:rPr>
          <w:rFonts w:ascii="Arial" w:eastAsia="Times New Roman" w:hAnsi="Arial" w:cs="Arial"/>
          <w:i/>
          <w:iCs/>
          <w:color w:val="000000"/>
          <w:sz w:val="24"/>
          <w:szCs w:val="24"/>
          <w:lang w:eastAsia="es-MX"/>
        </w:rPr>
        <w:t xml:space="preserve"> Figueroa.—Secretarios: Juan Antonio Garza García y Carlos Vargas Baca.</w:t>
      </w:r>
      <w:r w:rsidRPr="004D4888">
        <w:rPr>
          <w:rFonts w:ascii="Arial" w:eastAsia="Times New Roman" w:hAnsi="Arial" w:cs="Arial"/>
          <w:i/>
          <w:iCs/>
          <w:color w:val="000000"/>
          <w:sz w:val="24"/>
          <w:szCs w:val="24"/>
          <w:lang w:eastAsia="es-MX"/>
        </w:rPr>
        <w:br/>
      </w:r>
      <w:r w:rsidRPr="004D4888">
        <w:rPr>
          <w:rFonts w:ascii="Arial" w:eastAsia="Times New Roman" w:hAnsi="Arial" w:cs="Arial"/>
          <w:i/>
          <w:iCs/>
          <w:color w:val="000000"/>
          <w:sz w:val="24"/>
          <w:szCs w:val="24"/>
          <w:lang w:eastAsia="es-MX"/>
        </w:rPr>
        <w:br/>
      </w:r>
      <w:hyperlink r:id="rId8" w:history="1">
        <w:r w:rsidRPr="004D4888">
          <w:rPr>
            <w:rFonts w:ascii="Arial" w:eastAsia="Times New Roman" w:hAnsi="Arial" w:cs="Arial"/>
            <w:i/>
            <w:iCs/>
            <w:color w:val="0000FF"/>
            <w:sz w:val="24"/>
            <w:szCs w:val="24"/>
            <w:u w:val="single"/>
            <w:lang w:eastAsia="es-MX"/>
          </w:rPr>
          <w:t>Ver casos relacionados</w:t>
        </w:r>
      </w:hyperlink>
    </w:p>
    <w:p w14:paraId="678B60E8" w14:textId="77777777" w:rsidR="00790803" w:rsidRDefault="00790803" w:rsidP="00790803">
      <w:pPr>
        <w:shd w:val="clear" w:color="auto" w:fill="FFFFFF"/>
        <w:spacing w:after="0" w:line="240" w:lineRule="auto"/>
        <w:jc w:val="both"/>
        <w:rPr>
          <w:rFonts w:ascii="Arial" w:eastAsia="Times New Roman" w:hAnsi="Arial" w:cs="Arial"/>
          <w:color w:val="000000"/>
          <w:sz w:val="24"/>
          <w:szCs w:val="24"/>
          <w:lang w:eastAsia="es-MX"/>
        </w:rPr>
      </w:pPr>
      <w:r w:rsidRPr="004D4888">
        <w:rPr>
          <w:rFonts w:ascii="Arial" w:eastAsia="Times New Roman" w:hAnsi="Arial" w:cs="Arial"/>
          <w:color w:val="000000"/>
          <w:sz w:val="24"/>
          <w:szCs w:val="24"/>
          <w:lang w:eastAsia="es-MX"/>
        </w:rPr>
        <w:br/>
      </w:r>
      <w:r w:rsidRPr="004D4888">
        <w:rPr>
          <w:rFonts w:ascii="Arial" w:eastAsia="Times New Roman" w:hAnsi="Arial" w:cs="Arial"/>
          <w:color w:val="000000"/>
          <w:sz w:val="24"/>
          <w:szCs w:val="24"/>
          <w:lang w:eastAsia="es-MX"/>
        </w:rPr>
        <w:br/>
      </w:r>
      <w:r w:rsidRPr="004D4888">
        <w:rPr>
          <w:rFonts w:ascii="Arial" w:eastAsia="Times New Roman" w:hAnsi="Arial" w:cs="Arial"/>
          <w:b/>
          <w:bCs/>
          <w:color w:val="000000"/>
          <w:sz w:val="24"/>
          <w:szCs w:val="24"/>
          <w:lang w:eastAsia="es-MX"/>
        </w:rPr>
        <w:t>Notas</w:t>
      </w:r>
      <w:r w:rsidRPr="004D4888">
        <w:rPr>
          <w:rFonts w:ascii="Arial" w:eastAsia="Times New Roman" w:hAnsi="Arial" w:cs="Arial"/>
          <w:color w:val="000000"/>
          <w:sz w:val="24"/>
          <w:szCs w:val="24"/>
          <w:lang w:eastAsia="es-MX"/>
        </w:rPr>
        <w:t>: El contenido del artículo 4, párrafo 1, del Código Federal de Instituciones y Procedimientos Electorales, interpretado en esta tesis, corresponde al artículo 7, párrafo 1, de la Ley General de Instituciones y Procedimientos Electorales El artículo 25, párrafo 1, inciso e) del entonces COFIPE corresponde al artículo 37, párrafo 1, inciso e), de la Ley General de Partidos Políticos. El artículo 38, párrafo 1, incisos f) y s) del COFIPE, corresponde al artículo 25, párrafo 1, incisos f) y r), de la Ley General de Partidos Políticos El artículo 25, párrafo 1, inciso l) de los Estatutos del Partido Acción Nacional corresponde en el precepto 28, párrafo 1, inciso k) del mismo estatuto.</w:t>
      </w:r>
    </w:p>
    <w:p w14:paraId="6911A4A2" w14:textId="77777777" w:rsidR="00790803" w:rsidRDefault="00790803" w:rsidP="00790803">
      <w:pPr>
        <w:shd w:val="clear" w:color="auto" w:fill="FFFFFF"/>
        <w:spacing w:after="0" w:line="240" w:lineRule="auto"/>
        <w:jc w:val="both"/>
        <w:rPr>
          <w:rFonts w:ascii="Arial" w:eastAsia="Times New Roman" w:hAnsi="Arial" w:cs="Arial"/>
          <w:b/>
          <w:bCs/>
          <w:color w:val="000000"/>
          <w:sz w:val="24"/>
          <w:szCs w:val="24"/>
          <w:lang w:eastAsia="es-MX"/>
        </w:rPr>
      </w:pPr>
      <w:r w:rsidRPr="004D4888">
        <w:rPr>
          <w:rFonts w:ascii="Arial" w:eastAsia="Times New Roman" w:hAnsi="Arial" w:cs="Arial"/>
          <w:color w:val="000000"/>
          <w:sz w:val="24"/>
          <w:szCs w:val="24"/>
          <w:lang w:eastAsia="es-MX"/>
        </w:rPr>
        <w:lastRenderedPageBreak/>
        <w:br/>
      </w:r>
      <w:r w:rsidRPr="004D4888">
        <w:rPr>
          <w:rFonts w:ascii="Arial" w:eastAsia="Times New Roman" w:hAnsi="Arial" w:cs="Arial"/>
          <w:color w:val="000000"/>
          <w:sz w:val="24"/>
          <w:szCs w:val="24"/>
          <w:lang w:eastAsia="es-MX"/>
        </w:rPr>
        <w:br/>
      </w:r>
      <w:r w:rsidRPr="004D4888">
        <w:rPr>
          <w:rFonts w:ascii="Arial" w:eastAsia="Times New Roman" w:hAnsi="Arial" w:cs="Arial"/>
          <w:color w:val="000000"/>
          <w:sz w:val="24"/>
          <w:szCs w:val="24"/>
          <w:lang w:eastAsia="es-MX"/>
        </w:rPr>
        <w:br/>
      </w:r>
      <w:r w:rsidRPr="004D4888">
        <w:rPr>
          <w:rFonts w:ascii="Arial" w:eastAsia="Times New Roman" w:hAnsi="Arial" w:cs="Arial"/>
          <w:b/>
          <w:bCs/>
          <w:color w:val="000000"/>
          <w:sz w:val="24"/>
          <w:szCs w:val="24"/>
          <w:lang w:eastAsia="es-MX"/>
        </w:rPr>
        <w:t>La Sala Superior en sesión pública celebrada el diez de marzo de dos mil dieciséis, aprobó por unanimidad de votos, con la ausencia del Magistrado Manuel González Oropeza, la </w:t>
      </w:r>
      <w:r w:rsidRPr="004D4888">
        <w:rPr>
          <w:rFonts w:ascii="Arial" w:eastAsia="Times New Roman" w:hAnsi="Arial" w:cs="Arial"/>
          <w:b/>
          <w:bCs/>
          <w:color w:val="990000"/>
          <w:sz w:val="24"/>
          <w:szCs w:val="24"/>
          <w:lang w:eastAsia="es-MX"/>
        </w:rPr>
        <w:t>tesis</w:t>
      </w:r>
      <w:r w:rsidRPr="004D4888">
        <w:rPr>
          <w:rFonts w:ascii="Arial" w:eastAsia="Times New Roman" w:hAnsi="Arial" w:cs="Arial"/>
          <w:b/>
          <w:bCs/>
          <w:color w:val="000000"/>
          <w:sz w:val="24"/>
          <w:szCs w:val="24"/>
          <w:lang w:eastAsia="es-MX"/>
        </w:rPr>
        <w:t> que antecede.</w:t>
      </w:r>
    </w:p>
    <w:p w14:paraId="64E5BA75" w14:textId="77777777" w:rsidR="00790803" w:rsidRPr="004D4888" w:rsidRDefault="00790803" w:rsidP="00790803">
      <w:pPr>
        <w:shd w:val="clear" w:color="auto" w:fill="FFFFFF"/>
        <w:spacing w:after="0" w:line="240" w:lineRule="auto"/>
        <w:jc w:val="both"/>
        <w:rPr>
          <w:rFonts w:ascii="Arial" w:eastAsia="Times New Roman" w:hAnsi="Arial" w:cs="Arial"/>
          <w:color w:val="000000"/>
          <w:sz w:val="24"/>
          <w:szCs w:val="24"/>
          <w:lang w:eastAsia="es-MX"/>
        </w:rPr>
      </w:pPr>
      <w:r w:rsidRPr="004D4888">
        <w:rPr>
          <w:rFonts w:ascii="Arial" w:eastAsia="Times New Roman" w:hAnsi="Arial" w:cs="Arial"/>
          <w:color w:val="000000"/>
          <w:sz w:val="24"/>
          <w:szCs w:val="24"/>
          <w:lang w:eastAsia="es-MX"/>
        </w:rPr>
        <w:br/>
      </w:r>
      <w:r w:rsidRPr="004D4888">
        <w:rPr>
          <w:rFonts w:ascii="Arial" w:eastAsia="Times New Roman" w:hAnsi="Arial" w:cs="Arial"/>
          <w:color w:val="000000"/>
          <w:sz w:val="24"/>
          <w:szCs w:val="24"/>
          <w:lang w:eastAsia="es-MX"/>
        </w:rPr>
        <w:br/>
      </w:r>
      <w:r w:rsidRPr="004D4888">
        <w:rPr>
          <w:rFonts w:ascii="Arial" w:eastAsia="Times New Roman" w:hAnsi="Arial" w:cs="Arial"/>
          <w:b/>
          <w:bCs/>
          <w:color w:val="000000"/>
          <w:sz w:val="24"/>
          <w:szCs w:val="24"/>
          <w:lang w:eastAsia="es-MX"/>
        </w:rPr>
        <w:t>Gaceta de Jurisprudencia y </w:t>
      </w:r>
      <w:r w:rsidRPr="004D4888">
        <w:rPr>
          <w:rFonts w:ascii="Arial" w:eastAsia="Times New Roman" w:hAnsi="Arial" w:cs="Arial"/>
          <w:b/>
          <w:bCs/>
          <w:color w:val="990000"/>
          <w:sz w:val="24"/>
          <w:szCs w:val="24"/>
          <w:lang w:eastAsia="es-MX"/>
        </w:rPr>
        <w:t>Tesis</w:t>
      </w:r>
      <w:r w:rsidRPr="004D4888">
        <w:rPr>
          <w:rFonts w:ascii="Arial" w:eastAsia="Times New Roman" w:hAnsi="Arial" w:cs="Arial"/>
          <w:b/>
          <w:bCs/>
          <w:color w:val="000000"/>
          <w:sz w:val="24"/>
          <w:szCs w:val="24"/>
          <w:lang w:eastAsia="es-MX"/>
        </w:rPr>
        <w:t> en materia electoral, Tribunal Electoral del Poder Judicial de la Federación, Año 9, Número 18, 2016, página 76.</w:t>
      </w:r>
      <w:r w:rsidRPr="004D4888">
        <w:rPr>
          <w:rFonts w:ascii="Arial" w:eastAsia="Times New Roman" w:hAnsi="Arial" w:cs="Arial"/>
          <w:color w:val="000000"/>
          <w:sz w:val="24"/>
          <w:szCs w:val="24"/>
          <w:lang w:eastAsia="es-MX"/>
        </w:rPr>
        <w:br/>
      </w:r>
    </w:p>
    <w:p w14:paraId="5C2F1203" w14:textId="77777777" w:rsidR="00790803" w:rsidRDefault="00790803" w:rsidP="00790803">
      <w:pPr>
        <w:rPr>
          <w:rFonts w:ascii="Gadugi" w:eastAsia="Times New Roman" w:hAnsi="Gadugi" w:cs="Times New Roman"/>
          <w:b/>
          <w:color w:val="C00000"/>
          <w:sz w:val="24"/>
          <w:szCs w:val="24"/>
          <w:lang w:eastAsia="es-MX"/>
        </w:rPr>
      </w:pPr>
    </w:p>
    <w:p w14:paraId="14D2F26E" w14:textId="77777777" w:rsidR="00790803" w:rsidRDefault="00790803" w:rsidP="00790803">
      <w:pPr>
        <w:rPr>
          <w:rFonts w:ascii="Gadugi" w:eastAsia="Times New Roman" w:hAnsi="Gadugi" w:cs="Times New Roman"/>
          <w:b/>
          <w:color w:val="C00000"/>
          <w:sz w:val="24"/>
          <w:szCs w:val="24"/>
          <w:lang w:eastAsia="es-MX"/>
        </w:rPr>
      </w:pPr>
    </w:p>
    <w:p w14:paraId="7BAB2AAB" w14:textId="77777777" w:rsidR="00790803" w:rsidRDefault="00790803" w:rsidP="00790803">
      <w:pPr>
        <w:rPr>
          <w:rFonts w:ascii="Gadugi" w:eastAsia="Times New Roman" w:hAnsi="Gadugi" w:cs="Times New Roman"/>
          <w:b/>
          <w:color w:val="C00000"/>
          <w:sz w:val="24"/>
          <w:szCs w:val="24"/>
          <w:lang w:eastAsia="es-MX"/>
        </w:rPr>
      </w:pPr>
    </w:p>
    <w:p w14:paraId="7090D19D" w14:textId="77777777" w:rsidR="00790803" w:rsidRPr="000B23EA" w:rsidRDefault="00790803" w:rsidP="00790803">
      <w:pPr>
        <w:pStyle w:val="Prrafodelista"/>
        <w:numPr>
          <w:ilvl w:val="0"/>
          <w:numId w:val="1"/>
        </w:numPr>
        <w:outlineLvl w:val="1"/>
        <w:rPr>
          <w:rFonts w:ascii="Gadugi" w:eastAsia="Times New Roman" w:hAnsi="Gadugi" w:cs="Times New Roman"/>
          <w:b/>
          <w:color w:val="C00000"/>
          <w:sz w:val="24"/>
          <w:szCs w:val="24"/>
          <w:lang w:eastAsia="es-MX"/>
        </w:rPr>
      </w:pPr>
      <w:r w:rsidRPr="000B23EA">
        <w:rPr>
          <w:rFonts w:ascii="Gadugi" w:eastAsia="Times New Roman" w:hAnsi="Gadugi" w:cs="Times New Roman"/>
          <w:b/>
          <w:color w:val="000000" w:themeColor="text1"/>
          <w:sz w:val="24"/>
          <w:szCs w:val="24"/>
          <w:lang w:eastAsia="es-MX"/>
        </w:rPr>
        <w:t>SENTENCIA</w:t>
      </w:r>
      <w:r w:rsidRPr="000B23EA">
        <w:rPr>
          <w:rFonts w:ascii="Gadugi" w:eastAsia="Times New Roman" w:hAnsi="Gadugi" w:cs="Times New Roman"/>
          <w:b/>
          <w:color w:val="C00000"/>
          <w:sz w:val="24"/>
          <w:szCs w:val="24"/>
          <w:lang w:eastAsia="es-MX"/>
        </w:rPr>
        <w:t xml:space="preserve"> </w:t>
      </w:r>
      <w:hyperlink r:id="rId9" w:tgtFrame="_blank" w:history="1">
        <w:r w:rsidRPr="000B23EA">
          <w:rPr>
            <w:rFonts w:ascii="Gadugi" w:eastAsia="Times New Roman" w:hAnsi="Gadugi" w:cs="Times New Roman"/>
            <w:b/>
            <w:color w:val="C00000"/>
            <w:sz w:val="24"/>
            <w:szCs w:val="24"/>
            <w:lang w:eastAsia="es-MX"/>
          </w:rPr>
          <w:t>SUP-JDC-380/2014</w:t>
        </w:r>
      </w:hyperlink>
    </w:p>
    <w:p w14:paraId="6E0BC347" w14:textId="0877111D" w:rsidR="00426C90" w:rsidRDefault="00426C90" w:rsidP="00790803">
      <w:pPr>
        <w:rPr>
          <w:rFonts w:ascii="Gadugi" w:eastAsia="Times New Roman" w:hAnsi="Gadugi" w:cs="Times New Roman"/>
          <w:b/>
          <w:color w:val="C00000"/>
          <w:sz w:val="24"/>
          <w:szCs w:val="24"/>
          <w:lang w:eastAsia="es-MX"/>
        </w:rPr>
      </w:pPr>
    </w:p>
    <w:p w14:paraId="3552CE80" w14:textId="5369AE63" w:rsidR="003625FE" w:rsidRDefault="003625FE" w:rsidP="003018A0">
      <w:pPr>
        <w:spacing w:after="0" w:line="240" w:lineRule="auto"/>
        <w:ind w:left="2977"/>
        <w:jc w:val="both"/>
        <w:rPr>
          <w:rFonts w:ascii="Arial" w:eastAsia="Arial Unicode MS" w:hAnsi="Arial" w:cs="Arial"/>
          <w:b/>
          <w:bCs/>
          <w:sz w:val="24"/>
          <w:szCs w:val="24"/>
          <w:lang w:eastAsia="es-MX"/>
        </w:rPr>
      </w:pPr>
      <w:r w:rsidRPr="003018A0">
        <w:rPr>
          <w:rFonts w:ascii="Arial" w:eastAsia="Arial Unicode MS" w:hAnsi="Arial" w:cs="Arial"/>
          <w:b/>
          <w:bCs/>
          <w:sz w:val="24"/>
          <w:szCs w:val="24"/>
          <w:lang w:eastAsia="es-MX"/>
        </w:rPr>
        <w:t>JUICIO PARA LA PROTECCIÓN DE LOS DERECHOS POLÍTICO-ELECTORALES DEL CIUDADANO</w:t>
      </w:r>
    </w:p>
    <w:p w14:paraId="1853DDF0" w14:textId="77777777" w:rsidR="003018A0" w:rsidRPr="003018A0" w:rsidRDefault="003018A0" w:rsidP="003018A0">
      <w:pPr>
        <w:spacing w:after="0" w:line="240" w:lineRule="auto"/>
        <w:ind w:left="2977"/>
        <w:jc w:val="both"/>
        <w:rPr>
          <w:rFonts w:ascii="Arial" w:eastAsia="Arial Unicode MS" w:hAnsi="Arial" w:cs="Arial"/>
          <w:b/>
          <w:bCs/>
          <w:sz w:val="24"/>
          <w:szCs w:val="24"/>
          <w:lang w:eastAsia="es-MX"/>
        </w:rPr>
      </w:pPr>
    </w:p>
    <w:p w14:paraId="44C8D13A" w14:textId="64760F16" w:rsidR="003625FE" w:rsidRDefault="003625FE" w:rsidP="003018A0">
      <w:pPr>
        <w:spacing w:after="0" w:line="240" w:lineRule="auto"/>
        <w:ind w:left="2977"/>
        <w:jc w:val="both"/>
        <w:rPr>
          <w:rFonts w:ascii="Arial" w:eastAsia="Arial Unicode MS" w:hAnsi="Arial" w:cs="Arial"/>
          <w:bCs/>
          <w:sz w:val="24"/>
          <w:szCs w:val="24"/>
          <w:lang w:eastAsia="es-MX"/>
        </w:rPr>
      </w:pPr>
      <w:r w:rsidRPr="003018A0">
        <w:rPr>
          <w:rFonts w:ascii="Arial" w:eastAsia="Arial Unicode MS" w:hAnsi="Arial" w:cs="Arial"/>
          <w:b/>
          <w:bCs/>
          <w:sz w:val="24"/>
          <w:szCs w:val="24"/>
          <w:lang w:eastAsia="es-MX"/>
        </w:rPr>
        <w:t xml:space="preserve">EXPEDIENTE: </w:t>
      </w:r>
      <w:r w:rsidRPr="003018A0">
        <w:rPr>
          <w:rFonts w:ascii="Arial" w:eastAsia="Arial Unicode MS" w:hAnsi="Arial" w:cs="Arial"/>
          <w:bCs/>
          <w:sz w:val="24"/>
          <w:szCs w:val="24"/>
          <w:lang w:eastAsia="es-MX"/>
        </w:rPr>
        <w:t>SUP-JDC-380/2014</w:t>
      </w:r>
    </w:p>
    <w:p w14:paraId="202DA319" w14:textId="77777777" w:rsidR="003018A0" w:rsidRPr="003018A0" w:rsidRDefault="003018A0" w:rsidP="003018A0">
      <w:pPr>
        <w:spacing w:after="0" w:line="240" w:lineRule="auto"/>
        <w:ind w:left="2977"/>
        <w:jc w:val="both"/>
        <w:rPr>
          <w:rFonts w:ascii="Arial" w:eastAsia="Arial Unicode MS" w:hAnsi="Arial" w:cs="Arial"/>
          <w:bCs/>
          <w:sz w:val="24"/>
          <w:szCs w:val="24"/>
          <w:lang w:eastAsia="es-MX"/>
        </w:rPr>
      </w:pPr>
    </w:p>
    <w:p w14:paraId="670F77E8" w14:textId="11D6C356" w:rsidR="003625FE" w:rsidRDefault="003625FE" w:rsidP="003018A0">
      <w:pPr>
        <w:spacing w:after="0" w:line="240" w:lineRule="auto"/>
        <w:ind w:left="2977"/>
        <w:jc w:val="both"/>
        <w:rPr>
          <w:rFonts w:ascii="Arial" w:eastAsia="Arial Unicode MS" w:hAnsi="Arial" w:cs="Arial"/>
          <w:bCs/>
          <w:sz w:val="24"/>
          <w:szCs w:val="24"/>
          <w:lang w:eastAsia="es-MX"/>
        </w:rPr>
      </w:pPr>
      <w:r w:rsidRPr="003018A0">
        <w:rPr>
          <w:rFonts w:ascii="Arial" w:eastAsia="Arial Unicode MS" w:hAnsi="Arial" w:cs="Arial"/>
          <w:b/>
          <w:bCs/>
          <w:sz w:val="24"/>
          <w:szCs w:val="24"/>
          <w:lang w:eastAsia="es-MX"/>
        </w:rPr>
        <w:t xml:space="preserve">ACTOR: </w:t>
      </w:r>
      <w:r w:rsidRPr="003018A0">
        <w:rPr>
          <w:rFonts w:ascii="Arial" w:eastAsia="Arial Unicode MS" w:hAnsi="Arial" w:cs="Arial"/>
          <w:bCs/>
          <w:sz w:val="24"/>
          <w:szCs w:val="24"/>
          <w:lang w:eastAsia="es-MX"/>
        </w:rPr>
        <w:t>JOSÉ FRANCISCO HERNÁNDEZ GORDILLO</w:t>
      </w:r>
    </w:p>
    <w:p w14:paraId="77107821" w14:textId="77777777" w:rsidR="003018A0" w:rsidRPr="003018A0" w:rsidRDefault="003018A0" w:rsidP="003018A0">
      <w:pPr>
        <w:spacing w:after="0" w:line="240" w:lineRule="auto"/>
        <w:ind w:left="2977"/>
        <w:jc w:val="both"/>
        <w:rPr>
          <w:rFonts w:ascii="Arial" w:eastAsia="Arial Unicode MS" w:hAnsi="Arial" w:cs="Arial"/>
          <w:bCs/>
          <w:sz w:val="24"/>
          <w:szCs w:val="24"/>
          <w:lang w:eastAsia="es-MX"/>
        </w:rPr>
      </w:pPr>
    </w:p>
    <w:p w14:paraId="5777F751" w14:textId="4DDD8B8A" w:rsidR="003625FE" w:rsidRDefault="003625FE" w:rsidP="003018A0">
      <w:pPr>
        <w:spacing w:after="0" w:line="240" w:lineRule="auto"/>
        <w:ind w:left="2977"/>
        <w:jc w:val="both"/>
        <w:rPr>
          <w:rFonts w:ascii="Arial" w:eastAsia="Times New Roman" w:hAnsi="Arial" w:cs="Arial"/>
          <w:sz w:val="24"/>
          <w:szCs w:val="24"/>
          <w:lang w:eastAsia="es-MX"/>
        </w:rPr>
      </w:pPr>
      <w:r w:rsidRPr="003018A0">
        <w:rPr>
          <w:rFonts w:ascii="Arial" w:eastAsia="Times New Roman" w:hAnsi="Arial" w:cs="Arial"/>
          <w:b/>
          <w:bCs/>
          <w:sz w:val="24"/>
          <w:szCs w:val="24"/>
          <w:lang w:eastAsia="es-MX"/>
        </w:rPr>
        <w:t xml:space="preserve">ÓRGANOS RESPONSABLES: </w:t>
      </w:r>
      <w:r w:rsidRPr="003018A0">
        <w:rPr>
          <w:rFonts w:ascii="Arial" w:eastAsia="Times New Roman" w:hAnsi="Arial" w:cs="Arial"/>
          <w:sz w:val="24"/>
          <w:szCs w:val="24"/>
          <w:lang w:eastAsia="es-MX"/>
        </w:rPr>
        <w:t xml:space="preserve">PRESIDENTA Y COMITÉ EJECUTIVO NACIONAL DEL PARTIDO ACCIÓN NACIONAL </w:t>
      </w:r>
    </w:p>
    <w:p w14:paraId="473F0938" w14:textId="77777777" w:rsidR="003018A0" w:rsidRPr="003018A0" w:rsidRDefault="003018A0" w:rsidP="003018A0">
      <w:pPr>
        <w:spacing w:after="0" w:line="240" w:lineRule="auto"/>
        <w:ind w:left="2977"/>
        <w:jc w:val="both"/>
        <w:rPr>
          <w:rFonts w:ascii="Arial" w:eastAsia="Times New Roman" w:hAnsi="Arial" w:cs="Arial"/>
          <w:sz w:val="24"/>
          <w:szCs w:val="24"/>
          <w:lang w:eastAsia="es-MX"/>
        </w:rPr>
      </w:pPr>
    </w:p>
    <w:p w14:paraId="3057B7D1" w14:textId="58518C3F" w:rsidR="003625FE" w:rsidRDefault="003625FE" w:rsidP="003018A0">
      <w:pPr>
        <w:spacing w:after="0" w:line="240" w:lineRule="auto"/>
        <w:ind w:left="2977"/>
        <w:jc w:val="both"/>
        <w:rPr>
          <w:rFonts w:ascii="Arial" w:eastAsia="Arial Unicode MS" w:hAnsi="Arial" w:cs="Arial"/>
          <w:bCs/>
          <w:sz w:val="24"/>
          <w:szCs w:val="24"/>
          <w:lang w:eastAsia="es-MX"/>
        </w:rPr>
      </w:pPr>
      <w:r w:rsidRPr="003018A0">
        <w:rPr>
          <w:rFonts w:ascii="Arial" w:eastAsia="Arial Unicode MS" w:hAnsi="Arial" w:cs="Arial"/>
          <w:b/>
          <w:bCs/>
          <w:sz w:val="24"/>
          <w:szCs w:val="24"/>
          <w:lang w:eastAsia="es-MX"/>
        </w:rPr>
        <w:t xml:space="preserve">MAGISTRADA PONENTE: </w:t>
      </w:r>
      <w:r w:rsidRPr="003018A0">
        <w:rPr>
          <w:rFonts w:ascii="Arial" w:eastAsia="Arial Unicode MS" w:hAnsi="Arial" w:cs="Arial"/>
          <w:bCs/>
          <w:sz w:val="24"/>
          <w:szCs w:val="24"/>
          <w:lang w:eastAsia="es-MX"/>
        </w:rPr>
        <w:t>MARÍA DEL CARMEN ALANIS FIGUEROA</w:t>
      </w:r>
    </w:p>
    <w:p w14:paraId="4B7E4419" w14:textId="77777777" w:rsidR="003018A0" w:rsidRPr="003018A0" w:rsidRDefault="003018A0" w:rsidP="003018A0">
      <w:pPr>
        <w:spacing w:after="0" w:line="240" w:lineRule="auto"/>
        <w:ind w:left="2977"/>
        <w:jc w:val="both"/>
        <w:rPr>
          <w:rFonts w:ascii="Arial" w:eastAsia="Arial Unicode MS" w:hAnsi="Arial" w:cs="Arial"/>
          <w:bCs/>
          <w:sz w:val="24"/>
          <w:szCs w:val="24"/>
          <w:lang w:eastAsia="es-MX"/>
        </w:rPr>
      </w:pPr>
    </w:p>
    <w:p w14:paraId="30339B27" w14:textId="77777777" w:rsidR="003625FE" w:rsidRPr="003018A0" w:rsidRDefault="003625FE" w:rsidP="003018A0">
      <w:pPr>
        <w:spacing w:after="0" w:line="240" w:lineRule="auto"/>
        <w:ind w:left="2977"/>
        <w:jc w:val="both"/>
        <w:rPr>
          <w:rFonts w:ascii="Arial" w:eastAsia="Arial Unicode MS" w:hAnsi="Arial" w:cs="Arial"/>
          <w:bCs/>
          <w:sz w:val="24"/>
          <w:szCs w:val="24"/>
          <w:lang w:eastAsia="es-MX"/>
        </w:rPr>
      </w:pPr>
      <w:r w:rsidRPr="003018A0">
        <w:rPr>
          <w:rFonts w:ascii="Arial" w:eastAsia="Arial Unicode MS" w:hAnsi="Arial" w:cs="Arial"/>
          <w:b/>
          <w:bCs/>
          <w:sz w:val="24"/>
          <w:szCs w:val="24"/>
          <w:lang w:eastAsia="es-MX"/>
        </w:rPr>
        <w:t>SECRETARIOS:</w:t>
      </w:r>
      <w:r w:rsidRPr="003018A0">
        <w:rPr>
          <w:rFonts w:ascii="Arial" w:eastAsia="Arial Unicode MS" w:hAnsi="Arial" w:cs="Arial"/>
          <w:bCs/>
          <w:sz w:val="24"/>
          <w:szCs w:val="24"/>
          <w:lang w:eastAsia="es-MX"/>
        </w:rPr>
        <w:t xml:space="preserve"> JUAN ANTONIO GARZA GARCÍA Y CARLOS VARGAS BACA</w:t>
      </w:r>
    </w:p>
    <w:p w14:paraId="46D3F2EC" w14:textId="79C4C7DB" w:rsidR="003625FE" w:rsidRDefault="003625FE" w:rsidP="003018A0">
      <w:pPr>
        <w:spacing w:after="0" w:line="240" w:lineRule="auto"/>
        <w:jc w:val="both"/>
        <w:rPr>
          <w:rFonts w:ascii="Arial" w:eastAsia="Arial Unicode MS" w:hAnsi="Arial" w:cs="Arial"/>
          <w:sz w:val="24"/>
          <w:szCs w:val="24"/>
          <w:lang w:eastAsia="es-MX"/>
        </w:rPr>
      </w:pPr>
    </w:p>
    <w:p w14:paraId="0D340589" w14:textId="77777777" w:rsidR="003018A0" w:rsidRPr="003018A0" w:rsidRDefault="003018A0" w:rsidP="003018A0">
      <w:pPr>
        <w:spacing w:after="0" w:line="240" w:lineRule="auto"/>
        <w:jc w:val="both"/>
        <w:rPr>
          <w:rFonts w:ascii="Arial" w:eastAsia="Arial Unicode MS" w:hAnsi="Arial" w:cs="Arial"/>
          <w:sz w:val="24"/>
          <w:szCs w:val="24"/>
          <w:lang w:eastAsia="es-MX"/>
        </w:rPr>
      </w:pPr>
    </w:p>
    <w:p w14:paraId="4C1B13B6" w14:textId="1FC51EAE" w:rsidR="003625FE" w:rsidRDefault="003625FE" w:rsidP="003018A0">
      <w:pPr>
        <w:spacing w:after="0" w:line="240" w:lineRule="auto"/>
        <w:jc w:val="both"/>
        <w:rPr>
          <w:rFonts w:ascii="Arial" w:eastAsia="Arial Unicode MS" w:hAnsi="Arial" w:cs="Arial"/>
          <w:sz w:val="24"/>
          <w:szCs w:val="24"/>
          <w:lang w:eastAsia="es-MX"/>
        </w:rPr>
      </w:pPr>
      <w:r w:rsidRPr="003018A0">
        <w:rPr>
          <w:rFonts w:ascii="Arial" w:eastAsia="Arial Unicode MS" w:hAnsi="Arial" w:cs="Arial"/>
          <w:sz w:val="24"/>
          <w:szCs w:val="24"/>
          <w:lang w:eastAsia="es-MX"/>
        </w:rPr>
        <w:t>México, Distrito Federal, a catorce de mayo de dos mil catorce.</w:t>
      </w:r>
    </w:p>
    <w:p w14:paraId="6836BEBE" w14:textId="17406E72" w:rsidR="003018A0" w:rsidRDefault="003018A0" w:rsidP="003018A0">
      <w:pPr>
        <w:spacing w:after="0" w:line="240" w:lineRule="auto"/>
        <w:jc w:val="both"/>
        <w:rPr>
          <w:rFonts w:ascii="Arial" w:eastAsia="Arial Unicode MS" w:hAnsi="Arial" w:cs="Arial"/>
          <w:sz w:val="24"/>
          <w:szCs w:val="24"/>
          <w:lang w:eastAsia="es-MX"/>
        </w:rPr>
      </w:pPr>
    </w:p>
    <w:p w14:paraId="1DD9C2B7" w14:textId="77777777" w:rsidR="003018A0" w:rsidRPr="003018A0" w:rsidRDefault="003018A0" w:rsidP="003018A0">
      <w:pPr>
        <w:spacing w:after="0" w:line="240" w:lineRule="auto"/>
        <w:jc w:val="both"/>
        <w:rPr>
          <w:rFonts w:ascii="Arial" w:eastAsia="Arial Unicode MS" w:hAnsi="Arial" w:cs="Arial"/>
          <w:sz w:val="24"/>
          <w:szCs w:val="24"/>
          <w:lang w:eastAsia="es-MX"/>
        </w:rPr>
      </w:pPr>
    </w:p>
    <w:p w14:paraId="45D00E00" w14:textId="460F9BE8" w:rsidR="003625FE" w:rsidRDefault="003625FE" w:rsidP="003018A0">
      <w:pPr>
        <w:spacing w:after="0" w:line="240" w:lineRule="auto"/>
        <w:jc w:val="both"/>
        <w:rPr>
          <w:rFonts w:ascii="Arial" w:eastAsia="Arial Unicode MS" w:hAnsi="Arial" w:cs="Arial"/>
          <w:bCs/>
          <w:sz w:val="24"/>
          <w:szCs w:val="24"/>
          <w:lang w:eastAsia="es-MX"/>
        </w:rPr>
      </w:pPr>
      <w:r w:rsidRPr="003018A0">
        <w:rPr>
          <w:rFonts w:ascii="Arial" w:eastAsia="Arial Unicode MS" w:hAnsi="Arial" w:cs="Arial"/>
          <w:b/>
          <w:bCs/>
          <w:sz w:val="24"/>
          <w:szCs w:val="24"/>
          <w:lang w:eastAsia="es-MX"/>
        </w:rPr>
        <w:t>VISTOS,</w:t>
      </w:r>
      <w:r w:rsidRPr="003018A0">
        <w:rPr>
          <w:rFonts w:ascii="Arial" w:eastAsia="Arial Unicode MS" w:hAnsi="Arial" w:cs="Arial"/>
          <w:bCs/>
          <w:sz w:val="24"/>
          <w:szCs w:val="24"/>
          <w:lang w:eastAsia="es-MX"/>
        </w:rPr>
        <w:t xml:space="preserve"> para resolver, los autos del expediente al rubro indicado, integrado con motivo del juicio para la protección de los derechos político-electorales del ciudadano promovido por José Francisco Hernández Gordillo, quien se ostenta </w:t>
      </w:r>
      <w:r w:rsidRPr="003018A0">
        <w:rPr>
          <w:rFonts w:ascii="Arial" w:eastAsia="Arial Unicode MS" w:hAnsi="Arial" w:cs="Arial"/>
          <w:bCs/>
          <w:sz w:val="24"/>
          <w:szCs w:val="24"/>
          <w:lang w:eastAsia="es-MX"/>
        </w:rPr>
        <w:lastRenderedPageBreak/>
        <w:t>como Consejero Nacional del Partido Acción Nacional para el periodo 2014-2016 por el Estado de Chiapas, a fin de controvertir  las providencias emitidas por la Presidenta del Comité Ejecutivo Nacional del Partido Acción Nacional comunicadas mediante oficio SG/130/2014, así como la ratificación de las mismas, a través del acuerdo CEN/SG/025/2014, emitido por el propio Comité Ejecutivo Nacional, en lo relativo a la inclusión de Gloria Trinidad Luna Ruiz, como Consejera Nacional en la XXII Asamblea Nacional Ordinaria y en consecuencia su exclusión del cargo con el que se ostenta; y,</w:t>
      </w:r>
    </w:p>
    <w:p w14:paraId="5FDCDA50" w14:textId="77777777" w:rsidR="003018A0" w:rsidRPr="003018A0" w:rsidRDefault="003018A0" w:rsidP="003018A0">
      <w:pPr>
        <w:spacing w:after="0" w:line="240" w:lineRule="auto"/>
        <w:jc w:val="both"/>
        <w:rPr>
          <w:rFonts w:ascii="Arial" w:eastAsia="Arial Unicode MS" w:hAnsi="Arial" w:cs="Arial"/>
          <w:bCs/>
          <w:sz w:val="24"/>
          <w:szCs w:val="24"/>
          <w:lang w:eastAsia="es-MX"/>
        </w:rPr>
      </w:pPr>
    </w:p>
    <w:p w14:paraId="59B5EA85" w14:textId="36B01065" w:rsidR="003625FE" w:rsidRDefault="003625FE" w:rsidP="003018A0">
      <w:pPr>
        <w:spacing w:after="0" w:line="240" w:lineRule="auto"/>
        <w:jc w:val="center"/>
        <w:rPr>
          <w:rFonts w:ascii="Arial" w:eastAsia="Times New Roman" w:hAnsi="Arial" w:cs="Arial"/>
          <w:b/>
          <w:sz w:val="24"/>
          <w:szCs w:val="24"/>
          <w:lang w:eastAsia="es-ES"/>
        </w:rPr>
      </w:pPr>
      <w:r w:rsidRPr="003018A0">
        <w:rPr>
          <w:rFonts w:ascii="Arial" w:eastAsia="Times New Roman" w:hAnsi="Arial" w:cs="Arial"/>
          <w:b/>
          <w:sz w:val="24"/>
          <w:szCs w:val="24"/>
          <w:lang w:eastAsia="es-ES"/>
        </w:rPr>
        <w:t>R E S U L T A N D O</w:t>
      </w:r>
    </w:p>
    <w:p w14:paraId="1B71CAA9" w14:textId="77777777" w:rsidR="003018A0" w:rsidRPr="003018A0" w:rsidRDefault="003018A0" w:rsidP="003018A0">
      <w:pPr>
        <w:spacing w:after="0" w:line="240" w:lineRule="auto"/>
        <w:rPr>
          <w:rFonts w:ascii="Arial" w:eastAsia="Times New Roman" w:hAnsi="Arial" w:cs="Arial"/>
          <w:b/>
          <w:sz w:val="24"/>
          <w:szCs w:val="24"/>
          <w:lang w:eastAsia="es-ES"/>
        </w:rPr>
      </w:pPr>
    </w:p>
    <w:p w14:paraId="32F2C5F6" w14:textId="7778724F" w:rsidR="003625FE" w:rsidRDefault="003625FE" w:rsidP="003018A0">
      <w:pPr>
        <w:spacing w:after="0" w:line="240" w:lineRule="auto"/>
        <w:jc w:val="both"/>
        <w:rPr>
          <w:rFonts w:ascii="Arial" w:eastAsia="Arial Unicode MS" w:hAnsi="Arial" w:cs="Arial"/>
          <w:sz w:val="24"/>
          <w:szCs w:val="24"/>
          <w:lang w:eastAsia="es-MX"/>
        </w:rPr>
      </w:pPr>
      <w:r w:rsidRPr="003018A0">
        <w:rPr>
          <w:rFonts w:ascii="Arial" w:eastAsia="Arial Unicode MS" w:hAnsi="Arial" w:cs="Arial"/>
          <w:sz w:val="24"/>
          <w:szCs w:val="24"/>
          <w:lang w:eastAsia="es-MX"/>
        </w:rPr>
        <w:t>De lo expuesto por el actor, así como de las constancias de autos, se advierte lo siguiente.</w:t>
      </w:r>
    </w:p>
    <w:p w14:paraId="62C63463" w14:textId="77777777" w:rsidR="003018A0" w:rsidRPr="003018A0" w:rsidRDefault="003018A0" w:rsidP="003018A0">
      <w:pPr>
        <w:spacing w:after="0" w:line="240" w:lineRule="auto"/>
        <w:jc w:val="both"/>
        <w:rPr>
          <w:rFonts w:ascii="Arial" w:eastAsia="Arial Unicode MS" w:hAnsi="Arial" w:cs="Arial"/>
          <w:sz w:val="24"/>
          <w:szCs w:val="24"/>
          <w:lang w:eastAsia="es-MX"/>
        </w:rPr>
      </w:pPr>
    </w:p>
    <w:p w14:paraId="26A13972" w14:textId="68D4A52F" w:rsidR="003625FE" w:rsidRDefault="003625FE" w:rsidP="003018A0">
      <w:pPr>
        <w:spacing w:after="0" w:line="240" w:lineRule="auto"/>
        <w:jc w:val="both"/>
        <w:rPr>
          <w:rFonts w:ascii="Arial" w:eastAsia="Times New Roman" w:hAnsi="Arial" w:cs="Arial"/>
          <w:b/>
          <w:bCs/>
          <w:sz w:val="24"/>
          <w:szCs w:val="24"/>
          <w:lang w:eastAsia="es-MX"/>
        </w:rPr>
      </w:pPr>
      <w:r w:rsidRPr="003018A0">
        <w:rPr>
          <w:rFonts w:ascii="Arial" w:eastAsia="Times New Roman" w:hAnsi="Arial" w:cs="Arial"/>
          <w:b/>
          <w:bCs/>
          <w:sz w:val="24"/>
          <w:szCs w:val="24"/>
          <w:lang w:eastAsia="es-MX"/>
        </w:rPr>
        <w:t>I. Antecedentes.</w:t>
      </w:r>
    </w:p>
    <w:p w14:paraId="40D1F981" w14:textId="77777777" w:rsidR="003018A0" w:rsidRPr="003018A0" w:rsidRDefault="003018A0" w:rsidP="003018A0">
      <w:pPr>
        <w:spacing w:after="0" w:line="240" w:lineRule="auto"/>
        <w:jc w:val="both"/>
        <w:rPr>
          <w:rFonts w:ascii="Arial" w:eastAsia="Times New Roman" w:hAnsi="Arial" w:cs="Arial"/>
          <w:b/>
          <w:bCs/>
          <w:sz w:val="24"/>
          <w:szCs w:val="24"/>
          <w:lang w:eastAsia="es-MX"/>
        </w:rPr>
      </w:pPr>
    </w:p>
    <w:p w14:paraId="1225A468" w14:textId="77777777" w:rsidR="003625FE" w:rsidRPr="003018A0" w:rsidRDefault="003625FE" w:rsidP="003018A0">
      <w:pPr>
        <w:pStyle w:val="Cuerpodeltexto0"/>
        <w:tabs>
          <w:tab w:val="left" w:pos="0"/>
        </w:tabs>
        <w:spacing w:before="0" w:line="240" w:lineRule="auto"/>
        <w:ind w:firstLine="0"/>
        <w:rPr>
          <w:b/>
          <w:sz w:val="24"/>
          <w:szCs w:val="24"/>
        </w:rPr>
      </w:pPr>
      <w:r w:rsidRPr="003018A0">
        <w:rPr>
          <w:b/>
          <w:sz w:val="24"/>
          <w:szCs w:val="24"/>
        </w:rPr>
        <w:t>1.</w:t>
      </w:r>
      <w:r w:rsidRPr="003018A0">
        <w:rPr>
          <w:sz w:val="24"/>
          <w:szCs w:val="24"/>
        </w:rPr>
        <w:t xml:space="preserve"> </w:t>
      </w:r>
      <w:r w:rsidRPr="003018A0">
        <w:rPr>
          <w:b/>
          <w:sz w:val="24"/>
          <w:szCs w:val="24"/>
        </w:rPr>
        <w:t>Convocatoria para Asamblea Nacional</w:t>
      </w:r>
      <w:r w:rsidRPr="003018A0">
        <w:rPr>
          <w:sz w:val="24"/>
          <w:szCs w:val="24"/>
        </w:rPr>
        <w:t xml:space="preserve">. El diecinueve de noviembre de dos mil trece, el Comité Ejecutivo Nacional del Partido Acción Nacional expidió y publicó la convocatoria y lineamientos para la celebración de la </w:t>
      </w:r>
      <w:r w:rsidRPr="003018A0">
        <w:rPr>
          <w:rStyle w:val="CuerpodeltextoNegrita"/>
          <w:sz w:val="24"/>
          <w:szCs w:val="24"/>
        </w:rPr>
        <w:t xml:space="preserve">XXII </w:t>
      </w:r>
      <w:r w:rsidRPr="003018A0">
        <w:rPr>
          <w:sz w:val="24"/>
          <w:szCs w:val="24"/>
        </w:rPr>
        <w:t xml:space="preserve">Asamblea Nacional Ordinaria del Partido Acción Nacional que se celebraría en fecha 29 de marzo de 2014 y en la que, entre otras cuestiones, se </w:t>
      </w:r>
      <w:r w:rsidRPr="003018A0">
        <w:rPr>
          <w:rStyle w:val="CuerpodeltextoNegrita"/>
          <w:sz w:val="24"/>
          <w:szCs w:val="24"/>
        </w:rPr>
        <w:t>ratificaría a los Consejeros Nacionales Electos en las Asambleas Estatales correspondientes.</w:t>
      </w:r>
    </w:p>
    <w:p w14:paraId="4920E307" w14:textId="77777777" w:rsidR="003625FE" w:rsidRPr="003018A0" w:rsidRDefault="003625FE" w:rsidP="003018A0">
      <w:pPr>
        <w:pStyle w:val="Cuerpodeltexto0"/>
        <w:tabs>
          <w:tab w:val="left" w:pos="0"/>
        </w:tabs>
        <w:spacing w:before="0" w:line="240" w:lineRule="auto"/>
        <w:ind w:firstLine="0"/>
        <w:rPr>
          <w:b/>
          <w:sz w:val="24"/>
          <w:szCs w:val="24"/>
        </w:rPr>
      </w:pPr>
    </w:p>
    <w:p w14:paraId="0DB254B2" w14:textId="77777777" w:rsidR="003625FE" w:rsidRPr="003018A0" w:rsidRDefault="003625FE" w:rsidP="003018A0">
      <w:pPr>
        <w:pStyle w:val="Cuerpodeltexto0"/>
        <w:tabs>
          <w:tab w:val="left" w:pos="0"/>
        </w:tabs>
        <w:spacing w:before="0" w:line="240" w:lineRule="auto"/>
        <w:ind w:firstLine="0"/>
        <w:rPr>
          <w:rStyle w:val="CuerpodeltextoNegrita"/>
          <w:bCs w:val="0"/>
          <w:sz w:val="24"/>
          <w:szCs w:val="24"/>
        </w:rPr>
      </w:pPr>
      <w:r w:rsidRPr="003018A0">
        <w:rPr>
          <w:b/>
          <w:sz w:val="24"/>
          <w:szCs w:val="24"/>
        </w:rPr>
        <w:t xml:space="preserve">2. Convocatoria para Asamblea Estatal. </w:t>
      </w:r>
      <w:r w:rsidRPr="003018A0">
        <w:rPr>
          <w:sz w:val="24"/>
          <w:szCs w:val="24"/>
        </w:rPr>
        <w:t xml:space="preserve">El dieciocho de diciembre de dos mil trece, el Comité Directivo Estatal del Partido Acción Nacional en el Estado de Chiapas, expidió y publicó </w:t>
      </w:r>
      <w:r w:rsidRPr="003018A0">
        <w:rPr>
          <w:rStyle w:val="CuerpodeltextoNegrita"/>
          <w:sz w:val="24"/>
          <w:szCs w:val="24"/>
        </w:rPr>
        <w:t xml:space="preserve">la </w:t>
      </w:r>
      <w:r w:rsidRPr="003018A0">
        <w:rPr>
          <w:sz w:val="24"/>
          <w:szCs w:val="24"/>
        </w:rPr>
        <w:t xml:space="preserve">Convocatoria y Lineamientos para la celebración de </w:t>
      </w:r>
      <w:r w:rsidRPr="003018A0">
        <w:rPr>
          <w:rStyle w:val="CuerpodeltextoNegrita"/>
          <w:sz w:val="24"/>
          <w:szCs w:val="24"/>
        </w:rPr>
        <w:t xml:space="preserve">la </w:t>
      </w:r>
      <w:r w:rsidRPr="003018A0">
        <w:rPr>
          <w:sz w:val="24"/>
          <w:szCs w:val="24"/>
        </w:rPr>
        <w:t xml:space="preserve">Asamblea Estatal a celebrarse el dieciséis de febrero de dos mil catorce, a efecto de, entre otras cuestiones, elegir a los seis Consejeros </w:t>
      </w:r>
      <w:r w:rsidRPr="003018A0">
        <w:rPr>
          <w:rStyle w:val="CuerpodeltextoNegrita"/>
          <w:sz w:val="24"/>
          <w:szCs w:val="24"/>
        </w:rPr>
        <w:t>Nacionales que le corresponden a la referida entidad federativa y que serían ratificados por la XXII Asamblea Nacional Ordinaria del mismo partido político.</w:t>
      </w:r>
    </w:p>
    <w:p w14:paraId="0D67D947" w14:textId="77777777" w:rsidR="003625FE" w:rsidRPr="003018A0" w:rsidRDefault="003625FE" w:rsidP="003018A0">
      <w:pPr>
        <w:pStyle w:val="Cuerpodeltexto0"/>
        <w:tabs>
          <w:tab w:val="left" w:pos="0"/>
        </w:tabs>
        <w:spacing w:before="0" w:line="240" w:lineRule="auto"/>
        <w:ind w:firstLine="0"/>
        <w:rPr>
          <w:rStyle w:val="CuerpodeltextoNegrita"/>
          <w:bCs w:val="0"/>
          <w:sz w:val="24"/>
          <w:szCs w:val="24"/>
        </w:rPr>
      </w:pPr>
    </w:p>
    <w:p w14:paraId="64073D80" w14:textId="77777777" w:rsidR="003625FE" w:rsidRPr="003018A0" w:rsidRDefault="003625FE" w:rsidP="003018A0">
      <w:pPr>
        <w:pStyle w:val="Cuerpodeltexto0"/>
        <w:tabs>
          <w:tab w:val="left" w:pos="0"/>
        </w:tabs>
        <w:spacing w:before="0" w:line="240" w:lineRule="auto"/>
        <w:ind w:firstLine="0"/>
        <w:rPr>
          <w:b/>
          <w:sz w:val="24"/>
          <w:szCs w:val="24"/>
        </w:rPr>
      </w:pPr>
      <w:r w:rsidRPr="003018A0">
        <w:rPr>
          <w:rStyle w:val="CuerpodeltextoNegrita"/>
          <w:sz w:val="24"/>
          <w:szCs w:val="24"/>
        </w:rPr>
        <w:t xml:space="preserve">3. Convocatoria Asamblea Municipal. </w:t>
      </w:r>
      <w:r w:rsidRPr="003018A0">
        <w:rPr>
          <w:sz w:val="24"/>
          <w:szCs w:val="24"/>
        </w:rPr>
        <w:t xml:space="preserve">El siguiente diecinueve del mismo mes y año, de manera supletoria, el referido Comité Directivo Estatal, emitió y publicó la Convocatoria y Normas Complementarias para la celebración de la Asamblea Municipal del Partido Acción Nacional que se celebraría el primero de febrero de 2014 en Tonalá, Chiapas, </w:t>
      </w:r>
      <w:r w:rsidRPr="003018A0">
        <w:rPr>
          <w:rStyle w:val="CuerpodeltextoNegrita"/>
          <w:sz w:val="24"/>
          <w:szCs w:val="24"/>
        </w:rPr>
        <w:t>a efecto de, entre otras cuestiones, elegir a los dos Candidatos a Consejeros Nacionales para el período 2014-2016, que participarían en la Asamblea Estatal referida en el numeral que antecede.</w:t>
      </w:r>
    </w:p>
    <w:p w14:paraId="04CF46FF" w14:textId="77777777" w:rsidR="003625FE" w:rsidRPr="003018A0" w:rsidRDefault="003625FE" w:rsidP="003018A0">
      <w:pPr>
        <w:pStyle w:val="Cuerpodeltexto40"/>
        <w:tabs>
          <w:tab w:val="left" w:pos="0"/>
          <w:tab w:val="left" w:pos="279"/>
        </w:tabs>
        <w:spacing w:line="240" w:lineRule="auto"/>
        <w:ind w:firstLine="0"/>
        <w:rPr>
          <w:rStyle w:val="Cuerpodeltexto4Sinnegrita"/>
          <w:sz w:val="24"/>
          <w:szCs w:val="24"/>
        </w:rPr>
      </w:pPr>
    </w:p>
    <w:p w14:paraId="1EE362E8" w14:textId="77777777" w:rsidR="003625FE" w:rsidRPr="003018A0" w:rsidRDefault="003625FE" w:rsidP="003018A0">
      <w:pPr>
        <w:pStyle w:val="Cuerpodeltexto40"/>
        <w:tabs>
          <w:tab w:val="left" w:pos="0"/>
          <w:tab w:val="left" w:pos="279"/>
        </w:tabs>
        <w:spacing w:line="240" w:lineRule="auto"/>
        <w:ind w:firstLine="0"/>
        <w:rPr>
          <w:b w:val="0"/>
          <w:sz w:val="24"/>
          <w:szCs w:val="24"/>
        </w:rPr>
      </w:pPr>
      <w:r w:rsidRPr="003018A0">
        <w:rPr>
          <w:rStyle w:val="Cuerpodeltexto4Sinnegrita"/>
          <w:b/>
          <w:sz w:val="24"/>
          <w:szCs w:val="24"/>
        </w:rPr>
        <w:t>4.</w:t>
      </w:r>
      <w:r w:rsidRPr="003018A0">
        <w:rPr>
          <w:rStyle w:val="Cuerpodeltexto4Sinnegrita"/>
          <w:sz w:val="24"/>
          <w:szCs w:val="24"/>
        </w:rPr>
        <w:t xml:space="preserve"> </w:t>
      </w:r>
      <w:r w:rsidRPr="003018A0">
        <w:rPr>
          <w:rStyle w:val="Cuerpodeltexto4Sinnegrita"/>
          <w:b/>
          <w:sz w:val="24"/>
          <w:szCs w:val="24"/>
        </w:rPr>
        <w:t>Celebración Asamblea Municipal.</w:t>
      </w:r>
      <w:r w:rsidRPr="003018A0">
        <w:rPr>
          <w:rStyle w:val="Cuerpodeltexto4Sinnegrita"/>
          <w:sz w:val="24"/>
          <w:szCs w:val="24"/>
        </w:rPr>
        <w:t xml:space="preserve"> El día primero de febrero de dos mil catorce, se llevó a cabo la Asamblea Municipal del Partido Acción Nacional en Tonalá, Chiapas, y en la cual el ahora actor resultó </w:t>
      </w:r>
      <w:r w:rsidRPr="003018A0">
        <w:rPr>
          <w:b w:val="0"/>
          <w:sz w:val="24"/>
          <w:szCs w:val="24"/>
        </w:rPr>
        <w:t>electo como candidato a Consejero Nacional para participar en la Asamblea Estatal que se celebraría el dieciséis de febrero de dos mil catorce.</w:t>
      </w:r>
    </w:p>
    <w:p w14:paraId="14560F96" w14:textId="77777777" w:rsidR="003625FE" w:rsidRPr="003018A0" w:rsidRDefault="003625FE" w:rsidP="003018A0">
      <w:pPr>
        <w:pStyle w:val="Cuerpodeltexto0"/>
        <w:tabs>
          <w:tab w:val="left" w:pos="0"/>
          <w:tab w:val="left" w:pos="279"/>
        </w:tabs>
        <w:spacing w:before="0" w:line="240" w:lineRule="auto"/>
        <w:ind w:firstLine="0"/>
        <w:rPr>
          <w:sz w:val="24"/>
          <w:szCs w:val="24"/>
        </w:rPr>
      </w:pPr>
    </w:p>
    <w:p w14:paraId="44A0B4E6" w14:textId="77777777" w:rsidR="003625FE" w:rsidRPr="003018A0" w:rsidRDefault="003625FE" w:rsidP="003018A0">
      <w:pPr>
        <w:pStyle w:val="Cuerpodeltexto0"/>
        <w:tabs>
          <w:tab w:val="left" w:pos="0"/>
          <w:tab w:val="left" w:pos="279"/>
        </w:tabs>
        <w:spacing w:before="0" w:line="240" w:lineRule="auto"/>
        <w:ind w:firstLine="0"/>
        <w:rPr>
          <w:sz w:val="24"/>
          <w:szCs w:val="24"/>
        </w:rPr>
      </w:pPr>
      <w:r w:rsidRPr="003018A0">
        <w:rPr>
          <w:b/>
          <w:sz w:val="24"/>
          <w:szCs w:val="24"/>
        </w:rPr>
        <w:t>5.</w:t>
      </w:r>
      <w:r w:rsidRPr="003018A0">
        <w:rPr>
          <w:sz w:val="24"/>
          <w:szCs w:val="24"/>
        </w:rPr>
        <w:t xml:space="preserve"> </w:t>
      </w:r>
      <w:r w:rsidRPr="003018A0">
        <w:rPr>
          <w:b/>
          <w:sz w:val="24"/>
          <w:szCs w:val="24"/>
        </w:rPr>
        <w:t>Celebración Asamblea Estatal.</w:t>
      </w:r>
      <w:r w:rsidRPr="003018A0">
        <w:rPr>
          <w:sz w:val="24"/>
          <w:szCs w:val="24"/>
        </w:rPr>
        <w:t xml:space="preserve"> El dieciséis de febrero del año en curso, se llevó a cabo la Asamblea Estatal del Partido Acción Nacional en el Estado de Chiapas a </w:t>
      </w:r>
      <w:r w:rsidRPr="003018A0">
        <w:rPr>
          <w:sz w:val="24"/>
          <w:szCs w:val="24"/>
        </w:rPr>
        <w:lastRenderedPageBreak/>
        <w:t>efecto de elegir a seis Consejeros Nacionales en la que el actor afirma haber obtenido la votación suficiente para ubicarse en el sexto lugar y por lo tanto desde ese momento obtuvo la calidad de Consejero Nacional electo del Partido Acción Nacional para el periodo 2014-2016</w:t>
      </w:r>
      <w:r w:rsidRPr="003018A0">
        <w:rPr>
          <w:rStyle w:val="Cuerpodeltexto4Sinnegrita"/>
          <w:bCs w:val="0"/>
          <w:sz w:val="24"/>
          <w:szCs w:val="24"/>
        </w:rPr>
        <w:t xml:space="preserve"> </w:t>
      </w:r>
      <w:r w:rsidRPr="003018A0">
        <w:rPr>
          <w:sz w:val="24"/>
          <w:szCs w:val="24"/>
        </w:rPr>
        <w:t>por el Estado de Chiapas.</w:t>
      </w:r>
    </w:p>
    <w:p w14:paraId="6448B95D" w14:textId="77777777" w:rsidR="003625FE" w:rsidRPr="003018A0" w:rsidRDefault="003625FE" w:rsidP="003018A0">
      <w:pPr>
        <w:pStyle w:val="Cuerpodeltexto0"/>
        <w:tabs>
          <w:tab w:val="left" w:pos="0"/>
          <w:tab w:val="left" w:pos="287"/>
        </w:tabs>
        <w:spacing w:before="0" w:line="240" w:lineRule="auto"/>
        <w:ind w:firstLine="0"/>
        <w:rPr>
          <w:sz w:val="24"/>
          <w:szCs w:val="24"/>
        </w:rPr>
      </w:pPr>
    </w:p>
    <w:p w14:paraId="54FC0E82" w14:textId="77777777" w:rsidR="003625FE" w:rsidRPr="003018A0" w:rsidRDefault="003625FE" w:rsidP="003018A0">
      <w:pPr>
        <w:pStyle w:val="Cuerpodeltexto0"/>
        <w:tabs>
          <w:tab w:val="left" w:pos="0"/>
          <w:tab w:val="left" w:pos="287"/>
        </w:tabs>
        <w:spacing w:before="0" w:line="240" w:lineRule="auto"/>
        <w:ind w:firstLine="0"/>
        <w:rPr>
          <w:sz w:val="24"/>
          <w:szCs w:val="24"/>
        </w:rPr>
      </w:pPr>
      <w:r w:rsidRPr="003018A0">
        <w:rPr>
          <w:b/>
          <w:sz w:val="24"/>
          <w:szCs w:val="24"/>
        </w:rPr>
        <w:t>6.</w:t>
      </w:r>
      <w:r w:rsidRPr="003018A0">
        <w:rPr>
          <w:sz w:val="24"/>
          <w:szCs w:val="24"/>
        </w:rPr>
        <w:t xml:space="preserve"> </w:t>
      </w:r>
      <w:r w:rsidRPr="003018A0">
        <w:rPr>
          <w:b/>
          <w:sz w:val="24"/>
          <w:szCs w:val="24"/>
        </w:rPr>
        <w:t>Celebración Asamblea Nacional.</w:t>
      </w:r>
      <w:r w:rsidRPr="003018A0">
        <w:rPr>
          <w:sz w:val="24"/>
          <w:szCs w:val="24"/>
        </w:rPr>
        <w:t xml:space="preserve"> El veintinueve de marzo del año en curso, el actor se presentó en el lugar señalado para la celebración de la XXII Asamblea Nacional Ordinaria del Partido Acción Nacional, siendo informado que no aparecía en la lista de Consejeros Nacionales Electos, por lo que se le negó el registro y no se le permitió hacer uso de la voz para manifestar su inconformidad ante tal situación.</w:t>
      </w:r>
    </w:p>
    <w:p w14:paraId="64C57661" w14:textId="77777777" w:rsidR="003625FE" w:rsidRPr="003018A0" w:rsidRDefault="003625FE" w:rsidP="003018A0">
      <w:pPr>
        <w:pStyle w:val="Prrafodelista"/>
        <w:spacing w:after="0" w:line="240" w:lineRule="auto"/>
        <w:ind w:left="0"/>
        <w:rPr>
          <w:rFonts w:ascii="Arial" w:hAnsi="Arial" w:cs="Arial"/>
          <w:sz w:val="24"/>
          <w:szCs w:val="24"/>
        </w:rPr>
      </w:pPr>
    </w:p>
    <w:p w14:paraId="065B4953" w14:textId="77777777" w:rsidR="003625FE" w:rsidRPr="003018A0" w:rsidRDefault="003625FE" w:rsidP="003018A0">
      <w:pPr>
        <w:pStyle w:val="Cuerpodeltexto0"/>
        <w:tabs>
          <w:tab w:val="left" w:pos="0"/>
          <w:tab w:val="left" w:pos="287"/>
        </w:tabs>
        <w:spacing w:before="0" w:line="240" w:lineRule="auto"/>
        <w:ind w:firstLine="0"/>
        <w:rPr>
          <w:sz w:val="24"/>
          <w:szCs w:val="24"/>
        </w:rPr>
      </w:pPr>
      <w:r w:rsidRPr="003018A0">
        <w:rPr>
          <w:b/>
          <w:sz w:val="24"/>
          <w:szCs w:val="24"/>
        </w:rPr>
        <w:t>7.</w:t>
      </w:r>
      <w:r w:rsidRPr="003018A0">
        <w:rPr>
          <w:sz w:val="24"/>
          <w:szCs w:val="24"/>
        </w:rPr>
        <w:t xml:space="preserve"> </w:t>
      </w:r>
      <w:r w:rsidRPr="003018A0">
        <w:rPr>
          <w:b/>
          <w:sz w:val="24"/>
          <w:szCs w:val="24"/>
        </w:rPr>
        <w:t>Escrito de inconformidad.</w:t>
      </w:r>
      <w:r w:rsidRPr="003018A0">
        <w:rPr>
          <w:sz w:val="24"/>
          <w:szCs w:val="24"/>
        </w:rPr>
        <w:t xml:space="preserve"> Derivado de lo anterior, el actor señala que en la misma fecha y en el mismo lugar, redactó un escrito de inconformidad para dejar constancia de su oposición a que se ratificara la lista de Consejeros Nacionales electos en la que no aparecía su nombre, y lo presentó ante la licenciada Claudia Cano Rodríguez, Directora Jurídica de Asuntos Internos del Comité Ejecutivo Nacional del Partido Acción Nacional.</w:t>
      </w:r>
    </w:p>
    <w:p w14:paraId="77189FB5" w14:textId="77777777" w:rsidR="003625FE" w:rsidRPr="003018A0" w:rsidRDefault="003625FE" w:rsidP="003018A0">
      <w:pPr>
        <w:pStyle w:val="Cuerpodeltexto0"/>
        <w:tabs>
          <w:tab w:val="left" w:pos="0"/>
          <w:tab w:val="left" w:pos="287"/>
        </w:tabs>
        <w:spacing w:before="0" w:line="240" w:lineRule="auto"/>
        <w:ind w:firstLine="0"/>
        <w:rPr>
          <w:sz w:val="24"/>
          <w:szCs w:val="24"/>
        </w:rPr>
      </w:pPr>
    </w:p>
    <w:p w14:paraId="06B3E98E" w14:textId="130B4E02" w:rsidR="003625FE" w:rsidRDefault="003625FE" w:rsidP="003018A0">
      <w:pPr>
        <w:spacing w:after="0" w:line="240" w:lineRule="auto"/>
        <w:jc w:val="both"/>
        <w:rPr>
          <w:rFonts w:ascii="Arial" w:eastAsia="Times New Roman" w:hAnsi="Arial" w:cs="Arial"/>
          <w:bCs/>
          <w:sz w:val="24"/>
          <w:szCs w:val="24"/>
          <w:lang w:eastAsia="es-ES"/>
        </w:rPr>
      </w:pPr>
      <w:r w:rsidRPr="003018A0">
        <w:rPr>
          <w:rFonts w:ascii="Arial" w:eastAsia="Times New Roman" w:hAnsi="Arial" w:cs="Arial"/>
          <w:b/>
          <w:bCs/>
          <w:sz w:val="24"/>
          <w:szCs w:val="24"/>
          <w:lang w:eastAsia="es-ES"/>
        </w:rPr>
        <w:t xml:space="preserve">8. Primer juicio para la protección de los derechos político-electorales del ciudadano. </w:t>
      </w:r>
      <w:r w:rsidRPr="003018A0">
        <w:rPr>
          <w:rFonts w:ascii="Arial" w:eastAsia="Times New Roman" w:hAnsi="Arial" w:cs="Arial"/>
          <w:bCs/>
          <w:sz w:val="24"/>
          <w:szCs w:val="24"/>
          <w:lang w:eastAsia="es-ES"/>
        </w:rPr>
        <w:t>El tres de abril del año en curso, el actor presentó en la Dirección General Jurídica del Partido Acción Nacional escrito por medio del cual promueve juicio para la protección de los derechos político-electorales del ciudadano en contra de la supuesta omisión grave en que incurrieron la Presidenta y el Secretario General del Comité Ejecutivo Nacional del Partido Acción Nacional al no reconocerle su calidad de Consejero Nacional del referido partido político por el Estado de Chiapas para el periodo 2014-2016.</w:t>
      </w:r>
    </w:p>
    <w:p w14:paraId="33BC64E4" w14:textId="77777777" w:rsidR="003018A0" w:rsidRPr="003018A0" w:rsidRDefault="003018A0" w:rsidP="003018A0">
      <w:pPr>
        <w:spacing w:after="0" w:line="240" w:lineRule="auto"/>
        <w:jc w:val="both"/>
        <w:rPr>
          <w:rFonts w:ascii="Arial" w:eastAsia="Times New Roman" w:hAnsi="Arial" w:cs="Arial"/>
          <w:bCs/>
          <w:sz w:val="24"/>
          <w:szCs w:val="24"/>
          <w:lang w:eastAsia="es-ES"/>
        </w:rPr>
      </w:pPr>
    </w:p>
    <w:p w14:paraId="3F13975F" w14:textId="342BB18B" w:rsidR="003625FE" w:rsidRDefault="003625FE" w:rsidP="003018A0">
      <w:pPr>
        <w:spacing w:after="0" w:line="240" w:lineRule="auto"/>
        <w:jc w:val="both"/>
        <w:rPr>
          <w:rFonts w:ascii="Arial" w:eastAsia="Times New Roman" w:hAnsi="Arial" w:cs="Arial"/>
          <w:bCs/>
          <w:sz w:val="24"/>
          <w:szCs w:val="24"/>
          <w:lang w:eastAsia="es-ES"/>
        </w:rPr>
      </w:pPr>
      <w:r w:rsidRPr="003018A0">
        <w:rPr>
          <w:rFonts w:ascii="Arial" w:eastAsia="Times New Roman" w:hAnsi="Arial" w:cs="Arial"/>
          <w:bCs/>
          <w:sz w:val="24"/>
          <w:szCs w:val="24"/>
          <w:lang w:eastAsia="es-ES"/>
        </w:rPr>
        <w:t>El juicio ciudadano quedó radicado bajo el número de expediente SUP-JDC-348/2014.</w:t>
      </w:r>
    </w:p>
    <w:p w14:paraId="0B46FA5D" w14:textId="77777777" w:rsidR="003018A0" w:rsidRPr="003018A0" w:rsidRDefault="003018A0" w:rsidP="003018A0">
      <w:pPr>
        <w:spacing w:after="0" w:line="240" w:lineRule="auto"/>
        <w:jc w:val="both"/>
        <w:rPr>
          <w:rFonts w:ascii="Arial" w:eastAsia="Times New Roman" w:hAnsi="Arial" w:cs="Arial"/>
          <w:bCs/>
          <w:sz w:val="24"/>
          <w:szCs w:val="24"/>
          <w:lang w:eastAsia="es-ES"/>
        </w:rPr>
      </w:pPr>
    </w:p>
    <w:p w14:paraId="6DA2E67C" w14:textId="3CFF8599" w:rsidR="003625FE" w:rsidRDefault="003625FE" w:rsidP="003018A0">
      <w:pPr>
        <w:spacing w:after="0" w:line="240" w:lineRule="auto"/>
        <w:jc w:val="both"/>
        <w:rPr>
          <w:rFonts w:ascii="Arial" w:eastAsia="Times New Roman" w:hAnsi="Arial" w:cs="Arial"/>
          <w:bCs/>
          <w:sz w:val="24"/>
          <w:szCs w:val="24"/>
          <w:lang w:eastAsia="es-ES"/>
        </w:rPr>
      </w:pPr>
      <w:r w:rsidRPr="003018A0">
        <w:rPr>
          <w:rFonts w:ascii="Arial" w:eastAsia="Times New Roman" w:hAnsi="Arial" w:cs="Arial"/>
          <w:b/>
          <w:bCs/>
          <w:sz w:val="24"/>
          <w:szCs w:val="24"/>
          <w:lang w:eastAsia="es-ES"/>
        </w:rPr>
        <w:t xml:space="preserve">9. Providencias dictadas por la </w:t>
      </w:r>
      <w:proofErr w:type="gramStart"/>
      <w:r w:rsidRPr="003018A0">
        <w:rPr>
          <w:rFonts w:ascii="Arial" w:eastAsia="Times New Roman" w:hAnsi="Arial" w:cs="Arial"/>
          <w:b/>
          <w:bCs/>
          <w:sz w:val="24"/>
          <w:szCs w:val="24"/>
          <w:lang w:eastAsia="es-ES"/>
        </w:rPr>
        <w:t>Presidenta</w:t>
      </w:r>
      <w:proofErr w:type="gramEnd"/>
      <w:r w:rsidRPr="003018A0">
        <w:rPr>
          <w:rFonts w:ascii="Arial" w:eastAsia="Times New Roman" w:hAnsi="Arial" w:cs="Arial"/>
          <w:b/>
          <w:bCs/>
          <w:sz w:val="24"/>
          <w:szCs w:val="24"/>
          <w:lang w:eastAsia="es-ES"/>
        </w:rPr>
        <w:t xml:space="preserve"> del Partido Acción Nacional. </w:t>
      </w:r>
      <w:r w:rsidRPr="003018A0">
        <w:rPr>
          <w:rFonts w:ascii="Arial" w:eastAsia="Times New Roman" w:hAnsi="Arial" w:cs="Arial"/>
          <w:bCs/>
          <w:sz w:val="24"/>
          <w:szCs w:val="24"/>
          <w:lang w:eastAsia="es-ES"/>
        </w:rPr>
        <w:t xml:space="preserve">El mismo día tres de abril, la </w:t>
      </w:r>
      <w:proofErr w:type="gramStart"/>
      <w:r w:rsidRPr="003018A0">
        <w:rPr>
          <w:rFonts w:ascii="Arial" w:eastAsia="Times New Roman" w:hAnsi="Arial" w:cs="Arial"/>
          <w:bCs/>
          <w:sz w:val="24"/>
          <w:szCs w:val="24"/>
          <w:lang w:eastAsia="es-ES"/>
        </w:rPr>
        <w:t>Presidenta</w:t>
      </w:r>
      <w:proofErr w:type="gramEnd"/>
      <w:r w:rsidRPr="003018A0">
        <w:rPr>
          <w:rFonts w:ascii="Arial" w:eastAsia="Times New Roman" w:hAnsi="Arial" w:cs="Arial"/>
          <w:bCs/>
          <w:sz w:val="24"/>
          <w:szCs w:val="24"/>
          <w:lang w:eastAsia="es-ES"/>
        </w:rPr>
        <w:t xml:space="preserve"> del Comité Ejecutivo Nacional del Partido Acción Nacional emitió la resolución SG/130/2014, por medio de la cual dictó providencias relacionadas con el escrito de inconformidad presentado por el actor, en las que declaró infundados los agravios y confirmó la ratificación del Consejo Nacional 2014-2016, realizada por la XXII Asamblea Nacional Ordinaria del Partido Acción Nacional.</w:t>
      </w:r>
    </w:p>
    <w:p w14:paraId="31B500D2" w14:textId="77777777" w:rsidR="003018A0" w:rsidRPr="003018A0" w:rsidRDefault="003018A0" w:rsidP="003018A0">
      <w:pPr>
        <w:spacing w:after="0" w:line="240" w:lineRule="auto"/>
        <w:jc w:val="both"/>
        <w:rPr>
          <w:rFonts w:ascii="Arial" w:eastAsia="Times New Roman" w:hAnsi="Arial" w:cs="Arial"/>
          <w:bCs/>
          <w:sz w:val="24"/>
          <w:szCs w:val="24"/>
          <w:lang w:eastAsia="es-ES"/>
        </w:rPr>
      </w:pPr>
    </w:p>
    <w:p w14:paraId="1D710E1F" w14:textId="07ED41A6" w:rsidR="003625FE" w:rsidRDefault="003625FE" w:rsidP="003018A0">
      <w:pPr>
        <w:spacing w:after="0" w:line="240" w:lineRule="auto"/>
        <w:jc w:val="both"/>
        <w:rPr>
          <w:rFonts w:ascii="Arial" w:eastAsia="Times New Roman" w:hAnsi="Arial" w:cs="Arial"/>
          <w:bCs/>
          <w:sz w:val="24"/>
          <w:szCs w:val="24"/>
          <w:lang w:eastAsia="es-ES"/>
        </w:rPr>
      </w:pPr>
      <w:r w:rsidRPr="003018A0">
        <w:rPr>
          <w:rFonts w:ascii="Arial" w:eastAsia="Times New Roman" w:hAnsi="Arial" w:cs="Arial"/>
          <w:bCs/>
          <w:sz w:val="24"/>
          <w:szCs w:val="24"/>
          <w:lang w:eastAsia="es-ES"/>
        </w:rPr>
        <w:t>En sesión ordinaria celebrada el siete de abril del año en curso, el Comité Ejecutivo Nacional emitió el acuerdo CEN/SG/025/2014, en el cual, entre otras cuestiones ratifica la resolución SG/130/2014.</w:t>
      </w:r>
    </w:p>
    <w:p w14:paraId="33FC2A1D" w14:textId="77777777" w:rsidR="003018A0" w:rsidRPr="003018A0" w:rsidRDefault="003018A0" w:rsidP="003018A0">
      <w:pPr>
        <w:spacing w:after="0" w:line="240" w:lineRule="auto"/>
        <w:jc w:val="both"/>
        <w:rPr>
          <w:rFonts w:ascii="Arial" w:eastAsia="Times New Roman" w:hAnsi="Arial" w:cs="Arial"/>
          <w:bCs/>
          <w:sz w:val="24"/>
          <w:szCs w:val="24"/>
          <w:lang w:eastAsia="es-ES"/>
        </w:rPr>
      </w:pPr>
    </w:p>
    <w:p w14:paraId="15378478" w14:textId="6BE865D6" w:rsidR="003625FE" w:rsidRDefault="003625FE" w:rsidP="003018A0">
      <w:pPr>
        <w:spacing w:after="0" w:line="240" w:lineRule="auto"/>
        <w:jc w:val="both"/>
        <w:rPr>
          <w:rFonts w:ascii="Arial" w:eastAsia="Times New Roman" w:hAnsi="Arial" w:cs="Arial"/>
          <w:bCs/>
          <w:sz w:val="24"/>
          <w:szCs w:val="24"/>
          <w:lang w:eastAsia="es-ES"/>
        </w:rPr>
      </w:pPr>
      <w:r w:rsidRPr="003018A0">
        <w:rPr>
          <w:rFonts w:ascii="Arial" w:eastAsia="Times New Roman" w:hAnsi="Arial" w:cs="Arial"/>
          <w:b/>
          <w:bCs/>
          <w:sz w:val="24"/>
          <w:szCs w:val="24"/>
          <w:lang w:eastAsia="es-ES"/>
        </w:rPr>
        <w:t xml:space="preserve">10. Resolución del juicio para la protección de los derechos político-electorales del ciudadano SUP-JDC-348/2014. </w:t>
      </w:r>
      <w:r w:rsidRPr="003018A0">
        <w:rPr>
          <w:rFonts w:ascii="Arial" w:eastAsia="Times New Roman" w:hAnsi="Arial" w:cs="Arial"/>
          <w:bCs/>
          <w:sz w:val="24"/>
          <w:szCs w:val="24"/>
          <w:lang w:eastAsia="es-ES"/>
        </w:rPr>
        <w:t>Mediante ejecutoria dictada el veintitrés de abril del año en curso, esta Sala Superior resolvió el expediente SUP-</w:t>
      </w:r>
      <w:r w:rsidRPr="003018A0">
        <w:rPr>
          <w:rFonts w:ascii="Arial" w:eastAsia="Times New Roman" w:hAnsi="Arial" w:cs="Arial"/>
          <w:bCs/>
          <w:sz w:val="24"/>
          <w:szCs w:val="24"/>
          <w:lang w:eastAsia="es-ES"/>
        </w:rPr>
        <w:lastRenderedPageBreak/>
        <w:t>JDC-348/2014, desechando de plano la demanda, al considerar que la misma había quedado sin materia.</w:t>
      </w:r>
    </w:p>
    <w:p w14:paraId="4D97B1A3" w14:textId="77777777" w:rsidR="003018A0" w:rsidRPr="003018A0" w:rsidRDefault="003018A0" w:rsidP="003018A0">
      <w:pPr>
        <w:spacing w:after="0" w:line="240" w:lineRule="auto"/>
        <w:jc w:val="both"/>
        <w:rPr>
          <w:rFonts w:ascii="Arial" w:eastAsia="Times New Roman" w:hAnsi="Arial" w:cs="Arial"/>
          <w:bCs/>
          <w:sz w:val="24"/>
          <w:szCs w:val="24"/>
          <w:lang w:eastAsia="es-ES"/>
        </w:rPr>
      </w:pPr>
    </w:p>
    <w:p w14:paraId="0DE1B4D5" w14:textId="4F868D76" w:rsidR="003625FE" w:rsidRDefault="003625FE" w:rsidP="003018A0">
      <w:pPr>
        <w:spacing w:after="0" w:line="240" w:lineRule="auto"/>
        <w:jc w:val="both"/>
        <w:rPr>
          <w:rFonts w:ascii="Arial" w:eastAsia="Times New Roman" w:hAnsi="Arial" w:cs="Arial"/>
          <w:b/>
          <w:bCs/>
          <w:sz w:val="24"/>
          <w:szCs w:val="24"/>
          <w:lang w:eastAsia="es-ES"/>
        </w:rPr>
      </w:pPr>
      <w:r w:rsidRPr="003018A0">
        <w:rPr>
          <w:rFonts w:ascii="Arial" w:eastAsia="Times New Roman" w:hAnsi="Arial" w:cs="Arial"/>
          <w:b/>
          <w:bCs/>
          <w:sz w:val="24"/>
          <w:szCs w:val="24"/>
          <w:lang w:eastAsia="es-ES"/>
        </w:rPr>
        <w:t>II. Juicio para la protección de los derechos político-electorales del ciudadano.</w:t>
      </w:r>
    </w:p>
    <w:p w14:paraId="77EDBA23" w14:textId="77777777" w:rsidR="003018A0" w:rsidRPr="003018A0" w:rsidRDefault="003018A0" w:rsidP="003018A0">
      <w:pPr>
        <w:spacing w:after="0" w:line="240" w:lineRule="auto"/>
        <w:jc w:val="both"/>
        <w:rPr>
          <w:rFonts w:ascii="Arial" w:eastAsia="Times New Roman" w:hAnsi="Arial" w:cs="Arial"/>
          <w:b/>
          <w:bCs/>
          <w:sz w:val="24"/>
          <w:szCs w:val="24"/>
          <w:lang w:eastAsia="es-ES"/>
        </w:rPr>
      </w:pPr>
    </w:p>
    <w:p w14:paraId="26E2FC90" w14:textId="760ABB7C" w:rsidR="003625FE" w:rsidRDefault="003625FE" w:rsidP="003018A0">
      <w:pPr>
        <w:spacing w:after="0" w:line="240" w:lineRule="auto"/>
        <w:jc w:val="both"/>
        <w:rPr>
          <w:rFonts w:ascii="Arial" w:eastAsia="Times New Roman" w:hAnsi="Arial" w:cs="Arial"/>
          <w:bCs/>
          <w:sz w:val="24"/>
          <w:szCs w:val="24"/>
          <w:lang w:eastAsia="es-ES"/>
        </w:rPr>
      </w:pPr>
      <w:r w:rsidRPr="003018A0">
        <w:rPr>
          <w:rFonts w:ascii="Arial" w:eastAsia="Times New Roman" w:hAnsi="Arial" w:cs="Arial"/>
          <w:b/>
          <w:bCs/>
          <w:sz w:val="24"/>
          <w:szCs w:val="24"/>
          <w:lang w:eastAsia="es-ES"/>
        </w:rPr>
        <w:t xml:space="preserve">1. Presentación. </w:t>
      </w:r>
      <w:r w:rsidRPr="003018A0">
        <w:rPr>
          <w:rFonts w:ascii="Arial" w:eastAsia="Times New Roman" w:hAnsi="Arial" w:cs="Arial"/>
          <w:bCs/>
          <w:sz w:val="24"/>
          <w:szCs w:val="24"/>
          <w:lang w:eastAsia="es-ES"/>
        </w:rPr>
        <w:t>El once de abril del año en curso, el actor presentó en la Dirección General Jurídica del Partido Acción Nacional escrito por medio del cual promueve juicio para la protección de los derechos político-electorales del ciudadano en contra de las providencias dictadas por la Presidenta del Comité Ejecutivo Nacional del Partido Acción Nacional contenidas en el oficio SG/130/2014 de fecha tres de abril del dos mil catorce, así como en contra de la ratificación de dichas providencias efectuada por el propio Comité Ejecutivo Nacional partidista por medio del acuerdo CEN/SG/025/2014 de fecha siete de abril del mismo año.</w:t>
      </w:r>
    </w:p>
    <w:p w14:paraId="14C77E1C" w14:textId="77777777" w:rsidR="003018A0" w:rsidRPr="003018A0" w:rsidRDefault="003018A0" w:rsidP="003018A0">
      <w:pPr>
        <w:spacing w:after="0" w:line="240" w:lineRule="auto"/>
        <w:jc w:val="both"/>
        <w:rPr>
          <w:rFonts w:ascii="Arial" w:eastAsia="Times New Roman" w:hAnsi="Arial" w:cs="Arial"/>
          <w:bCs/>
          <w:sz w:val="24"/>
          <w:szCs w:val="24"/>
          <w:lang w:eastAsia="es-ES"/>
        </w:rPr>
      </w:pPr>
    </w:p>
    <w:p w14:paraId="6CFFE817" w14:textId="77777777" w:rsidR="003625FE" w:rsidRPr="003018A0" w:rsidRDefault="003625FE" w:rsidP="003018A0">
      <w:pPr>
        <w:spacing w:after="0" w:line="240" w:lineRule="auto"/>
        <w:jc w:val="both"/>
        <w:rPr>
          <w:rFonts w:ascii="Arial" w:eastAsia="Times New Roman" w:hAnsi="Arial" w:cs="Arial"/>
          <w:bCs/>
          <w:sz w:val="24"/>
          <w:szCs w:val="24"/>
          <w:lang w:eastAsia="es-ES"/>
        </w:rPr>
      </w:pPr>
      <w:r w:rsidRPr="003018A0">
        <w:rPr>
          <w:rFonts w:ascii="Arial" w:eastAsia="Times New Roman" w:hAnsi="Arial" w:cs="Arial"/>
          <w:b/>
          <w:bCs/>
          <w:sz w:val="24"/>
          <w:szCs w:val="24"/>
          <w:lang w:eastAsia="es-ES"/>
        </w:rPr>
        <w:t xml:space="preserve">2. Registro y turno del expediente. </w:t>
      </w:r>
      <w:r w:rsidRPr="003018A0">
        <w:rPr>
          <w:rFonts w:ascii="Arial" w:eastAsia="Times New Roman" w:hAnsi="Arial" w:cs="Arial"/>
          <w:bCs/>
          <w:sz w:val="24"/>
          <w:szCs w:val="24"/>
          <w:lang w:eastAsia="es-ES"/>
        </w:rPr>
        <w:t xml:space="preserve">Por Acuerdo del Magistrado Presidente del dieciséis de abril de dos mil catorce, dicho medio de impugnación quedó registrado bajo la clave </w:t>
      </w:r>
      <w:r w:rsidRPr="003018A0">
        <w:rPr>
          <w:rFonts w:ascii="Arial" w:eastAsia="Times New Roman" w:hAnsi="Arial" w:cs="Arial"/>
          <w:b/>
          <w:bCs/>
          <w:sz w:val="24"/>
          <w:szCs w:val="24"/>
          <w:lang w:eastAsia="es-ES"/>
        </w:rPr>
        <w:t>SUP-JDC-380/2014</w:t>
      </w:r>
      <w:r w:rsidRPr="003018A0">
        <w:rPr>
          <w:rFonts w:ascii="Arial" w:eastAsia="Times New Roman" w:hAnsi="Arial" w:cs="Arial"/>
          <w:bCs/>
          <w:sz w:val="24"/>
          <w:szCs w:val="24"/>
          <w:lang w:eastAsia="es-ES"/>
        </w:rPr>
        <w:t xml:space="preserve"> y se ordenó su turno a la ponencia de la Magistrada María del Carmen </w:t>
      </w:r>
      <w:proofErr w:type="spellStart"/>
      <w:r w:rsidRPr="003018A0">
        <w:rPr>
          <w:rFonts w:ascii="Arial" w:eastAsia="Times New Roman" w:hAnsi="Arial" w:cs="Arial"/>
          <w:bCs/>
          <w:sz w:val="24"/>
          <w:szCs w:val="24"/>
          <w:lang w:eastAsia="es-ES"/>
        </w:rPr>
        <w:t>Alanis</w:t>
      </w:r>
      <w:proofErr w:type="spellEnd"/>
      <w:r w:rsidRPr="003018A0">
        <w:rPr>
          <w:rFonts w:ascii="Arial" w:eastAsia="Times New Roman" w:hAnsi="Arial" w:cs="Arial"/>
          <w:bCs/>
          <w:sz w:val="24"/>
          <w:szCs w:val="24"/>
          <w:lang w:eastAsia="es-ES"/>
        </w:rPr>
        <w:t xml:space="preserve"> Figueroa, para efectos de su sustanciación y la elaboración del proyecto de resolución procedente. Dicho Acuerdo fue cumplimentado mediante el oficio TEPJF-SGA-1819/14 de esa misma fecha, suscrito por el Secretario General de Acuerdos de esta propia Sala Superior.</w:t>
      </w:r>
    </w:p>
    <w:p w14:paraId="3077BB02" w14:textId="77777777" w:rsidR="003625FE" w:rsidRPr="003018A0" w:rsidRDefault="003625FE" w:rsidP="003018A0">
      <w:pPr>
        <w:spacing w:after="0" w:line="240" w:lineRule="auto"/>
        <w:jc w:val="both"/>
        <w:rPr>
          <w:rFonts w:ascii="Arial" w:eastAsia="Times New Roman" w:hAnsi="Arial" w:cs="Arial"/>
          <w:bCs/>
          <w:sz w:val="24"/>
          <w:szCs w:val="24"/>
          <w:lang w:eastAsia="es-ES"/>
        </w:rPr>
      </w:pPr>
    </w:p>
    <w:p w14:paraId="7C4E10EB" w14:textId="77777777" w:rsidR="003625FE" w:rsidRPr="003018A0" w:rsidRDefault="003625FE" w:rsidP="003018A0">
      <w:pPr>
        <w:spacing w:after="0" w:line="240" w:lineRule="auto"/>
        <w:ind w:right="51"/>
        <w:jc w:val="both"/>
        <w:rPr>
          <w:rFonts w:ascii="Arial" w:hAnsi="Arial" w:cs="Arial"/>
          <w:sz w:val="24"/>
          <w:szCs w:val="24"/>
        </w:rPr>
      </w:pPr>
      <w:r w:rsidRPr="003018A0">
        <w:rPr>
          <w:rFonts w:ascii="Arial" w:eastAsia="Times New Roman" w:hAnsi="Arial" w:cs="Arial"/>
          <w:b/>
          <w:bCs/>
          <w:sz w:val="24"/>
          <w:szCs w:val="24"/>
          <w:lang w:eastAsia="es-ES"/>
        </w:rPr>
        <w:t>3.</w:t>
      </w:r>
      <w:r w:rsidRPr="003018A0">
        <w:rPr>
          <w:rFonts w:ascii="Arial" w:hAnsi="Arial" w:cs="Arial"/>
          <w:b/>
          <w:sz w:val="24"/>
          <w:szCs w:val="24"/>
        </w:rPr>
        <w:t xml:space="preserve"> Admisión y cierre de instrucción.</w:t>
      </w:r>
      <w:r w:rsidRPr="003018A0">
        <w:rPr>
          <w:rFonts w:ascii="Arial" w:hAnsi="Arial" w:cs="Arial"/>
          <w:b/>
          <w:i/>
          <w:sz w:val="24"/>
          <w:szCs w:val="24"/>
        </w:rPr>
        <w:t xml:space="preserve"> </w:t>
      </w:r>
      <w:r w:rsidRPr="003018A0">
        <w:rPr>
          <w:rFonts w:ascii="Arial" w:hAnsi="Arial" w:cs="Arial"/>
          <w:sz w:val="24"/>
          <w:szCs w:val="24"/>
        </w:rPr>
        <w:t>En su oportunidad, la Magistrada Instructora acordó admitir el medio de impugnación de mérito, y al considerar debidamente sustanciado el expediente, y no existir diligencia o requerimiento por realizar, declaró cerrada la instrucción.</w:t>
      </w:r>
    </w:p>
    <w:p w14:paraId="59EBF55D" w14:textId="77777777" w:rsidR="003625FE" w:rsidRPr="003018A0" w:rsidRDefault="003625FE" w:rsidP="003018A0">
      <w:pPr>
        <w:spacing w:after="0" w:line="240" w:lineRule="auto"/>
        <w:jc w:val="both"/>
        <w:rPr>
          <w:rFonts w:ascii="Arial" w:eastAsia="Times New Roman" w:hAnsi="Arial" w:cs="Arial"/>
          <w:bCs/>
          <w:sz w:val="24"/>
          <w:szCs w:val="24"/>
          <w:lang w:eastAsia="es-ES"/>
        </w:rPr>
      </w:pPr>
    </w:p>
    <w:p w14:paraId="4C30E380" w14:textId="77777777" w:rsidR="003625FE" w:rsidRPr="003018A0" w:rsidRDefault="003625FE" w:rsidP="003018A0">
      <w:pPr>
        <w:spacing w:after="0" w:line="240" w:lineRule="auto"/>
        <w:jc w:val="center"/>
        <w:rPr>
          <w:rFonts w:ascii="Arial" w:eastAsia="Arial Unicode MS" w:hAnsi="Arial" w:cs="Arial"/>
          <w:b/>
          <w:bCs/>
          <w:sz w:val="24"/>
          <w:szCs w:val="24"/>
          <w:lang w:eastAsia="es-MX"/>
        </w:rPr>
      </w:pPr>
    </w:p>
    <w:p w14:paraId="0A9482DD" w14:textId="77777777" w:rsidR="003625FE" w:rsidRPr="003018A0" w:rsidRDefault="003625FE" w:rsidP="003018A0">
      <w:pPr>
        <w:spacing w:after="0" w:line="240" w:lineRule="auto"/>
        <w:jc w:val="center"/>
        <w:rPr>
          <w:rFonts w:ascii="Arial" w:eastAsia="Arial Unicode MS" w:hAnsi="Arial" w:cs="Arial"/>
          <w:b/>
          <w:bCs/>
          <w:sz w:val="24"/>
          <w:szCs w:val="24"/>
          <w:lang w:eastAsia="es-MX"/>
        </w:rPr>
      </w:pPr>
    </w:p>
    <w:p w14:paraId="7E6D1832" w14:textId="77777777" w:rsidR="003625FE" w:rsidRPr="003018A0" w:rsidRDefault="003625FE" w:rsidP="003018A0">
      <w:pPr>
        <w:spacing w:after="0" w:line="240" w:lineRule="auto"/>
        <w:jc w:val="center"/>
        <w:rPr>
          <w:rFonts w:ascii="Arial" w:eastAsia="Arial Unicode MS" w:hAnsi="Arial" w:cs="Arial"/>
          <w:b/>
          <w:bCs/>
          <w:sz w:val="24"/>
          <w:szCs w:val="24"/>
          <w:lang w:eastAsia="es-MX"/>
        </w:rPr>
      </w:pPr>
      <w:r w:rsidRPr="003018A0">
        <w:rPr>
          <w:rFonts w:ascii="Arial" w:eastAsia="Arial Unicode MS" w:hAnsi="Arial" w:cs="Arial"/>
          <w:b/>
          <w:bCs/>
          <w:sz w:val="24"/>
          <w:szCs w:val="24"/>
          <w:lang w:eastAsia="es-MX"/>
        </w:rPr>
        <w:t>C O N S I D E R A N D O</w:t>
      </w:r>
    </w:p>
    <w:p w14:paraId="3A46340B" w14:textId="77777777" w:rsidR="003625FE" w:rsidRPr="003018A0" w:rsidRDefault="003625FE" w:rsidP="003018A0">
      <w:pPr>
        <w:spacing w:after="0" w:line="240" w:lineRule="auto"/>
        <w:jc w:val="both"/>
        <w:rPr>
          <w:rFonts w:ascii="Arial" w:eastAsia="Times New Roman" w:hAnsi="Arial" w:cs="Arial"/>
          <w:b/>
          <w:bCs/>
          <w:sz w:val="24"/>
          <w:szCs w:val="24"/>
          <w:lang w:eastAsia="es-MX"/>
        </w:rPr>
      </w:pPr>
    </w:p>
    <w:p w14:paraId="324769D5" w14:textId="77777777" w:rsidR="003625FE" w:rsidRPr="003018A0" w:rsidRDefault="003625FE" w:rsidP="003018A0">
      <w:pPr>
        <w:spacing w:after="0" w:line="240" w:lineRule="auto"/>
        <w:jc w:val="both"/>
        <w:rPr>
          <w:rFonts w:ascii="Arial" w:eastAsia="Times New Roman" w:hAnsi="Arial" w:cs="Arial"/>
          <w:sz w:val="24"/>
          <w:szCs w:val="24"/>
          <w:lang w:eastAsia="es-MX"/>
        </w:rPr>
      </w:pPr>
      <w:r w:rsidRPr="003018A0">
        <w:rPr>
          <w:rFonts w:ascii="Arial" w:eastAsia="Times New Roman" w:hAnsi="Arial" w:cs="Arial"/>
          <w:b/>
          <w:bCs/>
          <w:sz w:val="24"/>
          <w:szCs w:val="24"/>
          <w:lang w:eastAsia="es-MX"/>
        </w:rPr>
        <w:t xml:space="preserve">PRIMERO. Jurisdicción y Competencia. </w:t>
      </w:r>
      <w:r w:rsidRPr="003018A0">
        <w:rPr>
          <w:rFonts w:ascii="Arial" w:eastAsia="Times New Roman" w:hAnsi="Arial" w:cs="Arial"/>
          <w:sz w:val="24"/>
          <w:szCs w:val="24"/>
          <w:lang w:eastAsia="es-MX"/>
        </w:rPr>
        <w:t>El Tribunal Electoral del Poder Judicial de la Federación ejerce jurisdicción y esta Sala Superior es competente para conocer y resolver el presente asunto, con fundamento en lo dispuesto en los artículos 41, base VI, párrafos primero y 99, párrafo cuarto, fracción V, de la Constitución Política de los Estados Unidos Mexicanos; 186, fracción III, inciso c) y 189, fracción I, inciso e); así como 79, párrafo 1, y 83, párrafo 1, inciso a), fracción III, de la Ley General del Sistema de medios de Impugnación en Materia Electoral, al tratarse de un juicio para la protección de los derechos político-electorales del ciudadano, por medio del cual su accionante plantea distintas violaciones a su derecho de afiliación, relacionadas con su derecho a integrar el Consejo Nacional del Partido Acción Nacional.</w:t>
      </w:r>
    </w:p>
    <w:p w14:paraId="78B3D011" w14:textId="77777777" w:rsidR="003625FE" w:rsidRPr="003018A0" w:rsidRDefault="003625FE" w:rsidP="003018A0">
      <w:pPr>
        <w:spacing w:after="0" w:line="240" w:lineRule="auto"/>
        <w:ind w:right="51"/>
        <w:jc w:val="both"/>
        <w:rPr>
          <w:rFonts w:ascii="Arial" w:hAnsi="Arial" w:cs="Arial"/>
          <w:b/>
          <w:sz w:val="24"/>
          <w:szCs w:val="24"/>
        </w:rPr>
      </w:pPr>
    </w:p>
    <w:p w14:paraId="25420527" w14:textId="77777777" w:rsidR="003625FE" w:rsidRPr="003018A0" w:rsidRDefault="003625FE" w:rsidP="003018A0">
      <w:pPr>
        <w:spacing w:after="0" w:line="240" w:lineRule="auto"/>
        <w:ind w:right="51"/>
        <w:jc w:val="both"/>
        <w:rPr>
          <w:rFonts w:ascii="Arial" w:hAnsi="Arial" w:cs="Arial"/>
          <w:sz w:val="24"/>
          <w:szCs w:val="24"/>
        </w:rPr>
      </w:pPr>
      <w:r w:rsidRPr="003018A0">
        <w:rPr>
          <w:rFonts w:ascii="Arial" w:hAnsi="Arial" w:cs="Arial"/>
          <w:b/>
          <w:sz w:val="24"/>
          <w:szCs w:val="24"/>
        </w:rPr>
        <w:t xml:space="preserve">SEGUNDO. </w:t>
      </w:r>
      <w:r w:rsidRPr="003018A0">
        <w:rPr>
          <w:rFonts w:ascii="Arial" w:hAnsi="Arial" w:cs="Arial"/>
          <w:b/>
          <w:bCs/>
          <w:iCs/>
          <w:sz w:val="24"/>
          <w:szCs w:val="24"/>
        </w:rPr>
        <w:t xml:space="preserve">Procedencia. </w:t>
      </w:r>
      <w:r w:rsidRPr="003018A0">
        <w:rPr>
          <w:rFonts w:ascii="Arial" w:hAnsi="Arial" w:cs="Arial"/>
          <w:sz w:val="24"/>
          <w:szCs w:val="24"/>
        </w:rPr>
        <w:t xml:space="preserve">El medio de impugnación que se examina reúne los requisitos previstos en los artículos 7, párrafo 1; 8, párrafo 1; 9, párrafo 1; 79 y 80, párrafo 1, inciso f), de la Ley General del Sistema de Medios de Impugnación en Materia Electoral, de acuerdo con lo siguiente: </w:t>
      </w:r>
    </w:p>
    <w:p w14:paraId="70CC6F13" w14:textId="77777777" w:rsidR="003625FE" w:rsidRPr="003018A0" w:rsidRDefault="003625FE" w:rsidP="003018A0">
      <w:pPr>
        <w:spacing w:after="0" w:line="240" w:lineRule="auto"/>
        <w:jc w:val="both"/>
        <w:rPr>
          <w:rFonts w:ascii="Arial" w:hAnsi="Arial" w:cs="Arial"/>
          <w:sz w:val="24"/>
          <w:szCs w:val="24"/>
        </w:rPr>
      </w:pPr>
    </w:p>
    <w:p w14:paraId="6DCE17CC" w14:textId="77777777" w:rsidR="003625FE" w:rsidRPr="003018A0" w:rsidRDefault="003625FE" w:rsidP="003018A0">
      <w:pPr>
        <w:spacing w:after="0" w:line="240" w:lineRule="auto"/>
        <w:jc w:val="both"/>
        <w:rPr>
          <w:rFonts w:ascii="Arial" w:hAnsi="Arial" w:cs="Arial"/>
          <w:sz w:val="24"/>
          <w:szCs w:val="24"/>
        </w:rPr>
      </w:pPr>
      <w:r w:rsidRPr="003018A0">
        <w:rPr>
          <w:rFonts w:ascii="Arial" w:hAnsi="Arial" w:cs="Arial"/>
          <w:b/>
          <w:sz w:val="24"/>
          <w:szCs w:val="24"/>
        </w:rPr>
        <w:t>a) Forma.</w:t>
      </w:r>
      <w:r w:rsidRPr="003018A0">
        <w:rPr>
          <w:rFonts w:ascii="Arial" w:hAnsi="Arial" w:cs="Arial"/>
          <w:sz w:val="24"/>
          <w:szCs w:val="24"/>
        </w:rPr>
        <w:t xml:space="preserve"> La demanda se presentó por escrito ante la Dirección General Jurídica del Partido Acción Nacional; y en ella se hace constar el nombre del actor y su domicilio para oír y recibir notificaciones, se identifica el acto impugnado y los órganos partidistas responsables; se mencionan los hechos en que se basa la impugnación, los agravios que al actor le causan los actos impugnados y los preceptos presuntamente violados; se ofrecen pruebas y se hace consta el nombre así como la firma autógrafa del promovente.</w:t>
      </w:r>
    </w:p>
    <w:p w14:paraId="1673DC88" w14:textId="77777777" w:rsidR="003625FE" w:rsidRPr="003018A0" w:rsidRDefault="003625FE" w:rsidP="003018A0">
      <w:pPr>
        <w:spacing w:after="0" w:line="240" w:lineRule="auto"/>
        <w:jc w:val="both"/>
        <w:rPr>
          <w:rFonts w:ascii="Arial" w:hAnsi="Arial" w:cs="Arial"/>
          <w:b/>
          <w:sz w:val="24"/>
          <w:szCs w:val="24"/>
        </w:rPr>
      </w:pPr>
    </w:p>
    <w:p w14:paraId="75E004C6" w14:textId="77777777" w:rsidR="003625FE" w:rsidRPr="003018A0" w:rsidRDefault="003625FE" w:rsidP="003018A0">
      <w:pPr>
        <w:spacing w:after="0" w:line="240" w:lineRule="auto"/>
        <w:jc w:val="both"/>
        <w:rPr>
          <w:rFonts w:ascii="Arial" w:hAnsi="Arial" w:cs="Arial"/>
          <w:sz w:val="24"/>
          <w:szCs w:val="24"/>
        </w:rPr>
      </w:pPr>
      <w:r w:rsidRPr="003018A0">
        <w:rPr>
          <w:rFonts w:ascii="Arial" w:hAnsi="Arial" w:cs="Arial"/>
          <w:b/>
          <w:sz w:val="24"/>
          <w:szCs w:val="24"/>
        </w:rPr>
        <w:t xml:space="preserve">b) Oportunidad. </w:t>
      </w:r>
      <w:r w:rsidRPr="003018A0">
        <w:rPr>
          <w:rFonts w:ascii="Arial" w:hAnsi="Arial" w:cs="Arial"/>
          <w:sz w:val="24"/>
          <w:szCs w:val="24"/>
        </w:rPr>
        <w:t>El escrito de demanda fue presentado oportunamente, puesto que de las constancias que obran en autos se advierte que las resoluciones impugnadas fueron notificadas a José Francisco Hernández Gordillo, los días siete y ocho de abril de dos mil catorce respectivamente; en tanto que el medio de impugnación se presentó el once del mismo mes y año , ante la Dirección General Jurídica del Partido Acción Nacional, como se corrobora con el acuse de recibo que conste en la parte superior izquierda del escrito de demanda, y corre agregado al expediente principal. Por ende, se estima que el escrito impugnativo se presentó dentro del plazo legal de los cuatro días siguientes al día de la notificación.</w:t>
      </w:r>
    </w:p>
    <w:p w14:paraId="2E24290D" w14:textId="77777777" w:rsidR="003625FE" w:rsidRPr="003018A0" w:rsidRDefault="003625FE" w:rsidP="003018A0">
      <w:pPr>
        <w:spacing w:after="0" w:line="240" w:lineRule="auto"/>
        <w:jc w:val="both"/>
        <w:rPr>
          <w:rFonts w:ascii="Arial" w:hAnsi="Arial" w:cs="Arial"/>
          <w:sz w:val="24"/>
          <w:szCs w:val="24"/>
        </w:rPr>
      </w:pPr>
    </w:p>
    <w:p w14:paraId="3C479AC9" w14:textId="77777777" w:rsidR="003625FE" w:rsidRPr="003018A0" w:rsidRDefault="003625FE" w:rsidP="003018A0">
      <w:pPr>
        <w:spacing w:after="0" w:line="240" w:lineRule="auto"/>
        <w:jc w:val="both"/>
        <w:rPr>
          <w:rFonts w:ascii="Arial" w:hAnsi="Arial" w:cs="Arial"/>
          <w:bCs/>
          <w:sz w:val="24"/>
          <w:szCs w:val="24"/>
        </w:rPr>
      </w:pPr>
      <w:r w:rsidRPr="003018A0">
        <w:rPr>
          <w:rFonts w:ascii="Arial" w:hAnsi="Arial" w:cs="Arial"/>
          <w:b/>
          <w:sz w:val="24"/>
          <w:szCs w:val="24"/>
        </w:rPr>
        <w:t>c) Legitimación e interés jurídico</w:t>
      </w:r>
      <w:r w:rsidRPr="003018A0">
        <w:rPr>
          <w:rFonts w:ascii="Arial" w:hAnsi="Arial" w:cs="Arial"/>
          <w:sz w:val="24"/>
          <w:szCs w:val="24"/>
        </w:rPr>
        <w:t xml:space="preserve">. </w:t>
      </w:r>
      <w:r w:rsidRPr="003018A0">
        <w:rPr>
          <w:rFonts w:ascii="Arial" w:hAnsi="Arial" w:cs="Arial"/>
          <w:bCs/>
          <w:sz w:val="24"/>
          <w:szCs w:val="24"/>
        </w:rPr>
        <w:t>Estos requisitos se encuentran satisfechos, ya que en términos de lo dispuesto en el artículo 79, párrafo 1, de la Ley General del Sistema de Medios de Impugnación en Materia Electoral, la demanda del juicio para la protección de los derechos político-electorales del ciudadano se presentó directamente por José Francisco Hernández Gordillo, quien comparece por su propio derecho, en su calidad de Consejero Nacional del Partido Acción Nacional; y por otra parte, porque dicho ciudadano cuenta con interés jurídico para comparecer en esta instancia, toda vez que es la persona que presentó el escrito de inconformidad respecto del que se dictaron las providencias que dieron origen a la resolución materia de controversia.</w:t>
      </w:r>
    </w:p>
    <w:p w14:paraId="2209DA4D" w14:textId="77777777" w:rsidR="003625FE" w:rsidRPr="003018A0" w:rsidRDefault="003625FE" w:rsidP="003018A0">
      <w:pPr>
        <w:spacing w:after="0" w:line="240" w:lineRule="auto"/>
        <w:jc w:val="both"/>
        <w:rPr>
          <w:rFonts w:ascii="Arial" w:hAnsi="Arial" w:cs="Arial"/>
          <w:bCs/>
          <w:sz w:val="24"/>
          <w:szCs w:val="24"/>
        </w:rPr>
      </w:pPr>
    </w:p>
    <w:p w14:paraId="6F08882C" w14:textId="77777777" w:rsidR="003625FE" w:rsidRPr="003018A0" w:rsidRDefault="003625FE" w:rsidP="003018A0">
      <w:pPr>
        <w:spacing w:after="0" w:line="240" w:lineRule="auto"/>
        <w:jc w:val="both"/>
        <w:rPr>
          <w:rFonts w:ascii="Arial" w:hAnsi="Arial" w:cs="Arial"/>
          <w:sz w:val="24"/>
          <w:szCs w:val="24"/>
          <w:lang w:val="es-ES"/>
        </w:rPr>
      </w:pPr>
      <w:r w:rsidRPr="003018A0">
        <w:rPr>
          <w:rFonts w:ascii="Arial" w:hAnsi="Arial" w:cs="Arial"/>
          <w:b/>
          <w:sz w:val="24"/>
          <w:szCs w:val="24"/>
        </w:rPr>
        <w:t xml:space="preserve">e) Definitividad y firmeza del acto reclamado. </w:t>
      </w:r>
      <w:r w:rsidRPr="003018A0">
        <w:rPr>
          <w:rFonts w:ascii="Arial" w:hAnsi="Arial" w:cs="Arial"/>
          <w:sz w:val="24"/>
          <w:szCs w:val="24"/>
        </w:rPr>
        <w:t xml:space="preserve">Se </w:t>
      </w:r>
      <w:r w:rsidRPr="003018A0">
        <w:rPr>
          <w:rFonts w:ascii="Arial" w:hAnsi="Arial" w:cs="Arial"/>
          <w:sz w:val="24"/>
          <w:szCs w:val="24"/>
          <w:lang w:val="es-ES"/>
        </w:rPr>
        <w:t xml:space="preserve">cumple este requisito de procedibilidad, pues la resolución dictada por la Presidenta del Partido Acción Nacional y su posterior ratificación por parte del Comité Ejecutivo Nacional son definitivos y </w:t>
      </w:r>
      <w:proofErr w:type="gramStart"/>
      <w:r w:rsidRPr="003018A0">
        <w:rPr>
          <w:rFonts w:ascii="Arial" w:hAnsi="Arial" w:cs="Arial"/>
          <w:sz w:val="24"/>
          <w:szCs w:val="24"/>
          <w:lang w:val="es-ES"/>
        </w:rPr>
        <w:t>firmes ,</w:t>
      </w:r>
      <w:proofErr w:type="gramEnd"/>
      <w:r w:rsidRPr="003018A0">
        <w:rPr>
          <w:rFonts w:ascii="Arial" w:hAnsi="Arial" w:cs="Arial"/>
          <w:sz w:val="24"/>
          <w:szCs w:val="24"/>
          <w:lang w:val="es-ES"/>
        </w:rPr>
        <w:t xml:space="preserve"> toda vez que en contra de ellos no procede medio de defensa alguno que pueda privarlos de efectos y remediar los agravios que aduce el actor.</w:t>
      </w:r>
    </w:p>
    <w:p w14:paraId="355CF5C6" w14:textId="77777777" w:rsidR="003625FE" w:rsidRPr="003018A0" w:rsidRDefault="003625FE" w:rsidP="003018A0">
      <w:pPr>
        <w:spacing w:after="0" w:line="240" w:lineRule="auto"/>
        <w:jc w:val="both"/>
        <w:rPr>
          <w:rFonts w:ascii="Arial" w:hAnsi="Arial" w:cs="Arial"/>
          <w:sz w:val="24"/>
          <w:szCs w:val="24"/>
          <w:lang w:val="es-ES"/>
        </w:rPr>
      </w:pPr>
    </w:p>
    <w:p w14:paraId="4A4D7516" w14:textId="77777777" w:rsidR="003625FE" w:rsidRPr="003018A0" w:rsidRDefault="003625FE" w:rsidP="003018A0">
      <w:pPr>
        <w:spacing w:after="0" w:line="240" w:lineRule="auto"/>
        <w:jc w:val="both"/>
        <w:rPr>
          <w:rFonts w:ascii="Arial" w:hAnsi="Arial" w:cs="Arial"/>
          <w:sz w:val="24"/>
          <w:szCs w:val="24"/>
        </w:rPr>
      </w:pPr>
      <w:r w:rsidRPr="003018A0">
        <w:rPr>
          <w:rFonts w:ascii="Arial" w:hAnsi="Arial" w:cs="Arial"/>
          <w:sz w:val="24"/>
          <w:szCs w:val="24"/>
        </w:rPr>
        <w:t>En consecuencia, al estar satisfechos los requisitos de procedencia y procedibilidad del medio de impugnación que interesa, y al no advertirse el surtimiento de alguna causal de improcedencia o sobreseimiento previstas en los artículos 9, párrafo 3; 10 y 11, párrafo 1, de la Ley General del Sistema de Medios de Impugnación en Materia Electoral, lo conducente es estudiar el fondo de la controversia planteada por la parte actora.</w:t>
      </w:r>
    </w:p>
    <w:p w14:paraId="1891A3C3" w14:textId="77777777" w:rsidR="003625FE" w:rsidRPr="003018A0" w:rsidRDefault="003625FE" w:rsidP="003018A0">
      <w:pPr>
        <w:spacing w:after="0" w:line="240" w:lineRule="auto"/>
        <w:jc w:val="both"/>
        <w:rPr>
          <w:rFonts w:ascii="Arial" w:hAnsi="Arial" w:cs="Arial"/>
          <w:b/>
          <w:sz w:val="24"/>
          <w:szCs w:val="24"/>
        </w:rPr>
      </w:pPr>
    </w:p>
    <w:p w14:paraId="2644305B" w14:textId="77777777" w:rsidR="003625FE" w:rsidRPr="003018A0" w:rsidRDefault="003625FE" w:rsidP="003018A0">
      <w:pPr>
        <w:spacing w:after="0" w:line="240" w:lineRule="auto"/>
        <w:jc w:val="both"/>
        <w:rPr>
          <w:rFonts w:ascii="Arial" w:hAnsi="Arial" w:cs="Arial"/>
          <w:sz w:val="24"/>
          <w:szCs w:val="24"/>
        </w:rPr>
      </w:pPr>
      <w:r w:rsidRPr="003018A0">
        <w:rPr>
          <w:rFonts w:ascii="Arial" w:hAnsi="Arial" w:cs="Arial"/>
          <w:b/>
          <w:sz w:val="24"/>
          <w:szCs w:val="24"/>
        </w:rPr>
        <w:t>TERCERO. Estudio de fondo.</w:t>
      </w:r>
      <w:r w:rsidRPr="003018A0">
        <w:rPr>
          <w:rFonts w:ascii="Arial" w:hAnsi="Arial" w:cs="Arial"/>
          <w:b/>
          <w:i/>
          <w:sz w:val="24"/>
          <w:szCs w:val="24"/>
        </w:rPr>
        <w:t xml:space="preserve"> </w:t>
      </w:r>
      <w:r w:rsidRPr="003018A0">
        <w:rPr>
          <w:rFonts w:ascii="Arial" w:hAnsi="Arial" w:cs="Arial"/>
          <w:sz w:val="24"/>
          <w:szCs w:val="24"/>
        </w:rPr>
        <w:t>En su escrito de demanda, el actor hace valer los siguientes agravios:</w:t>
      </w:r>
    </w:p>
    <w:p w14:paraId="20FFD599" w14:textId="77777777" w:rsidR="003625FE" w:rsidRPr="003018A0" w:rsidRDefault="003625FE" w:rsidP="003018A0">
      <w:pPr>
        <w:spacing w:after="0" w:line="240" w:lineRule="auto"/>
        <w:jc w:val="both"/>
        <w:rPr>
          <w:rFonts w:ascii="Arial" w:hAnsi="Arial" w:cs="Arial"/>
          <w:sz w:val="24"/>
          <w:szCs w:val="24"/>
        </w:rPr>
      </w:pPr>
    </w:p>
    <w:p w14:paraId="11B20D73" w14:textId="77777777" w:rsidR="003625FE" w:rsidRPr="003018A0" w:rsidRDefault="003625FE" w:rsidP="003018A0">
      <w:pPr>
        <w:spacing w:after="0" w:line="240" w:lineRule="auto"/>
        <w:jc w:val="both"/>
        <w:rPr>
          <w:rFonts w:ascii="Arial" w:hAnsi="Arial" w:cs="Arial"/>
          <w:sz w:val="24"/>
          <w:szCs w:val="24"/>
        </w:rPr>
      </w:pPr>
      <w:r w:rsidRPr="003018A0">
        <w:rPr>
          <w:rFonts w:ascii="Arial" w:hAnsi="Arial" w:cs="Arial"/>
          <w:sz w:val="24"/>
          <w:szCs w:val="24"/>
        </w:rPr>
        <w:lastRenderedPageBreak/>
        <w:t>1. La Presidente del Comité Ejecutivo Nacional del Partido Acción Nacional, sin fundamento alguno y sin facultades para hacerlo, al dictar la Providencia Segunda contenida en el escrito identificado con el número SG/130/2014, de fecha tres de abril del año en curso, confirma la ratificación del Consejo Nacional 2014-2016, realizada por la Asamblea Nacional Ordinaria del referido partido político.</w:t>
      </w:r>
    </w:p>
    <w:p w14:paraId="76BAB776" w14:textId="77777777" w:rsidR="003625FE" w:rsidRPr="003018A0" w:rsidRDefault="003625FE" w:rsidP="003018A0">
      <w:pPr>
        <w:spacing w:after="0" w:line="240" w:lineRule="auto"/>
        <w:jc w:val="both"/>
        <w:rPr>
          <w:rFonts w:ascii="Arial" w:hAnsi="Arial" w:cs="Arial"/>
          <w:sz w:val="24"/>
          <w:szCs w:val="24"/>
        </w:rPr>
      </w:pPr>
    </w:p>
    <w:p w14:paraId="741D1D07" w14:textId="77777777" w:rsidR="003625FE" w:rsidRPr="003018A0" w:rsidRDefault="003625FE" w:rsidP="003018A0">
      <w:pPr>
        <w:spacing w:after="0" w:line="240" w:lineRule="auto"/>
        <w:jc w:val="both"/>
        <w:rPr>
          <w:rFonts w:ascii="Arial" w:hAnsi="Arial" w:cs="Arial"/>
          <w:sz w:val="24"/>
          <w:szCs w:val="24"/>
        </w:rPr>
      </w:pPr>
      <w:r w:rsidRPr="003018A0">
        <w:rPr>
          <w:rFonts w:ascii="Arial" w:hAnsi="Arial" w:cs="Arial"/>
          <w:sz w:val="24"/>
          <w:szCs w:val="24"/>
        </w:rPr>
        <w:t xml:space="preserve">En este sentido, afirma el actor que no existe disposición partidista alguna que otorgue facultades a la </w:t>
      </w:r>
      <w:proofErr w:type="gramStart"/>
      <w:r w:rsidRPr="003018A0">
        <w:rPr>
          <w:rFonts w:ascii="Arial" w:hAnsi="Arial" w:cs="Arial"/>
          <w:sz w:val="24"/>
          <w:szCs w:val="24"/>
        </w:rPr>
        <w:t>Presidenta</w:t>
      </w:r>
      <w:proofErr w:type="gramEnd"/>
      <w:r w:rsidRPr="003018A0">
        <w:rPr>
          <w:rFonts w:ascii="Arial" w:hAnsi="Arial" w:cs="Arial"/>
          <w:sz w:val="24"/>
          <w:szCs w:val="24"/>
        </w:rPr>
        <w:t xml:space="preserve"> del Partido Acción Nacional para confirmar la ratificación de un Consejo Nacional.</w:t>
      </w:r>
    </w:p>
    <w:p w14:paraId="1BEF9CCB" w14:textId="77777777" w:rsidR="003625FE" w:rsidRPr="003018A0" w:rsidRDefault="003625FE" w:rsidP="003018A0">
      <w:pPr>
        <w:spacing w:after="0" w:line="240" w:lineRule="auto"/>
        <w:jc w:val="both"/>
        <w:rPr>
          <w:rFonts w:ascii="Arial" w:hAnsi="Arial" w:cs="Arial"/>
          <w:sz w:val="24"/>
          <w:szCs w:val="24"/>
        </w:rPr>
      </w:pPr>
    </w:p>
    <w:p w14:paraId="525EC5FA" w14:textId="77777777" w:rsidR="003625FE" w:rsidRPr="003018A0" w:rsidRDefault="003625FE" w:rsidP="003018A0">
      <w:pPr>
        <w:spacing w:after="0" w:line="240" w:lineRule="auto"/>
        <w:jc w:val="both"/>
        <w:rPr>
          <w:rFonts w:ascii="Arial" w:hAnsi="Arial" w:cs="Arial"/>
          <w:sz w:val="24"/>
          <w:szCs w:val="24"/>
        </w:rPr>
      </w:pPr>
      <w:r w:rsidRPr="003018A0">
        <w:rPr>
          <w:rFonts w:ascii="Arial" w:hAnsi="Arial" w:cs="Arial"/>
          <w:sz w:val="24"/>
          <w:szCs w:val="24"/>
        </w:rPr>
        <w:t>2. Le causa agravio que la Presidenta Nacional del PAN haya omitido citar de modo completo y preciso los antecedentes que motivaron su disenso, con lo que se violenta en su perjuicio el principio de congruencia que debe imperar en toda sentencia o resolución haciendo indudablemente incompleta la impartición de justicia, lo que violenta su garantía consagrada en el artículo 17 de la Constitución Política de los Estados Unidos Mexicanos.</w:t>
      </w:r>
    </w:p>
    <w:p w14:paraId="18DDE46F" w14:textId="77777777" w:rsidR="003625FE" w:rsidRPr="003018A0" w:rsidRDefault="003625FE" w:rsidP="003018A0">
      <w:pPr>
        <w:spacing w:after="0" w:line="240" w:lineRule="auto"/>
        <w:jc w:val="both"/>
        <w:rPr>
          <w:rFonts w:ascii="Arial" w:hAnsi="Arial" w:cs="Arial"/>
          <w:sz w:val="24"/>
          <w:szCs w:val="24"/>
        </w:rPr>
      </w:pPr>
    </w:p>
    <w:p w14:paraId="13913D49" w14:textId="77777777" w:rsidR="003625FE" w:rsidRPr="003018A0" w:rsidRDefault="003625FE" w:rsidP="003018A0">
      <w:pPr>
        <w:spacing w:after="0" w:line="240" w:lineRule="auto"/>
        <w:jc w:val="both"/>
        <w:rPr>
          <w:rFonts w:ascii="Arial" w:hAnsi="Arial" w:cs="Arial"/>
          <w:sz w:val="24"/>
          <w:szCs w:val="24"/>
        </w:rPr>
      </w:pPr>
      <w:r w:rsidRPr="003018A0">
        <w:rPr>
          <w:rFonts w:ascii="Arial" w:hAnsi="Arial" w:cs="Arial"/>
          <w:sz w:val="24"/>
          <w:szCs w:val="24"/>
        </w:rPr>
        <w:t xml:space="preserve">3. Afirma que también le genera agravio lo establecido en el numeral 7 del apartado de antecedentes del escrito identificado con el número SG/130/2014, dado que sin explicación alguna y argumentando una supuesta aplicación de distintos preceptos normativos </w:t>
      </w:r>
      <w:proofErr w:type="spellStart"/>
      <w:r w:rsidRPr="003018A0">
        <w:rPr>
          <w:rFonts w:ascii="Arial" w:hAnsi="Arial" w:cs="Arial"/>
          <w:sz w:val="24"/>
          <w:szCs w:val="24"/>
        </w:rPr>
        <w:t>intrapartidarios</w:t>
      </w:r>
      <w:proofErr w:type="spellEnd"/>
      <w:r w:rsidRPr="003018A0">
        <w:rPr>
          <w:rFonts w:ascii="Arial" w:hAnsi="Arial" w:cs="Arial"/>
          <w:sz w:val="24"/>
          <w:szCs w:val="24"/>
        </w:rPr>
        <w:t>, e incluso sin haberle hecho notificación alguna al respecto, se dispone que su lugar en la lista de Consejeros Electos en el Estado de Chiapas sea ocupado por Gloria Trinidad Luna Ruiz, lo que le priva su derecho de ejercer el cargo de Consejero Nacional de su partido, y que había obtenido en la asamblea estatal celebrada el pasado dieciséis de febrero de dos mil catorce en el Estado de Chiapas, en la que obtuvo el triple de votos que la referida ciudadana.</w:t>
      </w:r>
    </w:p>
    <w:p w14:paraId="45E8CD85" w14:textId="77777777" w:rsidR="003625FE" w:rsidRPr="003018A0" w:rsidRDefault="003625FE" w:rsidP="003018A0">
      <w:pPr>
        <w:spacing w:after="0" w:line="240" w:lineRule="auto"/>
        <w:jc w:val="both"/>
        <w:rPr>
          <w:rFonts w:ascii="Arial" w:hAnsi="Arial" w:cs="Arial"/>
          <w:sz w:val="24"/>
          <w:szCs w:val="24"/>
        </w:rPr>
      </w:pPr>
    </w:p>
    <w:p w14:paraId="0F214368" w14:textId="77777777" w:rsidR="003625FE" w:rsidRPr="003018A0" w:rsidRDefault="003625FE" w:rsidP="003018A0">
      <w:pPr>
        <w:spacing w:after="0" w:line="240" w:lineRule="auto"/>
        <w:jc w:val="both"/>
        <w:rPr>
          <w:rFonts w:ascii="Arial" w:hAnsi="Arial" w:cs="Arial"/>
          <w:sz w:val="24"/>
          <w:szCs w:val="24"/>
        </w:rPr>
      </w:pPr>
      <w:r w:rsidRPr="003018A0">
        <w:rPr>
          <w:rFonts w:ascii="Arial" w:hAnsi="Arial" w:cs="Arial"/>
          <w:sz w:val="24"/>
          <w:szCs w:val="24"/>
        </w:rPr>
        <w:t xml:space="preserve">4. No existía justificación alguna para la emisión de las providencias por parte de la Presidenta del Comité Ejecutivo Nacional del Partido Acción Nacional, pues en términos del inciso j) del numeral 1 del artículo 47 de los Estatutos Generales del Partido Acción Nacional, esta emisión será </w:t>
      </w:r>
      <w:r w:rsidRPr="003018A0">
        <w:rPr>
          <w:rFonts w:ascii="Arial" w:hAnsi="Arial" w:cs="Arial"/>
          <w:i/>
          <w:sz w:val="24"/>
          <w:szCs w:val="24"/>
        </w:rPr>
        <w:t>“en casos urgentes y cuando no sea posible convocar al órgano respectivo”,</w:t>
      </w:r>
      <w:r w:rsidRPr="003018A0">
        <w:rPr>
          <w:rFonts w:ascii="Arial" w:hAnsi="Arial" w:cs="Arial"/>
          <w:sz w:val="24"/>
          <w:szCs w:val="24"/>
        </w:rPr>
        <w:t xml:space="preserve"> supuesto que no se presentó, toda vez que las providencias se dictaron el jueves tres de abril del año en curso, es decir cuatro días naturales antes de la fecha en la que se llevó a cabo la sesión ordinaria del Comité Ejecutivo Nacional, lunes siete del mismo mes y año, en la que incluso de ratificaron las providencias impugnadas, de donde se desprende que su emisión resultó ilegal, al no existir la urgencia que para dichos efectos exigen los Estatutos del partido político.</w:t>
      </w:r>
    </w:p>
    <w:p w14:paraId="0A23A954" w14:textId="77777777" w:rsidR="003625FE" w:rsidRPr="003018A0" w:rsidRDefault="003625FE" w:rsidP="003018A0">
      <w:pPr>
        <w:spacing w:after="0" w:line="240" w:lineRule="auto"/>
        <w:jc w:val="both"/>
        <w:rPr>
          <w:rFonts w:ascii="Arial" w:hAnsi="Arial" w:cs="Arial"/>
          <w:sz w:val="24"/>
          <w:szCs w:val="24"/>
        </w:rPr>
      </w:pPr>
    </w:p>
    <w:p w14:paraId="1523A601" w14:textId="77777777" w:rsidR="003625FE" w:rsidRPr="003018A0" w:rsidRDefault="003625FE" w:rsidP="003018A0">
      <w:pPr>
        <w:spacing w:after="0" w:line="240" w:lineRule="auto"/>
        <w:jc w:val="both"/>
        <w:rPr>
          <w:rFonts w:ascii="Arial" w:hAnsi="Arial" w:cs="Arial"/>
          <w:sz w:val="24"/>
          <w:szCs w:val="24"/>
        </w:rPr>
      </w:pPr>
      <w:r w:rsidRPr="003018A0">
        <w:rPr>
          <w:rFonts w:ascii="Arial" w:hAnsi="Arial" w:cs="Arial"/>
          <w:sz w:val="24"/>
          <w:szCs w:val="24"/>
        </w:rPr>
        <w:t>5. También señala el actor que le causa agravio que de modo por demás poco serio, se haya incluido en el capítulo de Hechos, lo que en realidad son motivos de disenso por la ilegal exclusión de su nombre de la lista para evitar que fuera ratificado por la XXII Asamblea Nacional Ordinaria, y por lo tanto se omitió el estudio de los mismos, no obstante que, de acuerdo a un criterio de esta Sala Superior, el juzgador está obligado a realizar el estudio integral del escrito del quejoso, a efecto de analizar y calificar los agravios que pudieran estar contenidos en los propios hechos, sin que esto hubiera ocurrido.</w:t>
      </w:r>
    </w:p>
    <w:p w14:paraId="13A42778" w14:textId="77777777" w:rsidR="003625FE" w:rsidRPr="003018A0" w:rsidRDefault="003625FE" w:rsidP="003018A0">
      <w:pPr>
        <w:spacing w:after="0" w:line="240" w:lineRule="auto"/>
        <w:jc w:val="both"/>
        <w:rPr>
          <w:rFonts w:ascii="Arial" w:hAnsi="Arial" w:cs="Arial"/>
          <w:sz w:val="24"/>
          <w:szCs w:val="24"/>
        </w:rPr>
      </w:pPr>
    </w:p>
    <w:p w14:paraId="1B8AD56D" w14:textId="77777777" w:rsidR="003625FE" w:rsidRPr="003018A0" w:rsidRDefault="003625FE" w:rsidP="003018A0">
      <w:pPr>
        <w:spacing w:after="0" w:line="240" w:lineRule="auto"/>
        <w:jc w:val="both"/>
        <w:rPr>
          <w:rFonts w:ascii="Arial" w:hAnsi="Arial" w:cs="Arial"/>
          <w:sz w:val="24"/>
          <w:szCs w:val="24"/>
        </w:rPr>
      </w:pPr>
      <w:r w:rsidRPr="003018A0">
        <w:rPr>
          <w:rFonts w:ascii="Arial" w:hAnsi="Arial" w:cs="Arial"/>
          <w:sz w:val="24"/>
          <w:szCs w:val="24"/>
        </w:rPr>
        <w:t xml:space="preserve">7. Se duele del modo por demás arbitrario con el cual la Presidenta Nacional del Partido Acción Nacional, pretende demostrar la ilegal exclusión de la que fue objeto, para evitar que la XXII Asamblea Nacional Ordinaria lo ratificara como Consejero Nacional del Partido Acción Nacional para el periodo 2014-2016, en virtud de que fue electo por la Asamblea Estatal del propio partido político celebrada el pasado dieciséis de febrero de dos mil catorce, en el Estado de Chiapas. </w:t>
      </w:r>
    </w:p>
    <w:p w14:paraId="382A7E3B" w14:textId="77777777" w:rsidR="003625FE" w:rsidRPr="003018A0" w:rsidRDefault="003625FE" w:rsidP="003018A0">
      <w:pPr>
        <w:spacing w:after="0" w:line="240" w:lineRule="auto"/>
        <w:jc w:val="both"/>
        <w:rPr>
          <w:rFonts w:ascii="Arial" w:hAnsi="Arial" w:cs="Arial"/>
          <w:sz w:val="24"/>
          <w:szCs w:val="24"/>
        </w:rPr>
      </w:pPr>
    </w:p>
    <w:p w14:paraId="513969C9" w14:textId="77777777" w:rsidR="003625FE" w:rsidRPr="003018A0" w:rsidRDefault="003625FE" w:rsidP="003018A0">
      <w:pPr>
        <w:spacing w:after="0" w:line="240" w:lineRule="auto"/>
        <w:jc w:val="both"/>
        <w:rPr>
          <w:rFonts w:ascii="Arial" w:hAnsi="Arial" w:cs="Arial"/>
          <w:sz w:val="24"/>
          <w:szCs w:val="24"/>
        </w:rPr>
      </w:pPr>
      <w:r w:rsidRPr="003018A0">
        <w:rPr>
          <w:rFonts w:ascii="Arial" w:hAnsi="Arial" w:cs="Arial"/>
          <w:sz w:val="24"/>
          <w:szCs w:val="24"/>
        </w:rPr>
        <w:t>Al respecto, al actor señala que, toda vez que al estado de Chiapas le corresponde la designación de seis Consejeros Nacionales, al momento de determinar la cantidad de consejeros que deberían designarse atendiendo al género, en términos de la fracción l) del numeral 1 de los Estatutos General del Partido Acción Nacional, la responsable no tomó en consideración el último párrafo del artículo 27 de los mismos Estatutos, que indica de manera clara y tajante que “las fracciones se redondearan de acuerdo a la unidad más próxima” y por lo tanto, el 40% de seis consejeros equivale a 2.4 y el 60% correspondería a 3.6, y en consecuencia el redondeo realizado en esos términos debió arrojar que podían elegirse hasta cuatro Consejeros de un mismo género, siempre que los dos restantes correspondieran al otro género, lo que le hubiera permitido conservar su lugar en la lista, pues por los votos obtenidos le correspondería el lugar seis de seis posibles, de una lista integrada por cuatro hombres (lugares uno, tres, cinco y seis) y dos mujeres, (lugares dos y cuatro).</w:t>
      </w:r>
    </w:p>
    <w:p w14:paraId="229C2162" w14:textId="77777777" w:rsidR="003625FE" w:rsidRPr="003018A0" w:rsidRDefault="003625FE" w:rsidP="003018A0">
      <w:pPr>
        <w:spacing w:after="0" w:line="240" w:lineRule="auto"/>
        <w:jc w:val="both"/>
        <w:rPr>
          <w:rFonts w:ascii="Arial" w:hAnsi="Arial" w:cs="Arial"/>
          <w:sz w:val="24"/>
          <w:szCs w:val="24"/>
        </w:rPr>
      </w:pPr>
    </w:p>
    <w:p w14:paraId="5AB96C84" w14:textId="77777777" w:rsidR="003625FE" w:rsidRPr="003018A0" w:rsidRDefault="003625FE" w:rsidP="003018A0">
      <w:pPr>
        <w:spacing w:after="0" w:line="240" w:lineRule="auto"/>
        <w:jc w:val="both"/>
        <w:rPr>
          <w:rFonts w:ascii="Arial" w:hAnsi="Arial" w:cs="Arial"/>
          <w:sz w:val="24"/>
          <w:szCs w:val="24"/>
        </w:rPr>
      </w:pPr>
      <w:r w:rsidRPr="003018A0">
        <w:rPr>
          <w:rFonts w:ascii="Arial" w:hAnsi="Arial" w:cs="Arial"/>
          <w:sz w:val="24"/>
          <w:szCs w:val="24"/>
        </w:rPr>
        <w:t>Señala que, inclusive con esta conformación de la lista, no se afectaría la integración del Consejo Nacional, pues de los doscientos sesenta y nueve elegidos en las diferentes asambleas estatales, y ratificados en la Asamblea Nacional, ciento veintinueve son mujeres, lo que representa un 47.96%, mientras que los ciento cuarenta restantes son hombres, es decir el 52.04% y si se incluye su nombre, en perjuicio de Gloria Trinidad Luna Ruiz, la integración quedaría con ciento veintiocho mujeres, que equivalen al 47.58% y ciento cuarenta y un hombres, equivalente al 52.42%, con lo que se respetaría el porcentaje del 60%-40% dispuesto en la fracción l) del numeral 1, del artículo 25 de los Estatutos Generales del Partido Acción Nacional.</w:t>
      </w:r>
    </w:p>
    <w:p w14:paraId="1684DB79" w14:textId="77777777" w:rsidR="003625FE" w:rsidRPr="003018A0" w:rsidRDefault="003625FE" w:rsidP="003018A0">
      <w:pPr>
        <w:spacing w:after="0" w:line="240" w:lineRule="auto"/>
        <w:jc w:val="both"/>
        <w:rPr>
          <w:rFonts w:ascii="Arial" w:hAnsi="Arial" w:cs="Arial"/>
          <w:sz w:val="24"/>
          <w:szCs w:val="24"/>
        </w:rPr>
      </w:pPr>
    </w:p>
    <w:p w14:paraId="01E46A6E" w14:textId="77777777" w:rsidR="003625FE" w:rsidRPr="003018A0" w:rsidRDefault="003625FE" w:rsidP="003018A0">
      <w:pPr>
        <w:spacing w:after="0" w:line="240" w:lineRule="auto"/>
        <w:jc w:val="both"/>
        <w:rPr>
          <w:rFonts w:ascii="Arial" w:hAnsi="Arial" w:cs="Arial"/>
          <w:sz w:val="24"/>
          <w:szCs w:val="24"/>
        </w:rPr>
      </w:pPr>
      <w:r w:rsidRPr="003018A0">
        <w:rPr>
          <w:rFonts w:ascii="Arial" w:hAnsi="Arial" w:cs="Arial"/>
          <w:sz w:val="24"/>
          <w:szCs w:val="24"/>
        </w:rPr>
        <w:t>7. Afirma que le causa agravio que siendo Consejero Nacional del Partido Acción Nacional para el periodo 2014-2016, electo por el Estado de Chiapas, no se le haya convocado ni permitido participar durante la primera sesión del Consejo Nacional del mismo partido político, celebrada el pasado veintinueve de marzo del año en curso, momentos después de concluir la XXII Asamblea Nacional Ordinaria que omitió ratificarlo como Consejero Nacional, dada la grave omisión de la Presidenta y del Secretario General del Comité Ejecutivo Nacional, y con lo cual se violentó su derecho a participar en las decisiones y los órganos de gobierno de su partido político.</w:t>
      </w:r>
    </w:p>
    <w:p w14:paraId="32D3BDA7" w14:textId="77777777" w:rsidR="003625FE" w:rsidRPr="003018A0" w:rsidRDefault="003625FE" w:rsidP="003018A0">
      <w:pPr>
        <w:spacing w:after="0" w:line="240" w:lineRule="auto"/>
        <w:jc w:val="both"/>
        <w:rPr>
          <w:rFonts w:ascii="Arial" w:hAnsi="Arial" w:cs="Arial"/>
          <w:sz w:val="24"/>
          <w:szCs w:val="24"/>
        </w:rPr>
      </w:pPr>
    </w:p>
    <w:p w14:paraId="001F7249" w14:textId="77777777" w:rsidR="003625FE" w:rsidRPr="003018A0" w:rsidRDefault="003625FE" w:rsidP="003018A0">
      <w:pPr>
        <w:spacing w:after="0" w:line="240" w:lineRule="auto"/>
        <w:jc w:val="both"/>
        <w:rPr>
          <w:rFonts w:ascii="Arial" w:hAnsi="Arial" w:cs="Arial"/>
          <w:sz w:val="24"/>
          <w:szCs w:val="24"/>
        </w:rPr>
      </w:pPr>
      <w:r w:rsidRPr="003018A0">
        <w:rPr>
          <w:rFonts w:ascii="Arial" w:hAnsi="Arial" w:cs="Arial"/>
          <w:sz w:val="24"/>
          <w:szCs w:val="24"/>
        </w:rPr>
        <w:t xml:space="preserve">8. Finalmente se duele de que el Comité Ejecutivo Nacional del Partido Acción Nacional haya ratificado sin discusión alguna la resolución recurrida consistente en las providencias contenidas en el oficio SG/130/2014, afirmando, bajo protesta de </w:t>
      </w:r>
      <w:r w:rsidRPr="003018A0">
        <w:rPr>
          <w:rFonts w:ascii="Arial" w:hAnsi="Arial" w:cs="Arial"/>
          <w:sz w:val="24"/>
          <w:szCs w:val="24"/>
        </w:rPr>
        <w:lastRenderedPageBreak/>
        <w:t>decir verdad, que tuvo conocimiento que durante la sesión del Comité Ejecutivo Nacional de fecha siete de abril de dos mil catorce, al abordar el punto del Orden del Día relativo a la Ratificación de Providencias, se omitió hacer discusión alguna de las contenidas en el oficio  SG/130/2014 de fecha tres de abril del año en curso, siendo por demás claro que no ha sido una decisión del órgano colegiado, sino de la Presidenta Nacional del partido político, y por lo cual no se dio cumplimiento a lo establecido en la última parte del inciso j) del numeral 1, del artículo 47 de los Estatutos Generales del Partido Acción Nacional y por lo cual la resolución combatida resulta ser no exhaustiva y son apego alguno a derecho.</w:t>
      </w:r>
    </w:p>
    <w:p w14:paraId="517010FE" w14:textId="77777777" w:rsidR="003625FE" w:rsidRPr="003018A0" w:rsidRDefault="003625FE" w:rsidP="003018A0">
      <w:pPr>
        <w:spacing w:after="0" w:line="240" w:lineRule="auto"/>
        <w:jc w:val="both"/>
        <w:rPr>
          <w:rFonts w:ascii="Arial" w:hAnsi="Arial" w:cs="Arial"/>
          <w:sz w:val="24"/>
          <w:szCs w:val="24"/>
        </w:rPr>
      </w:pPr>
    </w:p>
    <w:p w14:paraId="5348BC23" w14:textId="77777777" w:rsidR="003625FE" w:rsidRPr="003018A0" w:rsidRDefault="003625FE" w:rsidP="003018A0">
      <w:pPr>
        <w:spacing w:after="0" w:line="240" w:lineRule="auto"/>
        <w:jc w:val="both"/>
        <w:rPr>
          <w:rFonts w:ascii="Arial" w:hAnsi="Arial" w:cs="Arial"/>
          <w:sz w:val="24"/>
          <w:szCs w:val="24"/>
        </w:rPr>
      </w:pPr>
      <w:r w:rsidRPr="003018A0">
        <w:rPr>
          <w:rFonts w:ascii="Arial" w:hAnsi="Arial" w:cs="Arial"/>
          <w:sz w:val="24"/>
          <w:szCs w:val="24"/>
        </w:rPr>
        <w:t xml:space="preserve">Del anterior resumen de agravios, se observa que la </w:t>
      </w:r>
      <w:r w:rsidRPr="003018A0">
        <w:rPr>
          <w:rFonts w:ascii="Arial" w:hAnsi="Arial" w:cs="Arial"/>
          <w:b/>
          <w:sz w:val="24"/>
          <w:szCs w:val="24"/>
        </w:rPr>
        <w:t xml:space="preserve">pretensión </w:t>
      </w:r>
      <w:r w:rsidRPr="003018A0">
        <w:rPr>
          <w:rFonts w:ascii="Arial" w:hAnsi="Arial" w:cs="Arial"/>
          <w:sz w:val="24"/>
          <w:szCs w:val="24"/>
        </w:rPr>
        <w:t>del actor es que se le reconozca su calidad de Consejero Nacional del Partido Acción Nacional por el estado de Chiapas, para el periodo dos mil catorce, dos mil dieciséis, y se le restituyan los derechos de los que considera fue privado de manera ilegal.</w:t>
      </w:r>
    </w:p>
    <w:p w14:paraId="2866671A" w14:textId="77777777" w:rsidR="003625FE" w:rsidRPr="003018A0" w:rsidRDefault="003625FE" w:rsidP="003018A0">
      <w:pPr>
        <w:spacing w:after="0" w:line="240" w:lineRule="auto"/>
        <w:jc w:val="both"/>
        <w:rPr>
          <w:rFonts w:ascii="Arial" w:hAnsi="Arial" w:cs="Arial"/>
          <w:sz w:val="24"/>
          <w:szCs w:val="24"/>
        </w:rPr>
      </w:pPr>
    </w:p>
    <w:p w14:paraId="7B8E28DB" w14:textId="77777777" w:rsidR="003625FE" w:rsidRPr="003018A0" w:rsidRDefault="003625FE" w:rsidP="003018A0">
      <w:pPr>
        <w:spacing w:after="0" w:line="240" w:lineRule="auto"/>
        <w:jc w:val="both"/>
        <w:rPr>
          <w:rFonts w:ascii="Arial" w:hAnsi="Arial" w:cs="Arial"/>
          <w:sz w:val="24"/>
          <w:szCs w:val="24"/>
        </w:rPr>
      </w:pPr>
      <w:r w:rsidRPr="003018A0">
        <w:rPr>
          <w:rFonts w:ascii="Arial" w:hAnsi="Arial" w:cs="Arial"/>
          <w:sz w:val="24"/>
          <w:szCs w:val="24"/>
        </w:rPr>
        <w:t xml:space="preserve">Su </w:t>
      </w:r>
      <w:r w:rsidRPr="003018A0">
        <w:rPr>
          <w:rFonts w:ascii="Arial" w:hAnsi="Arial" w:cs="Arial"/>
          <w:b/>
          <w:sz w:val="24"/>
          <w:szCs w:val="24"/>
        </w:rPr>
        <w:t>causa de pedir</w:t>
      </w:r>
      <w:r w:rsidRPr="003018A0">
        <w:rPr>
          <w:rFonts w:ascii="Arial" w:hAnsi="Arial" w:cs="Arial"/>
          <w:sz w:val="24"/>
          <w:szCs w:val="24"/>
        </w:rPr>
        <w:t xml:space="preserve"> la sustenta en el hecho de que, a su juicio, los órganos partidistas correspondientes hicieron una indebida interpretación de los Estatutos Generales del Partido Acción Nacional y determinaron que para cumplir con la cuota de género establecida en los mismos, del sesenta por ciento (60%) como máximo de un mismo género, de un total de seis consejeros, deberían ser tres hombres y tres mujeres, lo que provocó su ilegal remoción de la lista en la que ocupó el sexto lugar, pero el cuarto de los hombres, de acuerdo a los resultados que se obtuvieron en la Asamblea Estatal que se celebró en el Estado de Chiapas, el pasado dieciséis de febrero del año en curso.</w:t>
      </w:r>
    </w:p>
    <w:p w14:paraId="17C266A7" w14:textId="77777777" w:rsidR="003625FE" w:rsidRPr="003018A0" w:rsidRDefault="003625FE" w:rsidP="003018A0">
      <w:pPr>
        <w:spacing w:after="0" w:line="240" w:lineRule="auto"/>
        <w:jc w:val="both"/>
        <w:rPr>
          <w:rFonts w:ascii="Arial" w:hAnsi="Arial" w:cs="Arial"/>
          <w:sz w:val="24"/>
          <w:szCs w:val="24"/>
        </w:rPr>
      </w:pPr>
    </w:p>
    <w:p w14:paraId="17E8C958" w14:textId="77777777" w:rsidR="003625FE" w:rsidRPr="003018A0" w:rsidRDefault="003625FE" w:rsidP="003018A0">
      <w:pPr>
        <w:spacing w:after="0" w:line="240" w:lineRule="auto"/>
        <w:jc w:val="both"/>
        <w:rPr>
          <w:rFonts w:ascii="Arial" w:hAnsi="Arial" w:cs="Arial"/>
          <w:sz w:val="24"/>
          <w:szCs w:val="24"/>
        </w:rPr>
      </w:pPr>
      <w:r w:rsidRPr="003018A0">
        <w:rPr>
          <w:rFonts w:ascii="Arial" w:hAnsi="Arial" w:cs="Arial"/>
          <w:sz w:val="24"/>
          <w:szCs w:val="24"/>
        </w:rPr>
        <w:t>Antes de entrar al estudio de fondo lo agravios contenidos en el escrito de demanda del presente juicio, resulta conveniente precisar las disposiciones partidistas que resultan aplicables para resolver la litis planteada por el actor.</w:t>
      </w:r>
    </w:p>
    <w:p w14:paraId="5881030B" w14:textId="77777777" w:rsidR="003625FE" w:rsidRPr="009120FE" w:rsidRDefault="003625FE" w:rsidP="009120FE">
      <w:pPr>
        <w:pStyle w:val="NormalWeb"/>
        <w:ind w:left="709" w:right="616"/>
        <w:jc w:val="center"/>
        <w:rPr>
          <w:rFonts w:ascii="Arial" w:hAnsi="Arial" w:cs="Arial"/>
          <w:b/>
          <w:bCs/>
          <w:sz w:val="22"/>
          <w:szCs w:val="22"/>
        </w:rPr>
      </w:pPr>
      <w:r w:rsidRPr="009120FE">
        <w:rPr>
          <w:rFonts w:ascii="Arial" w:hAnsi="Arial" w:cs="Arial"/>
          <w:b/>
          <w:bCs/>
          <w:sz w:val="22"/>
          <w:szCs w:val="22"/>
        </w:rPr>
        <w:t>Estatutos Generales</w:t>
      </w:r>
    </w:p>
    <w:p w14:paraId="685EA12C" w14:textId="77777777" w:rsidR="003625FE" w:rsidRPr="009120FE" w:rsidRDefault="003625FE" w:rsidP="009120FE">
      <w:pPr>
        <w:pStyle w:val="NormalWeb"/>
        <w:ind w:left="709" w:right="616"/>
        <w:rPr>
          <w:rFonts w:ascii="Arial" w:hAnsi="Arial" w:cs="Arial"/>
          <w:b/>
          <w:bCs/>
          <w:sz w:val="20"/>
          <w:szCs w:val="20"/>
        </w:rPr>
      </w:pPr>
      <w:r w:rsidRPr="009120FE">
        <w:rPr>
          <w:rFonts w:ascii="Arial" w:hAnsi="Arial" w:cs="Arial"/>
          <w:b/>
          <w:bCs/>
          <w:sz w:val="20"/>
          <w:szCs w:val="20"/>
        </w:rPr>
        <w:t>…</w:t>
      </w:r>
    </w:p>
    <w:p w14:paraId="115A0F92" w14:textId="77777777" w:rsidR="003625FE" w:rsidRPr="009120FE" w:rsidRDefault="003625FE" w:rsidP="009120FE">
      <w:pPr>
        <w:pStyle w:val="NormalWeb"/>
        <w:ind w:left="709" w:right="616"/>
        <w:jc w:val="center"/>
        <w:rPr>
          <w:rFonts w:ascii="Arial" w:hAnsi="Arial" w:cs="Arial"/>
          <w:sz w:val="20"/>
          <w:szCs w:val="20"/>
        </w:rPr>
      </w:pPr>
      <w:r w:rsidRPr="009120FE">
        <w:rPr>
          <w:rFonts w:ascii="Arial" w:hAnsi="Arial" w:cs="Arial"/>
          <w:b/>
          <w:bCs/>
          <w:sz w:val="20"/>
          <w:szCs w:val="20"/>
        </w:rPr>
        <w:t>Del Consejo Nacional</w:t>
      </w:r>
    </w:p>
    <w:p w14:paraId="47140DCF" w14:textId="77777777" w:rsidR="003625FE" w:rsidRPr="009120FE" w:rsidRDefault="003625FE" w:rsidP="009120FE">
      <w:pPr>
        <w:pStyle w:val="NormalWeb"/>
        <w:spacing w:before="0" w:beforeAutospacing="0" w:after="0" w:afterAutospacing="0"/>
        <w:ind w:left="709" w:right="616"/>
        <w:rPr>
          <w:rFonts w:ascii="Arial" w:hAnsi="Arial" w:cs="Arial"/>
          <w:b/>
          <w:bCs/>
          <w:sz w:val="20"/>
          <w:szCs w:val="20"/>
        </w:rPr>
      </w:pPr>
      <w:r w:rsidRPr="009120FE">
        <w:rPr>
          <w:rFonts w:ascii="Arial" w:hAnsi="Arial" w:cs="Arial"/>
          <w:b/>
          <w:bCs/>
          <w:sz w:val="20"/>
          <w:szCs w:val="20"/>
        </w:rPr>
        <w:t>Artículo 25</w:t>
      </w:r>
    </w:p>
    <w:p w14:paraId="676299C2" w14:textId="77777777" w:rsidR="003625FE" w:rsidRPr="009120FE" w:rsidRDefault="003625FE" w:rsidP="009120FE">
      <w:pPr>
        <w:pStyle w:val="NormalWeb"/>
        <w:spacing w:before="0" w:beforeAutospacing="0" w:after="0" w:afterAutospacing="0"/>
        <w:ind w:left="709" w:right="616"/>
        <w:jc w:val="both"/>
        <w:rPr>
          <w:rFonts w:ascii="Arial" w:hAnsi="Arial" w:cs="Arial"/>
          <w:sz w:val="20"/>
          <w:szCs w:val="20"/>
        </w:rPr>
      </w:pPr>
      <w:r w:rsidRPr="009120FE">
        <w:rPr>
          <w:rFonts w:ascii="Arial" w:hAnsi="Arial" w:cs="Arial"/>
          <w:bCs/>
          <w:sz w:val="20"/>
          <w:szCs w:val="20"/>
        </w:rPr>
        <w:t>1.</w:t>
      </w:r>
      <w:r w:rsidRPr="009120FE">
        <w:rPr>
          <w:rFonts w:ascii="Arial" w:hAnsi="Arial" w:cs="Arial"/>
          <w:sz w:val="20"/>
          <w:szCs w:val="20"/>
        </w:rPr>
        <w:t xml:space="preserve"> </w:t>
      </w:r>
      <w:r w:rsidRPr="009120FE">
        <w:rPr>
          <w:rFonts w:ascii="Arial" w:hAnsi="Arial" w:cs="Arial"/>
          <w:b/>
          <w:sz w:val="20"/>
          <w:szCs w:val="20"/>
        </w:rPr>
        <w:t xml:space="preserve">El Consejo Nacional estará integrado por </w:t>
      </w:r>
      <w:r w:rsidRPr="009120FE">
        <w:rPr>
          <w:rFonts w:ascii="Arial" w:hAnsi="Arial" w:cs="Arial"/>
          <w:b/>
          <w:bCs/>
          <w:sz w:val="20"/>
          <w:szCs w:val="20"/>
        </w:rPr>
        <w:t>los</w:t>
      </w:r>
      <w:r w:rsidRPr="009120FE">
        <w:rPr>
          <w:rFonts w:ascii="Arial" w:hAnsi="Arial" w:cs="Arial"/>
          <w:b/>
          <w:sz w:val="20"/>
          <w:szCs w:val="20"/>
        </w:rPr>
        <w:t xml:space="preserve"> </w:t>
      </w:r>
      <w:r w:rsidRPr="009120FE">
        <w:rPr>
          <w:rFonts w:ascii="Arial" w:hAnsi="Arial" w:cs="Arial"/>
          <w:b/>
          <w:bCs/>
          <w:sz w:val="20"/>
          <w:szCs w:val="20"/>
        </w:rPr>
        <w:t>siguientes militantes</w:t>
      </w:r>
      <w:r w:rsidRPr="009120FE">
        <w:rPr>
          <w:rFonts w:ascii="Arial" w:hAnsi="Arial" w:cs="Arial"/>
          <w:b/>
          <w:sz w:val="20"/>
          <w:szCs w:val="20"/>
        </w:rPr>
        <w:t>:</w:t>
      </w:r>
    </w:p>
    <w:p w14:paraId="4CB1A654" w14:textId="77777777" w:rsidR="003625FE" w:rsidRPr="009120FE" w:rsidRDefault="003625FE" w:rsidP="009120FE">
      <w:pPr>
        <w:pStyle w:val="NormalWeb"/>
        <w:spacing w:before="0" w:beforeAutospacing="0" w:after="0" w:afterAutospacing="0"/>
        <w:ind w:left="709" w:right="616"/>
        <w:jc w:val="both"/>
        <w:rPr>
          <w:rFonts w:ascii="Arial" w:hAnsi="Arial" w:cs="Arial"/>
          <w:sz w:val="20"/>
          <w:szCs w:val="20"/>
        </w:rPr>
      </w:pPr>
      <w:r w:rsidRPr="009120FE">
        <w:rPr>
          <w:rFonts w:ascii="Arial" w:hAnsi="Arial" w:cs="Arial"/>
          <w:sz w:val="20"/>
          <w:szCs w:val="20"/>
        </w:rPr>
        <w:t xml:space="preserve">a) </w:t>
      </w:r>
      <w:r w:rsidRPr="009120FE">
        <w:rPr>
          <w:rFonts w:ascii="Arial" w:hAnsi="Arial" w:cs="Arial"/>
          <w:bCs/>
          <w:sz w:val="20"/>
          <w:szCs w:val="20"/>
        </w:rPr>
        <w:t>La o el</w:t>
      </w:r>
      <w:r w:rsidRPr="009120FE">
        <w:rPr>
          <w:rFonts w:ascii="Arial" w:hAnsi="Arial" w:cs="Arial"/>
          <w:sz w:val="20"/>
          <w:szCs w:val="20"/>
        </w:rPr>
        <w:t xml:space="preserve"> </w:t>
      </w:r>
      <w:proofErr w:type="gramStart"/>
      <w:r w:rsidRPr="009120FE">
        <w:rPr>
          <w:rFonts w:ascii="Arial" w:hAnsi="Arial" w:cs="Arial"/>
          <w:sz w:val="20"/>
          <w:szCs w:val="20"/>
        </w:rPr>
        <w:t>Presidente</w:t>
      </w:r>
      <w:proofErr w:type="gramEnd"/>
      <w:r w:rsidRPr="009120FE">
        <w:rPr>
          <w:rFonts w:ascii="Arial" w:hAnsi="Arial" w:cs="Arial"/>
          <w:sz w:val="20"/>
          <w:szCs w:val="20"/>
        </w:rPr>
        <w:t xml:space="preserve"> y </w:t>
      </w:r>
      <w:r w:rsidRPr="009120FE">
        <w:rPr>
          <w:rFonts w:ascii="Arial" w:hAnsi="Arial" w:cs="Arial"/>
          <w:bCs/>
          <w:sz w:val="20"/>
          <w:szCs w:val="20"/>
        </w:rPr>
        <w:t>la o</w:t>
      </w:r>
      <w:r w:rsidRPr="009120FE">
        <w:rPr>
          <w:rFonts w:ascii="Arial" w:hAnsi="Arial" w:cs="Arial"/>
          <w:sz w:val="20"/>
          <w:szCs w:val="20"/>
        </w:rPr>
        <w:t xml:space="preserve"> el Secretario General del Comité Ejecutivo Nacional;</w:t>
      </w:r>
    </w:p>
    <w:p w14:paraId="5646D236" w14:textId="77777777" w:rsidR="003625FE" w:rsidRPr="009120FE" w:rsidRDefault="003625FE" w:rsidP="009120FE">
      <w:pPr>
        <w:pStyle w:val="NormalWeb"/>
        <w:spacing w:before="0" w:beforeAutospacing="0" w:after="0" w:afterAutospacing="0"/>
        <w:ind w:left="709" w:right="616"/>
        <w:jc w:val="both"/>
        <w:rPr>
          <w:rFonts w:ascii="Arial" w:hAnsi="Arial" w:cs="Arial"/>
          <w:sz w:val="20"/>
          <w:szCs w:val="20"/>
        </w:rPr>
      </w:pPr>
      <w:r w:rsidRPr="009120FE">
        <w:rPr>
          <w:rFonts w:ascii="Arial" w:hAnsi="Arial" w:cs="Arial"/>
          <w:sz w:val="20"/>
          <w:szCs w:val="20"/>
        </w:rPr>
        <w:t>b) L</w:t>
      </w:r>
      <w:r w:rsidRPr="009120FE">
        <w:rPr>
          <w:rFonts w:ascii="Arial" w:hAnsi="Arial" w:cs="Arial"/>
          <w:bCs/>
          <w:sz w:val="20"/>
          <w:szCs w:val="20"/>
        </w:rPr>
        <w:t>as</w:t>
      </w:r>
      <w:r w:rsidRPr="009120FE">
        <w:rPr>
          <w:rFonts w:ascii="Arial" w:hAnsi="Arial" w:cs="Arial"/>
          <w:sz w:val="20"/>
          <w:szCs w:val="20"/>
        </w:rPr>
        <w:t xml:space="preserve"> o </w:t>
      </w:r>
      <w:r w:rsidRPr="009120FE">
        <w:rPr>
          <w:rFonts w:ascii="Arial" w:hAnsi="Arial" w:cs="Arial"/>
          <w:bCs/>
          <w:sz w:val="20"/>
          <w:szCs w:val="20"/>
        </w:rPr>
        <w:t>l</w:t>
      </w:r>
      <w:r w:rsidRPr="009120FE">
        <w:rPr>
          <w:rFonts w:ascii="Arial" w:hAnsi="Arial" w:cs="Arial"/>
          <w:sz w:val="20"/>
          <w:szCs w:val="20"/>
        </w:rPr>
        <w:t xml:space="preserve">os ex </w:t>
      </w:r>
      <w:proofErr w:type="gramStart"/>
      <w:r w:rsidRPr="009120FE">
        <w:rPr>
          <w:rFonts w:ascii="Arial" w:hAnsi="Arial" w:cs="Arial"/>
          <w:sz w:val="20"/>
          <w:szCs w:val="20"/>
        </w:rPr>
        <w:t>Presidentes</w:t>
      </w:r>
      <w:proofErr w:type="gramEnd"/>
      <w:r w:rsidRPr="009120FE">
        <w:rPr>
          <w:rFonts w:ascii="Arial" w:hAnsi="Arial" w:cs="Arial"/>
          <w:sz w:val="20"/>
          <w:szCs w:val="20"/>
        </w:rPr>
        <w:t xml:space="preserve"> del Comité Ejecutivo Nacional;</w:t>
      </w:r>
    </w:p>
    <w:p w14:paraId="75FB3875" w14:textId="77777777" w:rsidR="003625FE" w:rsidRPr="009120FE" w:rsidRDefault="003625FE" w:rsidP="009120FE">
      <w:pPr>
        <w:pStyle w:val="NormalWeb"/>
        <w:spacing w:before="0" w:beforeAutospacing="0" w:after="0" w:afterAutospacing="0"/>
        <w:ind w:left="709" w:right="616"/>
        <w:jc w:val="both"/>
        <w:rPr>
          <w:rFonts w:ascii="Arial" w:hAnsi="Arial" w:cs="Arial"/>
          <w:sz w:val="20"/>
          <w:szCs w:val="20"/>
        </w:rPr>
      </w:pPr>
      <w:r w:rsidRPr="009120FE">
        <w:rPr>
          <w:rFonts w:ascii="Arial" w:hAnsi="Arial" w:cs="Arial"/>
          <w:sz w:val="20"/>
          <w:szCs w:val="20"/>
        </w:rPr>
        <w:t xml:space="preserve">c) </w:t>
      </w:r>
      <w:r w:rsidRPr="009120FE">
        <w:rPr>
          <w:rFonts w:ascii="Arial" w:hAnsi="Arial" w:cs="Arial"/>
          <w:bCs/>
          <w:sz w:val="20"/>
          <w:szCs w:val="20"/>
        </w:rPr>
        <w:t>La o</w:t>
      </w:r>
      <w:r w:rsidRPr="009120FE">
        <w:rPr>
          <w:rFonts w:ascii="Arial" w:hAnsi="Arial" w:cs="Arial"/>
          <w:sz w:val="20"/>
          <w:szCs w:val="20"/>
        </w:rPr>
        <w:t xml:space="preserve"> </w:t>
      </w:r>
      <w:r w:rsidRPr="009120FE">
        <w:rPr>
          <w:rFonts w:ascii="Arial" w:hAnsi="Arial" w:cs="Arial"/>
          <w:bCs/>
          <w:sz w:val="20"/>
          <w:szCs w:val="20"/>
        </w:rPr>
        <w:t>e</w:t>
      </w:r>
      <w:r w:rsidRPr="009120FE">
        <w:rPr>
          <w:rFonts w:ascii="Arial" w:hAnsi="Arial" w:cs="Arial"/>
          <w:sz w:val="20"/>
          <w:szCs w:val="20"/>
        </w:rPr>
        <w:t xml:space="preserve">l </w:t>
      </w:r>
      <w:proofErr w:type="gramStart"/>
      <w:r w:rsidRPr="009120FE">
        <w:rPr>
          <w:rFonts w:ascii="Arial" w:hAnsi="Arial" w:cs="Arial"/>
          <w:sz w:val="20"/>
          <w:szCs w:val="20"/>
        </w:rPr>
        <w:t>Presidente</w:t>
      </w:r>
      <w:proofErr w:type="gramEnd"/>
      <w:r w:rsidRPr="009120FE">
        <w:rPr>
          <w:rFonts w:ascii="Arial" w:hAnsi="Arial" w:cs="Arial"/>
          <w:sz w:val="20"/>
          <w:szCs w:val="20"/>
        </w:rPr>
        <w:t xml:space="preserve"> </w:t>
      </w:r>
      <w:r w:rsidRPr="009120FE">
        <w:rPr>
          <w:rFonts w:ascii="Arial" w:hAnsi="Arial" w:cs="Arial"/>
          <w:bCs/>
          <w:sz w:val="20"/>
          <w:szCs w:val="20"/>
        </w:rPr>
        <w:t>y Ex Presidentes</w:t>
      </w:r>
      <w:r w:rsidRPr="009120FE">
        <w:rPr>
          <w:rFonts w:ascii="Arial" w:hAnsi="Arial" w:cs="Arial"/>
          <w:sz w:val="20"/>
          <w:szCs w:val="20"/>
        </w:rPr>
        <w:t xml:space="preserve"> de la República;</w:t>
      </w:r>
    </w:p>
    <w:p w14:paraId="41B1CE59" w14:textId="77777777" w:rsidR="003625FE" w:rsidRPr="009120FE" w:rsidRDefault="003625FE" w:rsidP="009120FE">
      <w:pPr>
        <w:pStyle w:val="NormalWeb"/>
        <w:spacing w:before="0" w:beforeAutospacing="0" w:after="0" w:afterAutospacing="0"/>
        <w:ind w:left="709" w:right="616"/>
        <w:jc w:val="both"/>
        <w:rPr>
          <w:rFonts w:ascii="Arial" w:hAnsi="Arial" w:cs="Arial"/>
          <w:sz w:val="20"/>
          <w:szCs w:val="20"/>
        </w:rPr>
      </w:pPr>
      <w:r w:rsidRPr="009120FE">
        <w:rPr>
          <w:rFonts w:ascii="Arial" w:hAnsi="Arial" w:cs="Arial"/>
          <w:sz w:val="20"/>
          <w:szCs w:val="20"/>
        </w:rPr>
        <w:t>d) L</w:t>
      </w:r>
      <w:r w:rsidRPr="009120FE">
        <w:rPr>
          <w:rFonts w:ascii="Arial" w:hAnsi="Arial" w:cs="Arial"/>
          <w:bCs/>
          <w:sz w:val="20"/>
          <w:szCs w:val="20"/>
        </w:rPr>
        <w:t>as o l</w:t>
      </w:r>
      <w:r w:rsidRPr="009120FE">
        <w:rPr>
          <w:rFonts w:ascii="Arial" w:hAnsi="Arial" w:cs="Arial"/>
          <w:sz w:val="20"/>
          <w:szCs w:val="20"/>
        </w:rPr>
        <w:t xml:space="preserve">os </w:t>
      </w:r>
      <w:r w:rsidRPr="009120FE">
        <w:rPr>
          <w:rFonts w:ascii="Arial" w:hAnsi="Arial" w:cs="Arial"/>
          <w:bCs/>
          <w:sz w:val="20"/>
          <w:szCs w:val="20"/>
        </w:rPr>
        <w:t>G</w:t>
      </w:r>
      <w:r w:rsidRPr="009120FE">
        <w:rPr>
          <w:rFonts w:ascii="Arial" w:hAnsi="Arial" w:cs="Arial"/>
          <w:sz w:val="20"/>
          <w:szCs w:val="20"/>
        </w:rPr>
        <w:t xml:space="preserve">obernadores de los </w:t>
      </w:r>
      <w:r w:rsidRPr="009120FE">
        <w:rPr>
          <w:rFonts w:ascii="Arial" w:hAnsi="Arial" w:cs="Arial"/>
          <w:bCs/>
          <w:sz w:val="20"/>
          <w:szCs w:val="20"/>
        </w:rPr>
        <w:t>E</w:t>
      </w:r>
      <w:r w:rsidRPr="009120FE">
        <w:rPr>
          <w:rFonts w:ascii="Arial" w:hAnsi="Arial" w:cs="Arial"/>
          <w:sz w:val="20"/>
          <w:szCs w:val="20"/>
        </w:rPr>
        <w:t>stados;</w:t>
      </w:r>
    </w:p>
    <w:p w14:paraId="5D461142" w14:textId="77777777" w:rsidR="003625FE" w:rsidRPr="009120FE" w:rsidRDefault="003625FE" w:rsidP="009120FE">
      <w:pPr>
        <w:pStyle w:val="NormalWeb"/>
        <w:spacing w:before="0" w:beforeAutospacing="0" w:after="0" w:afterAutospacing="0"/>
        <w:ind w:left="709" w:right="616"/>
        <w:jc w:val="both"/>
        <w:rPr>
          <w:rFonts w:ascii="Arial" w:hAnsi="Arial" w:cs="Arial"/>
          <w:sz w:val="20"/>
          <w:szCs w:val="20"/>
        </w:rPr>
      </w:pPr>
      <w:r w:rsidRPr="009120FE">
        <w:rPr>
          <w:rFonts w:ascii="Arial" w:hAnsi="Arial" w:cs="Arial"/>
          <w:sz w:val="20"/>
          <w:szCs w:val="20"/>
        </w:rPr>
        <w:t>e) L</w:t>
      </w:r>
      <w:r w:rsidRPr="009120FE">
        <w:rPr>
          <w:rFonts w:ascii="Arial" w:hAnsi="Arial" w:cs="Arial"/>
          <w:bCs/>
          <w:sz w:val="20"/>
          <w:szCs w:val="20"/>
        </w:rPr>
        <w:t>as o</w:t>
      </w:r>
      <w:r w:rsidRPr="009120FE">
        <w:rPr>
          <w:rFonts w:ascii="Arial" w:hAnsi="Arial" w:cs="Arial"/>
          <w:sz w:val="20"/>
          <w:szCs w:val="20"/>
        </w:rPr>
        <w:t xml:space="preserve"> </w:t>
      </w:r>
      <w:r w:rsidRPr="009120FE">
        <w:rPr>
          <w:rFonts w:ascii="Arial" w:hAnsi="Arial" w:cs="Arial"/>
          <w:bCs/>
          <w:sz w:val="20"/>
          <w:szCs w:val="20"/>
        </w:rPr>
        <w:t>l</w:t>
      </w:r>
      <w:r w:rsidRPr="009120FE">
        <w:rPr>
          <w:rFonts w:ascii="Arial" w:hAnsi="Arial" w:cs="Arial"/>
          <w:sz w:val="20"/>
          <w:szCs w:val="20"/>
        </w:rPr>
        <w:t xml:space="preserve">os </w:t>
      </w:r>
      <w:proofErr w:type="gramStart"/>
      <w:r w:rsidRPr="009120FE">
        <w:rPr>
          <w:rFonts w:ascii="Arial" w:hAnsi="Arial" w:cs="Arial"/>
          <w:sz w:val="20"/>
          <w:szCs w:val="20"/>
        </w:rPr>
        <w:t>Presidentes</w:t>
      </w:r>
      <w:proofErr w:type="gramEnd"/>
      <w:r w:rsidRPr="009120FE">
        <w:rPr>
          <w:rFonts w:ascii="Arial" w:hAnsi="Arial" w:cs="Arial"/>
          <w:sz w:val="20"/>
          <w:szCs w:val="20"/>
        </w:rPr>
        <w:t xml:space="preserve"> de los Comités Directivos Estatales, durante su encargo;</w:t>
      </w:r>
    </w:p>
    <w:p w14:paraId="64110484" w14:textId="77777777" w:rsidR="003625FE" w:rsidRPr="009120FE" w:rsidRDefault="003625FE" w:rsidP="009120FE">
      <w:pPr>
        <w:pStyle w:val="NormalWeb"/>
        <w:spacing w:before="0" w:beforeAutospacing="0" w:after="0" w:afterAutospacing="0"/>
        <w:ind w:left="709" w:right="616"/>
        <w:jc w:val="both"/>
        <w:rPr>
          <w:rFonts w:ascii="Arial" w:hAnsi="Arial" w:cs="Arial"/>
          <w:sz w:val="20"/>
          <w:szCs w:val="20"/>
        </w:rPr>
      </w:pPr>
      <w:r w:rsidRPr="009120FE">
        <w:rPr>
          <w:rFonts w:ascii="Arial" w:hAnsi="Arial" w:cs="Arial"/>
          <w:sz w:val="20"/>
          <w:szCs w:val="20"/>
        </w:rPr>
        <w:t>f) L</w:t>
      </w:r>
      <w:r w:rsidRPr="009120FE">
        <w:rPr>
          <w:rFonts w:ascii="Arial" w:hAnsi="Arial" w:cs="Arial"/>
          <w:bCs/>
          <w:sz w:val="20"/>
          <w:szCs w:val="20"/>
        </w:rPr>
        <w:t>as o l</w:t>
      </w:r>
      <w:r w:rsidRPr="009120FE">
        <w:rPr>
          <w:rFonts w:ascii="Arial" w:hAnsi="Arial" w:cs="Arial"/>
          <w:sz w:val="20"/>
          <w:szCs w:val="20"/>
        </w:rPr>
        <w:t xml:space="preserve">os Coordinadores de los </w:t>
      </w:r>
      <w:r w:rsidRPr="009120FE">
        <w:rPr>
          <w:rFonts w:ascii="Arial" w:hAnsi="Arial" w:cs="Arial"/>
          <w:bCs/>
          <w:sz w:val="20"/>
          <w:szCs w:val="20"/>
        </w:rPr>
        <w:t>G</w:t>
      </w:r>
      <w:r w:rsidRPr="009120FE">
        <w:rPr>
          <w:rFonts w:ascii="Arial" w:hAnsi="Arial" w:cs="Arial"/>
          <w:sz w:val="20"/>
          <w:szCs w:val="20"/>
        </w:rPr>
        <w:t xml:space="preserve">rupos </w:t>
      </w:r>
      <w:r w:rsidRPr="009120FE">
        <w:rPr>
          <w:rFonts w:ascii="Arial" w:hAnsi="Arial" w:cs="Arial"/>
          <w:bCs/>
          <w:sz w:val="20"/>
          <w:szCs w:val="20"/>
        </w:rPr>
        <w:t>P</w:t>
      </w:r>
      <w:r w:rsidRPr="009120FE">
        <w:rPr>
          <w:rFonts w:ascii="Arial" w:hAnsi="Arial" w:cs="Arial"/>
          <w:sz w:val="20"/>
          <w:szCs w:val="20"/>
        </w:rPr>
        <w:t xml:space="preserve">arlamentarios </w:t>
      </w:r>
      <w:r w:rsidRPr="009120FE">
        <w:rPr>
          <w:rFonts w:ascii="Arial" w:hAnsi="Arial" w:cs="Arial"/>
          <w:bCs/>
          <w:sz w:val="20"/>
          <w:szCs w:val="20"/>
        </w:rPr>
        <w:t>F</w:t>
      </w:r>
      <w:r w:rsidRPr="009120FE">
        <w:rPr>
          <w:rFonts w:ascii="Arial" w:hAnsi="Arial" w:cs="Arial"/>
          <w:sz w:val="20"/>
          <w:szCs w:val="20"/>
        </w:rPr>
        <w:t>ederales;</w:t>
      </w:r>
    </w:p>
    <w:p w14:paraId="7BE7193C" w14:textId="77777777" w:rsidR="003625FE" w:rsidRPr="009120FE" w:rsidRDefault="003625FE" w:rsidP="009120FE">
      <w:pPr>
        <w:pStyle w:val="NormalWeb"/>
        <w:spacing w:before="0" w:beforeAutospacing="0" w:after="0" w:afterAutospacing="0"/>
        <w:ind w:left="709" w:right="616"/>
        <w:jc w:val="both"/>
        <w:rPr>
          <w:rFonts w:ascii="Arial" w:hAnsi="Arial" w:cs="Arial"/>
          <w:sz w:val="20"/>
          <w:szCs w:val="20"/>
        </w:rPr>
      </w:pPr>
      <w:r w:rsidRPr="009120FE">
        <w:rPr>
          <w:rFonts w:ascii="Arial" w:hAnsi="Arial" w:cs="Arial"/>
          <w:sz w:val="20"/>
          <w:szCs w:val="20"/>
        </w:rPr>
        <w:t xml:space="preserve">g) </w:t>
      </w:r>
      <w:r w:rsidRPr="009120FE">
        <w:rPr>
          <w:rFonts w:ascii="Arial" w:hAnsi="Arial" w:cs="Arial"/>
          <w:bCs/>
          <w:sz w:val="20"/>
          <w:szCs w:val="20"/>
        </w:rPr>
        <w:t>La o e</w:t>
      </w:r>
      <w:r w:rsidRPr="009120FE">
        <w:rPr>
          <w:rFonts w:ascii="Arial" w:hAnsi="Arial" w:cs="Arial"/>
          <w:sz w:val="20"/>
          <w:szCs w:val="20"/>
        </w:rPr>
        <w:t xml:space="preserve">l Coordinador Nacional de los </w:t>
      </w:r>
      <w:r w:rsidRPr="009120FE">
        <w:rPr>
          <w:rFonts w:ascii="Arial" w:hAnsi="Arial" w:cs="Arial"/>
          <w:bCs/>
          <w:sz w:val="20"/>
          <w:szCs w:val="20"/>
        </w:rPr>
        <w:t>D</w:t>
      </w:r>
      <w:r w:rsidRPr="009120FE">
        <w:rPr>
          <w:rFonts w:ascii="Arial" w:hAnsi="Arial" w:cs="Arial"/>
          <w:sz w:val="20"/>
          <w:szCs w:val="20"/>
        </w:rPr>
        <w:t xml:space="preserve">iputados </w:t>
      </w:r>
      <w:r w:rsidRPr="009120FE">
        <w:rPr>
          <w:rFonts w:ascii="Arial" w:hAnsi="Arial" w:cs="Arial"/>
          <w:bCs/>
          <w:sz w:val="20"/>
          <w:szCs w:val="20"/>
        </w:rPr>
        <w:t>L</w:t>
      </w:r>
      <w:r w:rsidRPr="009120FE">
        <w:rPr>
          <w:rFonts w:ascii="Arial" w:hAnsi="Arial" w:cs="Arial"/>
          <w:sz w:val="20"/>
          <w:szCs w:val="20"/>
        </w:rPr>
        <w:t>ocales;</w:t>
      </w:r>
    </w:p>
    <w:p w14:paraId="6BC01877" w14:textId="77777777" w:rsidR="003625FE" w:rsidRPr="009120FE" w:rsidRDefault="003625FE" w:rsidP="009120FE">
      <w:pPr>
        <w:pStyle w:val="NormalWeb"/>
        <w:spacing w:before="0" w:beforeAutospacing="0" w:after="0" w:afterAutospacing="0"/>
        <w:ind w:left="709" w:right="616"/>
        <w:jc w:val="both"/>
        <w:rPr>
          <w:rFonts w:ascii="Arial" w:hAnsi="Arial" w:cs="Arial"/>
          <w:sz w:val="20"/>
          <w:szCs w:val="20"/>
        </w:rPr>
      </w:pPr>
      <w:r w:rsidRPr="009120FE">
        <w:rPr>
          <w:rFonts w:ascii="Arial" w:hAnsi="Arial" w:cs="Arial"/>
          <w:sz w:val="20"/>
          <w:szCs w:val="20"/>
        </w:rPr>
        <w:t xml:space="preserve">h) </w:t>
      </w:r>
      <w:r w:rsidRPr="009120FE">
        <w:rPr>
          <w:rFonts w:ascii="Arial" w:hAnsi="Arial" w:cs="Arial"/>
          <w:bCs/>
          <w:sz w:val="20"/>
          <w:szCs w:val="20"/>
        </w:rPr>
        <w:t>La o e</w:t>
      </w:r>
      <w:r w:rsidRPr="009120FE">
        <w:rPr>
          <w:rFonts w:ascii="Arial" w:hAnsi="Arial" w:cs="Arial"/>
          <w:sz w:val="20"/>
          <w:szCs w:val="20"/>
        </w:rPr>
        <w:t xml:space="preserve">l </w:t>
      </w:r>
      <w:r w:rsidRPr="009120FE">
        <w:rPr>
          <w:rFonts w:ascii="Arial" w:hAnsi="Arial" w:cs="Arial"/>
          <w:bCs/>
          <w:sz w:val="20"/>
          <w:szCs w:val="20"/>
        </w:rPr>
        <w:t>C</w:t>
      </w:r>
      <w:r w:rsidRPr="009120FE">
        <w:rPr>
          <w:rFonts w:ascii="Arial" w:hAnsi="Arial" w:cs="Arial"/>
          <w:sz w:val="20"/>
          <w:szCs w:val="20"/>
        </w:rPr>
        <w:t xml:space="preserve">oordinador </w:t>
      </w:r>
      <w:r w:rsidRPr="009120FE">
        <w:rPr>
          <w:rFonts w:ascii="Arial" w:hAnsi="Arial" w:cs="Arial"/>
          <w:bCs/>
          <w:sz w:val="20"/>
          <w:szCs w:val="20"/>
        </w:rPr>
        <w:t>N</w:t>
      </w:r>
      <w:r w:rsidRPr="009120FE">
        <w:rPr>
          <w:rFonts w:ascii="Arial" w:hAnsi="Arial" w:cs="Arial"/>
          <w:sz w:val="20"/>
          <w:szCs w:val="20"/>
        </w:rPr>
        <w:t xml:space="preserve">acional de </w:t>
      </w:r>
      <w:r w:rsidRPr="009120FE">
        <w:rPr>
          <w:rFonts w:ascii="Arial" w:hAnsi="Arial" w:cs="Arial"/>
          <w:bCs/>
          <w:sz w:val="20"/>
          <w:szCs w:val="20"/>
        </w:rPr>
        <w:t>A</w:t>
      </w:r>
      <w:r w:rsidRPr="009120FE">
        <w:rPr>
          <w:rFonts w:ascii="Arial" w:hAnsi="Arial" w:cs="Arial"/>
          <w:sz w:val="20"/>
          <w:szCs w:val="20"/>
        </w:rPr>
        <w:t>yuntamientos;</w:t>
      </w:r>
    </w:p>
    <w:p w14:paraId="43778F3B" w14:textId="77777777" w:rsidR="003625FE" w:rsidRPr="009120FE" w:rsidRDefault="003625FE" w:rsidP="009120FE">
      <w:pPr>
        <w:pStyle w:val="NormalWeb"/>
        <w:spacing w:before="0" w:beforeAutospacing="0" w:after="0" w:afterAutospacing="0"/>
        <w:ind w:left="709" w:right="616"/>
        <w:jc w:val="both"/>
        <w:rPr>
          <w:rFonts w:ascii="Arial" w:hAnsi="Arial" w:cs="Arial"/>
          <w:sz w:val="20"/>
          <w:szCs w:val="20"/>
        </w:rPr>
      </w:pPr>
      <w:r w:rsidRPr="009120FE">
        <w:rPr>
          <w:rFonts w:ascii="Arial" w:hAnsi="Arial" w:cs="Arial"/>
          <w:sz w:val="20"/>
          <w:szCs w:val="20"/>
        </w:rPr>
        <w:t>i) L</w:t>
      </w:r>
      <w:r w:rsidRPr="009120FE">
        <w:rPr>
          <w:rFonts w:ascii="Arial" w:hAnsi="Arial" w:cs="Arial"/>
          <w:bCs/>
          <w:sz w:val="20"/>
          <w:szCs w:val="20"/>
        </w:rPr>
        <w:t>as o l</w:t>
      </w:r>
      <w:r w:rsidRPr="009120FE">
        <w:rPr>
          <w:rFonts w:ascii="Arial" w:hAnsi="Arial" w:cs="Arial"/>
          <w:sz w:val="20"/>
          <w:szCs w:val="20"/>
        </w:rPr>
        <w:t xml:space="preserve">os </w:t>
      </w:r>
      <w:r w:rsidRPr="009120FE">
        <w:rPr>
          <w:rFonts w:ascii="Arial" w:hAnsi="Arial" w:cs="Arial"/>
          <w:bCs/>
          <w:sz w:val="20"/>
          <w:szCs w:val="20"/>
        </w:rPr>
        <w:t xml:space="preserve">militantes </w:t>
      </w:r>
      <w:r w:rsidRPr="009120FE">
        <w:rPr>
          <w:rFonts w:ascii="Arial" w:hAnsi="Arial" w:cs="Arial"/>
          <w:sz w:val="20"/>
          <w:szCs w:val="20"/>
        </w:rPr>
        <w:t xml:space="preserve">del </w:t>
      </w:r>
      <w:r w:rsidRPr="009120FE">
        <w:rPr>
          <w:rFonts w:ascii="Arial" w:hAnsi="Arial" w:cs="Arial"/>
          <w:bCs/>
          <w:sz w:val="20"/>
          <w:szCs w:val="20"/>
        </w:rPr>
        <w:t>P</w:t>
      </w:r>
      <w:r w:rsidRPr="009120FE">
        <w:rPr>
          <w:rFonts w:ascii="Arial" w:hAnsi="Arial" w:cs="Arial"/>
          <w:sz w:val="20"/>
          <w:szCs w:val="20"/>
        </w:rPr>
        <w:t>artido que hayan sido Consejeros Nacionales por 20 años o más;</w:t>
      </w:r>
    </w:p>
    <w:p w14:paraId="5CBEA9F7" w14:textId="77777777" w:rsidR="003625FE" w:rsidRPr="009120FE" w:rsidRDefault="003625FE" w:rsidP="009120FE">
      <w:pPr>
        <w:pStyle w:val="NormalWeb"/>
        <w:spacing w:before="0" w:beforeAutospacing="0" w:after="0" w:afterAutospacing="0"/>
        <w:ind w:left="709" w:right="616"/>
        <w:jc w:val="both"/>
        <w:rPr>
          <w:rFonts w:ascii="Arial" w:hAnsi="Arial" w:cs="Arial"/>
          <w:bCs/>
          <w:sz w:val="20"/>
          <w:szCs w:val="20"/>
        </w:rPr>
      </w:pPr>
      <w:r w:rsidRPr="009120FE">
        <w:rPr>
          <w:rFonts w:ascii="Arial" w:hAnsi="Arial" w:cs="Arial"/>
          <w:sz w:val="20"/>
          <w:szCs w:val="20"/>
        </w:rPr>
        <w:t xml:space="preserve">j) La titular de la Secretaría de Promoción Política de la Mujer </w:t>
      </w:r>
      <w:r w:rsidRPr="009120FE">
        <w:rPr>
          <w:rFonts w:ascii="Arial" w:hAnsi="Arial" w:cs="Arial"/>
          <w:bCs/>
          <w:sz w:val="20"/>
          <w:szCs w:val="20"/>
        </w:rPr>
        <w:t>del Comité Ejecutivo Nacional;</w:t>
      </w:r>
    </w:p>
    <w:p w14:paraId="198B5947" w14:textId="77777777" w:rsidR="003625FE" w:rsidRPr="009120FE" w:rsidRDefault="003625FE" w:rsidP="009120FE">
      <w:pPr>
        <w:pStyle w:val="NormalWeb"/>
        <w:spacing w:before="0" w:beforeAutospacing="0" w:after="0" w:afterAutospacing="0"/>
        <w:ind w:left="709" w:right="616"/>
        <w:jc w:val="both"/>
        <w:rPr>
          <w:rFonts w:ascii="Arial" w:hAnsi="Arial" w:cs="Arial"/>
          <w:bCs/>
          <w:sz w:val="20"/>
          <w:szCs w:val="20"/>
        </w:rPr>
      </w:pPr>
      <w:r w:rsidRPr="009120FE">
        <w:rPr>
          <w:rFonts w:ascii="Arial" w:hAnsi="Arial" w:cs="Arial"/>
          <w:sz w:val="20"/>
          <w:szCs w:val="20"/>
        </w:rPr>
        <w:lastRenderedPageBreak/>
        <w:t xml:space="preserve">k) </w:t>
      </w:r>
      <w:r w:rsidRPr="009120FE">
        <w:rPr>
          <w:rFonts w:ascii="Arial" w:hAnsi="Arial" w:cs="Arial"/>
          <w:bCs/>
          <w:sz w:val="20"/>
          <w:szCs w:val="20"/>
        </w:rPr>
        <w:t>L</w:t>
      </w:r>
      <w:r w:rsidRPr="009120FE">
        <w:rPr>
          <w:rFonts w:ascii="Arial" w:hAnsi="Arial" w:cs="Arial"/>
          <w:sz w:val="20"/>
          <w:szCs w:val="20"/>
        </w:rPr>
        <w:t xml:space="preserve">a o el titular de la Secretaría de Acción Juvenil </w:t>
      </w:r>
      <w:r w:rsidRPr="009120FE">
        <w:rPr>
          <w:rFonts w:ascii="Arial" w:hAnsi="Arial" w:cs="Arial"/>
          <w:bCs/>
          <w:sz w:val="20"/>
          <w:szCs w:val="20"/>
        </w:rPr>
        <w:t>del Comité Ejecutivo Nacional;</w:t>
      </w:r>
    </w:p>
    <w:p w14:paraId="11ECA587" w14:textId="77777777" w:rsidR="003625FE" w:rsidRPr="009120FE" w:rsidRDefault="003625FE" w:rsidP="009120FE">
      <w:pPr>
        <w:pStyle w:val="NormalWeb"/>
        <w:spacing w:before="0" w:beforeAutospacing="0" w:after="0" w:afterAutospacing="0"/>
        <w:ind w:left="709" w:right="616"/>
        <w:jc w:val="both"/>
        <w:rPr>
          <w:rFonts w:ascii="Arial" w:hAnsi="Arial" w:cs="Arial"/>
          <w:bCs/>
          <w:sz w:val="20"/>
          <w:szCs w:val="20"/>
        </w:rPr>
      </w:pPr>
      <w:r w:rsidRPr="009120FE">
        <w:rPr>
          <w:rFonts w:ascii="Arial" w:hAnsi="Arial" w:cs="Arial"/>
          <w:b/>
          <w:sz w:val="20"/>
          <w:szCs w:val="20"/>
        </w:rPr>
        <w:t xml:space="preserve">l) </w:t>
      </w:r>
      <w:r w:rsidRPr="009120FE">
        <w:rPr>
          <w:rFonts w:ascii="Arial" w:hAnsi="Arial" w:cs="Arial"/>
          <w:b/>
          <w:bCs/>
          <w:sz w:val="20"/>
          <w:szCs w:val="20"/>
        </w:rPr>
        <w:t>Doscientos setenta</w:t>
      </w:r>
      <w:r w:rsidRPr="009120FE">
        <w:rPr>
          <w:rFonts w:ascii="Arial" w:hAnsi="Arial" w:cs="Arial"/>
          <w:b/>
          <w:sz w:val="20"/>
          <w:szCs w:val="20"/>
        </w:rPr>
        <w:t xml:space="preserve"> Consejeros </w:t>
      </w:r>
      <w:r w:rsidRPr="009120FE">
        <w:rPr>
          <w:rFonts w:ascii="Arial" w:hAnsi="Arial" w:cs="Arial"/>
          <w:b/>
          <w:bCs/>
          <w:sz w:val="20"/>
          <w:szCs w:val="20"/>
        </w:rPr>
        <w:t>Nacionales</w:t>
      </w:r>
      <w:r w:rsidRPr="009120FE">
        <w:rPr>
          <w:rFonts w:ascii="Arial" w:hAnsi="Arial" w:cs="Arial"/>
          <w:b/>
          <w:sz w:val="20"/>
          <w:szCs w:val="20"/>
        </w:rPr>
        <w:t xml:space="preserve"> electos </w:t>
      </w:r>
      <w:r w:rsidRPr="009120FE">
        <w:rPr>
          <w:rFonts w:ascii="Arial" w:hAnsi="Arial" w:cs="Arial"/>
          <w:b/>
          <w:bCs/>
          <w:sz w:val="20"/>
          <w:szCs w:val="20"/>
        </w:rPr>
        <w:t>en las Asambleas Estatales y ratificados</w:t>
      </w:r>
      <w:r w:rsidRPr="009120FE">
        <w:rPr>
          <w:rFonts w:ascii="Arial" w:hAnsi="Arial" w:cs="Arial"/>
          <w:b/>
          <w:sz w:val="20"/>
          <w:szCs w:val="20"/>
        </w:rPr>
        <w:t xml:space="preserve"> por la Asamblea Nacional; </w:t>
      </w:r>
      <w:r w:rsidRPr="009120FE">
        <w:rPr>
          <w:rFonts w:ascii="Arial" w:hAnsi="Arial" w:cs="Arial"/>
          <w:b/>
          <w:bCs/>
          <w:sz w:val="20"/>
          <w:szCs w:val="20"/>
        </w:rPr>
        <w:t>y de los cuales al</w:t>
      </w:r>
      <w:r w:rsidRPr="009120FE">
        <w:rPr>
          <w:rFonts w:ascii="Arial" w:hAnsi="Arial" w:cs="Arial"/>
          <w:b/>
          <w:sz w:val="20"/>
          <w:szCs w:val="20"/>
        </w:rPr>
        <w:t xml:space="preserve"> </w:t>
      </w:r>
      <w:r w:rsidRPr="009120FE">
        <w:rPr>
          <w:rFonts w:ascii="Arial" w:hAnsi="Arial" w:cs="Arial"/>
          <w:b/>
          <w:bCs/>
          <w:sz w:val="20"/>
          <w:szCs w:val="20"/>
        </w:rPr>
        <w:t>menos el cuarenta por ciento serán de género distinto;</w:t>
      </w:r>
      <w:r w:rsidRPr="009120FE">
        <w:rPr>
          <w:rFonts w:ascii="Arial" w:hAnsi="Arial" w:cs="Arial"/>
          <w:bCs/>
          <w:sz w:val="20"/>
          <w:szCs w:val="20"/>
        </w:rPr>
        <w:t xml:space="preserve"> y</w:t>
      </w:r>
    </w:p>
    <w:p w14:paraId="3E96F061" w14:textId="77777777" w:rsidR="003625FE" w:rsidRPr="009120FE" w:rsidRDefault="003625FE" w:rsidP="009120FE">
      <w:pPr>
        <w:pStyle w:val="NormalWeb"/>
        <w:spacing w:before="0" w:beforeAutospacing="0" w:after="0" w:afterAutospacing="0"/>
        <w:ind w:left="709" w:right="616"/>
        <w:jc w:val="both"/>
        <w:rPr>
          <w:rFonts w:ascii="Arial" w:hAnsi="Arial" w:cs="Arial"/>
          <w:bCs/>
          <w:sz w:val="20"/>
          <w:szCs w:val="20"/>
        </w:rPr>
      </w:pPr>
      <w:r w:rsidRPr="009120FE">
        <w:rPr>
          <w:rFonts w:ascii="Arial" w:hAnsi="Arial" w:cs="Arial"/>
          <w:bCs/>
          <w:sz w:val="20"/>
          <w:szCs w:val="20"/>
        </w:rPr>
        <w:t>m) Treinta Consejeros Electos, propuestos por la Comisión Permanente, de los cuales al menos el cuarenta por ciento serán de género distinto.</w:t>
      </w:r>
    </w:p>
    <w:p w14:paraId="3F9085E4" w14:textId="77777777" w:rsidR="003625FE" w:rsidRPr="009120FE" w:rsidRDefault="003625FE" w:rsidP="009120FE">
      <w:pPr>
        <w:pStyle w:val="NormalWeb"/>
        <w:spacing w:before="0" w:beforeAutospacing="0" w:after="0" w:afterAutospacing="0"/>
        <w:ind w:left="709" w:right="616"/>
        <w:jc w:val="both"/>
        <w:rPr>
          <w:rFonts w:ascii="Arial" w:hAnsi="Arial" w:cs="Arial"/>
          <w:b/>
          <w:bCs/>
          <w:sz w:val="20"/>
          <w:szCs w:val="20"/>
        </w:rPr>
      </w:pPr>
    </w:p>
    <w:p w14:paraId="266D4EB3" w14:textId="77777777" w:rsidR="003625FE" w:rsidRPr="009120FE" w:rsidRDefault="003625FE" w:rsidP="009120FE">
      <w:pPr>
        <w:pStyle w:val="NormalWeb"/>
        <w:spacing w:before="0" w:beforeAutospacing="0" w:after="0" w:afterAutospacing="0"/>
        <w:ind w:left="709" w:right="616"/>
        <w:jc w:val="both"/>
        <w:rPr>
          <w:rFonts w:ascii="Arial" w:hAnsi="Arial" w:cs="Arial"/>
          <w:b/>
          <w:bCs/>
          <w:sz w:val="20"/>
          <w:szCs w:val="20"/>
        </w:rPr>
      </w:pPr>
      <w:r w:rsidRPr="009120FE">
        <w:rPr>
          <w:rFonts w:ascii="Arial" w:hAnsi="Arial" w:cs="Arial"/>
          <w:b/>
          <w:bCs/>
          <w:sz w:val="20"/>
          <w:szCs w:val="20"/>
        </w:rPr>
        <w:t>Artículo 26</w:t>
      </w:r>
    </w:p>
    <w:p w14:paraId="4A70FED2" w14:textId="77777777" w:rsidR="003625FE" w:rsidRPr="009120FE" w:rsidRDefault="003625FE" w:rsidP="009120FE">
      <w:pPr>
        <w:pStyle w:val="NormalWeb"/>
        <w:spacing w:before="0" w:beforeAutospacing="0" w:after="0" w:afterAutospacing="0"/>
        <w:ind w:left="709" w:right="616"/>
        <w:jc w:val="both"/>
        <w:rPr>
          <w:rFonts w:ascii="Arial" w:hAnsi="Arial" w:cs="Arial"/>
          <w:sz w:val="20"/>
          <w:szCs w:val="20"/>
        </w:rPr>
      </w:pPr>
      <w:r w:rsidRPr="009120FE">
        <w:rPr>
          <w:rFonts w:ascii="Arial" w:hAnsi="Arial" w:cs="Arial"/>
          <w:bCs/>
          <w:sz w:val="20"/>
          <w:szCs w:val="20"/>
        </w:rPr>
        <w:t>1.</w:t>
      </w:r>
      <w:r w:rsidRPr="009120FE">
        <w:rPr>
          <w:rFonts w:ascii="Arial" w:hAnsi="Arial" w:cs="Arial"/>
          <w:sz w:val="20"/>
          <w:szCs w:val="20"/>
        </w:rPr>
        <w:t xml:space="preserve"> Para ser electo Consejero Nacional se requiere:</w:t>
      </w:r>
    </w:p>
    <w:p w14:paraId="6BEC974D" w14:textId="77777777" w:rsidR="003625FE" w:rsidRPr="009120FE" w:rsidRDefault="003625FE" w:rsidP="009120FE">
      <w:pPr>
        <w:pStyle w:val="NormalWeb"/>
        <w:spacing w:before="0" w:beforeAutospacing="0" w:after="0" w:afterAutospacing="0"/>
        <w:ind w:left="709" w:right="616"/>
        <w:jc w:val="both"/>
        <w:rPr>
          <w:rFonts w:ascii="Arial" w:hAnsi="Arial" w:cs="Arial"/>
          <w:sz w:val="20"/>
          <w:szCs w:val="20"/>
        </w:rPr>
      </w:pPr>
      <w:r w:rsidRPr="009120FE">
        <w:rPr>
          <w:rFonts w:ascii="Arial" w:hAnsi="Arial" w:cs="Arial"/>
          <w:sz w:val="20"/>
          <w:szCs w:val="20"/>
        </w:rPr>
        <w:t xml:space="preserve">a) </w:t>
      </w:r>
      <w:r w:rsidRPr="009120FE">
        <w:rPr>
          <w:rFonts w:ascii="Arial" w:hAnsi="Arial" w:cs="Arial"/>
          <w:bCs/>
          <w:sz w:val="20"/>
          <w:szCs w:val="20"/>
        </w:rPr>
        <w:t>Tener una</w:t>
      </w:r>
      <w:r w:rsidRPr="009120FE">
        <w:rPr>
          <w:rFonts w:ascii="Arial" w:hAnsi="Arial" w:cs="Arial"/>
          <w:sz w:val="20"/>
          <w:szCs w:val="20"/>
        </w:rPr>
        <w:t xml:space="preserve"> militancia de por lo menos cinco años;</w:t>
      </w:r>
    </w:p>
    <w:p w14:paraId="6E755D15" w14:textId="77777777" w:rsidR="003625FE" w:rsidRPr="009120FE" w:rsidRDefault="003625FE" w:rsidP="009120FE">
      <w:pPr>
        <w:pStyle w:val="NormalWeb"/>
        <w:spacing w:before="0" w:beforeAutospacing="0" w:after="0" w:afterAutospacing="0"/>
        <w:ind w:left="709" w:right="616"/>
        <w:jc w:val="both"/>
        <w:rPr>
          <w:rFonts w:ascii="Arial" w:hAnsi="Arial" w:cs="Arial"/>
          <w:sz w:val="20"/>
          <w:szCs w:val="20"/>
        </w:rPr>
      </w:pPr>
      <w:r w:rsidRPr="009120FE">
        <w:rPr>
          <w:rFonts w:ascii="Arial" w:hAnsi="Arial" w:cs="Arial"/>
          <w:sz w:val="20"/>
          <w:szCs w:val="20"/>
        </w:rPr>
        <w:t>b) Haberse significado por la lealtad a la doctrina y la observancia de estos Estatutos y demás disposiciones reglamentarias;</w:t>
      </w:r>
    </w:p>
    <w:p w14:paraId="2780CF10" w14:textId="77777777" w:rsidR="003625FE" w:rsidRPr="009120FE" w:rsidRDefault="003625FE" w:rsidP="009120FE">
      <w:pPr>
        <w:pStyle w:val="NormalWeb"/>
        <w:spacing w:before="0" w:beforeAutospacing="0" w:after="0" w:afterAutospacing="0"/>
        <w:ind w:left="709" w:right="616"/>
        <w:jc w:val="both"/>
        <w:rPr>
          <w:rFonts w:ascii="Arial" w:hAnsi="Arial" w:cs="Arial"/>
          <w:sz w:val="20"/>
          <w:szCs w:val="20"/>
        </w:rPr>
      </w:pPr>
      <w:r w:rsidRPr="009120FE">
        <w:rPr>
          <w:rFonts w:ascii="Arial" w:hAnsi="Arial" w:cs="Arial"/>
          <w:sz w:val="20"/>
          <w:szCs w:val="20"/>
        </w:rPr>
        <w:t>c) No haber sido sancionado por la</w:t>
      </w:r>
      <w:r w:rsidRPr="009120FE">
        <w:rPr>
          <w:rFonts w:ascii="Arial" w:hAnsi="Arial" w:cs="Arial"/>
          <w:bCs/>
          <w:sz w:val="20"/>
          <w:szCs w:val="20"/>
        </w:rPr>
        <w:t>s</w:t>
      </w:r>
      <w:r w:rsidRPr="009120FE">
        <w:rPr>
          <w:rFonts w:ascii="Arial" w:hAnsi="Arial" w:cs="Arial"/>
          <w:sz w:val="20"/>
          <w:szCs w:val="20"/>
        </w:rPr>
        <w:t xml:space="preserve"> Comisi</w:t>
      </w:r>
      <w:r w:rsidRPr="009120FE">
        <w:rPr>
          <w:rFonts w:ascii="Arial" w:hAnsi="Arial" w:cs="Arial"/>
          <w:bCs/>
          <w:sz w:val="20"/>
          <w:szCs w:val="20"/>
        </w:rPr>
        <w:t>o</w:t>
      </w:r>
      <w:r w:rsidRPr="009120FE">
        <w:rPr>
          <w:rFonts w:ascii="Arial" w:hAnsi="Arial" w:cs="Arial"/>
          <w:sz w:val="20"/>
          <w:szCs w:val="20"/>
        </w:rPr>
        <w:t>n</w:t>
      </w:r>
      <w:r w:rsidRPr="009120FE">
        <w:rPr>
          <w:rFonts w:ascii="Arial" w:hAnsi="Arial" w:cs="Arial"/>
          <w:bCs/>
          <w:sz w:val="20"/>
          <w:szCs w:val="20"/>
        </w:rPr>
        <w:t>es</w:t>
      </w:r>
      <w:r w:rsidRPr="009120FE">
        <w:rPr>
          <w:rFonts w:ascii="Arial" w:hAnsi="Arial" w:cs="Arial"/>
          <w:sz w:val="20"/>
          <w:szCs w:val="20"/>
        </w:rPr>
        <w:t xml:space="preserve"> de Orden en los tres años anteriores a la elección;</w:t>
      </w:r>
    </w:p>
    <w:p w14:paraId="139469F6" w14:textId="77777777" w:rsidR="003625FE" w:rsidRPr="009120FE" w:rsidRDefault="003625FE" w:rsidP="009120FE">
      <w:pPr>
        <w:pStyle w:val="NormalWeb"/>
        <w:spacing w:before="0" w:beforeAutospacing="0" w:after="0" w:afterAutospacing="0"/>
        <w:ind w:left="709" w:right="616"/>
        <w:jc w:val="both"/>
        <w:rPr>
          <w:rFonts w:ascii="Arial" w:hAnsi="Arial" w:cs="Arial"/>
          <w:sz w:val="20"/>
          <w:szCs w:val="20"/>
        </w:rPr>
      </w:pPr>
      <w:r w:rsidRPr="009120FE">
        <w:rPr>
          <w:rFonts w:ascii="Arial" w:hAnsi="Arial" w:cs="Arial"/>
          <w:sz w:val="20"/>
          <w:szCs w:val="20"/>
        </w:rPr>
        <w:t xml:space="preserve">d) </w:t>
      </w:r>
      <w:r w:rsidRPr="009120FE">
        <w:rPr>
          <w:rFonts w:ascii="Arial" w:hAnsi="Arial" w:cs="Arial"/>
          <w:bCs/>
          <w:sz w:val="20"/>
          <w:szCs w:val="20"/>
        </w:rPr>
        <w:t>Acreditar</w:t>
      </w:r>
      <w:r w:rsidRPr="009120FE">
        <w:rPr>
          <w:rFonts w:ascii="Arial" w:hAnsi="Arial" w:cs="Arial"/>
          <w:sz w:val="20"/>
          <w:szCs w:val="20"/>
        </w:rPr>
        <w:t xml:space="preserve"> la evaluación correspondiente, en los términos de la convocatoria;</w:t>
      </w:r>
    </w:p>
    <w:p w14:paraId="3FB1D158" w14:textId="77777777" w:rsidR="003625FE" w:rsidRPr="009120FE" w:rsidRDefault="003625FE" w:rsidP="009120FE">
      <w:pPr>
        <w:pStyle w:val="NormalWeb"/>
        <w:spacing w:before="0" w:beforeAutospacing="0" w:after="0" w:afterAutospacing="0"/>
        <w:ind w:left="709" w:right="616"/>
        <w:jc w:val="both"/>
        <w:rPr>
          <w:rFonts w:ascii="Arial" w:hAnsi="Arial" w:cs="Arial"/>
          <w:bCs/>
          <w:sz w:val="20"/>
          <w:szCs w:val="20"/>
        </w:rPr>
      </w:pPr>
      <w:r w:rsidRPr="009120FE">
        <w:rPr>
          <w:rFonts w:ascii="Arial" w:hAnsi="Arial" w:cs="Arial"/>
          <w:bCs/>
          <w:sz w:val="20"/>
          <w:szCs w:val="20"/>
        </w:rPr>
        <w:t>e) Haber participado como integrante de algún Comité Directivo Municipal, Estatal o Nacional, o consejos estatal o nacional, o haber sido candidato propietario a algún cargo de elección popular; y</w:t>
      </w:r>
    </w:p>
    <w:p w14:paraId="23B8E1AE" w14:textId="77777777" w:rsidR="003625FE" w:rsidRPr="009120FE" w:rsidRDefault="003625FE" w:rsidP="009120FE">
      <w:pPr>
        <w:pStyle w:val="NormalWeb"/>
        <w:spacing w:before="0" w:beforeAutospacing="0" w:after="0" w:afterAutospacing="0"/>
        <w:ind w:left="709" w:right="616"/>
        <w:jc w:val="both"/>
        <w:rPr>
          <w:rFonts w:ascii="Arial" w:hAnsi="Arial" w:cs="Arial"/>
          <w:bCs/>
          <w:sz w:val="20"/>
          <w:szCs w:val="20"/>
        </w:rPr>
      </w:pPr>
      <w:r w:rsidRPr="009120FE">
        <w:rPr>
          <w:rFonts w:ascii="Arial" w:hAnsi="Arial" w:cs="Arial"/>
          <w:bCs/>
          <w:sz w:val="20"/>
          <w:szCs w:val="20"/>
        </w:rPr>
        <w:t>f) No haber sido removido como consejero nacional o estatal, en el periodo inmediato anterior, en términos del artículo 31, numeral 3 de los Estatutos.</w:t>
      </w:r>
    </w:p>
    <w:p w14:paraId="06B69958" w14:textId="77777777" w:rsidR="003625FE" w:rsidRPr="009120FE" w:rsidRDefault="003625FE" w:rsidP="009120FE">
      <w:pPr>
        <w:pStyle w:val="NormalWeb"/>
        <w:spacing w:before="0" w:beforeAutospacing="0" w:after="0" w:afterAutospacing="0"/>
        <w:ind w:left="709" w:right="616"/>
        <w:jc w:val="both"/>
        <w:rPr>
          <w:rFonts w:ascii="Arial" w:hAnsi="Arial" w:cs="Arial"/>
          <w:b/>
          <w:bCs/>
          <w:sz w:val="20"/>
          <w:szCs w:val="20"/>
        </w:rPr>
      </w:pPr>
    </w:p>
    <w:p w14:paraId="2625833C" w14:textId="77777777" w:rsidR="003625FE" w:rsidRPr="009120FE" w:rsidRDefault="003625FE" w:rsidP="009120FE">
      <w:pPr>
        <w:pStyle w:val="NormalWeb"/>
        <w:spacing w:before="0" w:beforeAutospacing="0" w:after="0" w:afterAutospacing="0"/>
        <w:ind w:left="709" w:right="616"/>
        <w:jc w:val="both"/>
        <w:rPr>
          <w:rFonts w:ascii="Arial" w:hAnsi="Arial" w:cs="Arial"/>
          <w:b/>
          <w:bCs/>
          <w:sz w:val="20"/>
          <w:szCs w:val="20"/>
        </w:rPr>
      </w:pPr>
      <w:r w:rsidRPr="009120FE">
        <w:rPr>
          <w:rFonts w:ascii="Arial" w:hAnsi="Arial" w:cs="Arial"/>
          <w:b/>
          <w:bCs/>
          <w:sz w:val="20"/>
          <w:szCs w:val="20"/>
        </w:rPr>
        <w:t>Artículo 27</w:t>
      </w:r>
    </w:p>
    <w:p w14:paraId="08286C77" w14:textId="77777777" w:rsidR="003625FE" w:rsidRPr="009120FE" w:rsidRDefault="003625FE" w:rsidP="009120FE">
      <w:pPr>
        <w:pStyle w:val="NormalWeb"/>
        <w:spacing w:before="0" w:beforeAutospacing="0" w:after="0" w:afterAutospacing="0"/>
        <w:ind w:left="709" w:right="616"/>
        <w:jc w:val="both"/>
        <w:rPr>
          <w:rFonts w:ascii="Arial" w:hAnsi="Arial" w:cs="Arial"/>
          <w:sz w:val="20"/>
          <w:szCs w:val="20"/>
        </w:rPr>
      </w:pPr>
      <w:r w:rsidRPr="009120FE">
        <w:rPr>
          <w:rFonts w:ascii="Arial" w:hAnsi="Arial" w:cs="Arial"/>
          <w:bCs/>
          <w:sz w:val="20"/>
          <w:szCs w:val="20"/>
        </w:rPr>
        <w:t>1.</w:t>
      </w:r>
      <w:r w:rsidRPr="009120FE">
        <w:rPr>
          <w:rFonts w:ascii="Arial" w:hAnsi="Arial" w:cs="Arial"/>
          <w:sz w:val="20"/>
          <w:szCs w:val="20"/>
        </w:rPr>
        <w:t xml:space="preserve"> Para la elección de los Consejeros Nacionales a que se refiere el inciso l) del artículo </w:t>
      </w:r>
      <w:r w:rsidRPr="009120FE">
        <w:rPr>
          <w:rFonts w:ascii="Arial" w:hAnsi="Arial" w:cs="Arial"/>
          <w:bCs/>
          <w:sz w:val="20"/>
          <w:szCs w:val="20"/>
        </w:rPr>
        <w:t>25</w:t>
      </w:r>
      <w:r w:rsidRPr="009120FE">
        <w:rPr>
          <w:rFonts w:ascii="Arial" w:hAnsi="Arial" w:cs="Arial"/>
          <w:sz w:val="20"/>
          <w:szCs w:val="20"/>
        </w:rPr>
        <w:t xml:space="preserve">, se procederá, </w:t>
      </w:r>
      <w:r w:rsidRPr="009120FE">
        <w:rPr>
          <w:rFonts w:ascii="Arial" w:hAnsi="Arial" w:cs="Arial"/>
          <w:bCs/>
          <w:sz w:val="20"/>
          <w:szCs w:val="20"/>
        </w:rPr>
        <w:t>previa convocatoria emitida por el Comité Ejecutivo Nacional,</w:t>
      </w:r>
      <w:r w:rsidRPr="009120FE">
        <w:rPr>
          <w:rFonts w:ascii="Arial" w:hAnsi="Arial" w:cs="Arial"/>
          <w:sz w:val="20"/>
          <w:szCs w:val="20"/>
        </w:rPr>
        <w:t xml:space="preserve"> de acuerdo </w:t>
      </w:r>
      <w:r w:rsidRPr="009120FE">
        <w:rPr>
          <w:rFonts w:ascii="Arial" w:hAnsi="Arial" w:cs="Arial"/>
          <w:bCs/>
          <w:sz w:val="20"/>
          <w:szCs w:val="20"/>
        </w:rPr>
        <w:t>con lo</w:t>
      </w:r>
      <w:r w:rsidRPr="009120FE">
        <w:rPr>
          <w:rFonts w:ascii="Arial" w:hAnsi="Arial" w:cs="Arial"/>
          <w:sz w:val="20"/>
          <w:szCs w:val="20"/>
        </w:rPr>
        <w:t xml:space="preserve"> siguiente:</w:t>
      </w:r>
    </w:p>
    <w:p w14:paraId="11D5D8A4" w14:textId="77777777" w:rsidR="003625FE" w:rsidRPr="009120FE" w:rsidRDefault="003625FE" w:rsidP="009120FE">
      <w:pPr>
        <w:pStyle w:val="NormalWeb"/>
        <w:spacing w:before="0" w:beforeAutospacing="0" w:after="0" w:afterAutospacing="0"/>
        <w:ind w:left="709" w:right="616"/>
        <w:jc w:val="both"/>
        <w:rPr>
          <w:rFonts w:ascii="Arial" w:hAnsi="Arial" w:cs="Arial"/>
          <w:bCs/>
          <w:sz w:val="20"/>
          <w:szCs w:val="20"/>
        </w:rPr>
      </w:pPr>
      <w:r w:rsidRPr="009120FE">
        <w:rPr>
          <w:rFonts w:ascii="Arial" w:hAnsi="Arial" w:cs="Arial"/>
          <w:bCs/>
          <w:sz w:val="20"/>
          <w:szCs w:val="20"/>
        </w:rPr>
        <w:t>a) Del total de 270, cada entidad elegirá el número de consejeros que le corresponda al ponderar los siguientes factores:</w:t>
      </w:r>
    </w:p>
    <w:p w14:paraId="53E4C306" w14:textId="77777777" w:rsidR="003625FE" w:rsidRPr="009120FE" w:rsidRDefault="003625FE" w:rsidP="009120FE">
      <w:pPr>
        <w:pStyle w:val="NormalWeb"/>
        <w:spacing w:before="0" w:beforeAutospacing="0" w:after="0" w:afterAutospacing="0"/>
        <w:ind w:left="709" w:right="616"/>
        <w:jc w:val="both"/>
        <w:rPr>
          <w:rFonts w:ascii="Arial" w:hAnsi="Arial" w:cs="Arial"/>
          <w:bCs/>
          <w:sz w:val="20"/>
          <w:szCs w:val="20"/>
        </w:rPr>
      </w:pPr>
      <w:r w:rsidRPr="009120FE">
        <w:rPr>
          <w:rFonts w:ascii="Arial" w:hAnsi="Arial" w:cs="Arial"/>
          <w:bCs/>
          <w:sz w:val="20"/>
          <w:szCs w:val="20"/>
        </w:rPr>
        <w:t xml:space="preserve">I. Noventa Consejeros se distribuirán </w:t>
      </w:r>
      <w:proofErr w:type="gramStart"/>
      <w:r w:rsidRPr="009120FE">
        <w:rPr>
          <w:rFonts w:ascii="Arial" w:hAnsi="Arial" w:cs="Arial"/>
          <w:bCs/>
          <w:sz w:val="20"/>
          <w:szCs w:val="20"/>
        </w:rPr>
        <w:t>de acuerdo al</w:t>
      </w:r>
      <w:proofErr w:type="gramEnd"/>
      <w:r w:rsidRPr="009120FE">
        <w:rPr>
          <w:rFonts w:ascii="Arial" w:hAnsi="Arial" w:cs="Arial"/>
          <w:bCs/>
          <w:sz w:val="20"/>
          <w:szCs w:val="20"/>
        </w:rPr>
        <w:t xml:space="preserve"> porcentaje de votos obtenidos por el Partido Acción Nacional en la entidad en la última elección de diputados federales, en relación con el total de votos emitidos en la misma, dividida entre la suma de dichos porcentajes;</w:t>
      </w:r>
    </w:p>
    <w:p w14:paraId="0A1AA6E8" w14:textId="77777777" w:rsidR="003625FE" w:rsidRPr="009120FE" w:rsidRDefault="003625FE" w:rsidP="009120FE">
      <w:pPr>
        <w:pStyle w:val="NormalWeb"/>
        <w:spacing w:before="0" w:beforeAutospacing="0" w:after="0" w:afterAutospacing="0"/>
        <w:ind w:left="709" w:right="616"/>
        <w:jc w:val="both"/>
        <w:rPr>
          <w:rFonts w:ascii="Arial" w:hAnsi="Arial" w:cs="Arial"/>
          <w:bCs/>
          <w:sz w:val="20"/>
          <w:szCs w:val="20"/>
        </w:rPr>
      </w:pPr>
      <w:r w:rsidRPr="009120FE">
        <w:rPr>
          <w:rFonts w:ascii="Arial" w:hAnsi="Arial" w:cs="Arial"/>
          <w:bCs/>
          <w:sz w:val="20"/>
          <w:szCs w:val="20"/>
        </w:rPr>
        <w:t xml:space="preserve">II. Noventa Consejeros se distribuirán </w:t>
      </w:r>
      <w:proofErr w:type="gramStart"/>
      <w:r w:rsidRPr="009120FE">
        <w:rPr>
          <w:rFonts w:ascii="Arial" w:hAnsi="Arial" w:cs="Arial"/>
          <w:bCs/>
          <w:sz w:val="20"/>
          <w:szCs w:val="20"/>
        </w:rPr>
        <w:t>de acuerdo al</w:t>
      </w:r>
      <w:proofErr w:type="gramEnd"/>
      <w:r w:rsidRPr="009120FE">
        <w:rPr>
          <w:rFonts w:ascii="Arial" w:hAnsi="Arial" w:cs="Arial"/>
          <w:bCs/>
          <w:sz w:val="20"/>
          <w:szCs w:val="20"/>
        </w:rPr>
        <w:t xml:space="preserve"> porcentaje de votos que la entidad aporta a la votación nacional del Partido, de acuerdo con la última votación para la elección de diputados federales; y</w:t>
      </w:r>
    </w:p>
    <w:p w14:paraId="3B81D112" w14:textId="77777777" w:rsidR="003625FE" w:rsidRPr="009120FE" w:rsidRDefault="003625FE" w:rsidP="009120FE">
      <w:pPr>
        <w:pStyle w:val="NormalWeb"/>
        <w:spacing w:before="0" w:beforeAutospacing="0" w:after="0" w:afterAutospacing="0"/>
        <w:ind w:left="709" w:right="616"/>
        <w:jc w:val="both"/>
        <w:rPr>
          <w:rFonts w:ascii="Arial" w:hAnsi="Arial" w:cs="Arial"/>
          <w:bCs/>
          <w:sz w:val="20"/>
          <w:szCs w:val="20"/>
        </w:rPr>
      </w:pPr>
      <w:r w:rsidRPr="009120FE">
        <w:rPr>
          <w:rFonts w:ascii="Arial" w:hAnsi="Arial" w:cs="Arial"/>
          <w:bCs/>
          <w:sz w:val="20"/>
          <w:szCs w:val="20"/>
        </w:rPr>
        <w:t xml:space="preserve">III. Noventa Consejeros se distribuirán </w:t>
      </w:r>
      <w:proofErr w:type="gramStart"/>
      <w:r w:rsidRPr="009120FE">
        <w:rPr>
          <w:rFonts w:ascii="Arial" w:hAnsi="Arial" w:cs="Arial"/>
          <w:bCs/>
          <w:sz w:val="20"/>
          <w:szCs w:val="20"/>
        </w:rPr>
        <w:t>de acuerdo al</w:t>
      </w:r>
      <w:proofErr w:type="gramEnd"/>
      <w:r w:rsidRPr="009120FE">
        <w:rPr>
          <w:rFonts w:ascii="Arial" w:hAnsi="Arial" w:cs="Arial"/>
          <w:bCs/>
          <w:sz w:val="20"/>
          <w:szCs w:val="20"/>
        </w:rPr>
        <w:t xml:space="preserve"> número de militantes que tenga el Partido en la entidad con respecto al padrón nacional.</w:t>
      </w:r>
    </w:p>
    <w:p w14:paraId="7E3E819E" w14:textId="77777777" w:rsidR="003625FE" w:rsidRPr="009120FE" w:rsidRDefault="003625FE" w:rsidP="009120FE">
      <w:pPr>
        <w:pStyle w:val="NormalWeb"/>
        <w:spacing w:before="0" w:beforeAutospacing="0" w:after="0" w:afterAutospacing="0"/>
        <w:ind w:left="709" w:right="616"/>
        <w:jc w:val="both"/>
        <w:rPr>
          <w:rFonts w:ascii="Arial" w:hAnsi="Arial" w:cs="Arial"/>
          <w:b/>
          <w:bCs/>
          <w:sz w:val="20"/>
          <w:szCs w:val="20"/>
        </w:rPr>
      </w:pPr>
      <w:r w:rsidRPr="009120FE">
        <w:rPr>
          <w:rFonts w:ascii="Arial" w:hAnsi="Arial" w:cs="Arial"/>
          <w:b/>
          <w:bCs/>
          <w:sz w:val="20"/>
          <w:szCs w:val="20"/>
        </w:rPr>
        <w:t>b)</w:t>
      </w:r>
      <w:r w:rsidRPr="009120FE">
        <w:rPr>
          <w:rFonts w:ascii="Arial" w:hAnsi="Arial" w:cs="Arial"/>
          <w:b/>
          <w:sz w:val="20"/>
          <w:szCs w:val="20"/>
        </w:rPr>
        <w:t xml:space="preserve"> Mediante Asambleas Municipales celebradas al efecto se podrá proponer a la Asamblea Estatal </w:t>
      </w:r>
      <w:r w:rsidRPr="009120FE">
        <w:rPr>
          <w:rFonts w:ascii="Arial" w:hAnsi="Arial" w:cs="Arial"/>
          <w:b/>
          <w:bCs/>
          <w:sz w:val="20"/>
          <w:szCs w:val="20"/>
        </w:rPr>
        <w:t xml:space="preserve">la cantidad </w:t>
      </w:r>
      <w:r w:rsidRPr="009120FE">
        <w:rPr>
          <w:rFonts w:ascii="Arial" w:hAnsi="Arial" w:cs="Arial"/>
          <w:b/>
          <w:sz w:val="20"/>
          <w:szCs w:val="20"/>
        </w:rPr>
        <w:t xml:space="preserve">de candidatos que determine el Reglamento </w:t>
      </w:r>
      <w:r w:rsidRPr="009120FE">
        <w:rPr>
          <w:rFonts w:ascii="Arial" w:hAnsi="Arial" w:cs="Arial"/>
          <w:b/>
          <w:bCs/>
          <w:sz w:val="20"/>
          <w:szCs w:val="20"/>
        </w:rPr>
        <w:t>respectivo, obteniéndose una lista de candidatos que será</w:t>
      </w:r>
      <w:r w:rsidRPr="009120FE">
        <w:rPr>
          <w:rFonts w:ascii="Arial" w:hAnsi="Arial" w:cs="Arial"/>
          <w:b/>
          <w:sz w:val="20"/>
          <w:szCs w:val="20"/>
        </w:rPr>
        <w:t xml:space="preserve"> </w:t>
      </w:r>
      <w:r w:rsidRPr="009120FE">
        <w:rPr>
          <w:rFonts w:ascii="Arial" w:hAnsi="Arial" w:cs="Arial"/>
          <w:b/>
          <w:bCs/>
          <w:sz w:val="20"/>
          <w:szCs w:val="20"/>
        </w:rPr>
        <w:t>votada en la Asamblea Estatal conforme a la Convocatoria Nacional y Estatal correspondiente.</w:t>
      </w:r>
    </w:p>
    <w:p w14:paraId="3EFF81AF" w14:textId="77777777" w:rsidR="003625FE" w:rsidRPr="009120FE" w:rsidRDefault="003625FE" w:rsidP="009120FE">
      <w:pPr>
        <w:pStyle w:val="NormalWeb"/>
        <w:spacing w:before="0" w:beforeAutospacing="0" w:after="0" w:afterAutospacing="0"/>
        <w:ind w:left="709" w:right="616"/>
        <w:jc w:val="both"/>
        <w:rPr>
          <w:rFonts w:ascii="Arial" w:hAnsi="Arial" w:cs="Arial"/>
          <w:b/>
          <w:bCs/>
          <w:sz w:val="20"/>
          <w:szCs w:val="20"/>
        </w:rPr>
      </w:pPr>
      <w:r w:rsidRPr="009120FE">
        <w:rPr>
          <w:rFonts w:ascii="Arial" w:hAnsi="Arial" w:cs="Arial"/>
          <w:b/>
          <w:bCs/>
          <w:sz w:val="20"/>
          <w:szCs w:val="20"/>
        </w:rPr>
        <w:t xml:space="preserve">Se votará por el 40% del número de </w:t>
      </w:r>
      <w:proofErr w:type="gramStart"/>
      <w:r w:rsidRPr="009120FE">
        <w:rPr>
          <w:rFonts w:ascii="Arial" w:hAnsi="Arial" w:cs="Arial"/>
          <w:b/>
          <w:bCs/>
          <w:sz w:val="20"/>
          <w:szCs w:val="20"/>
        </w:rPr>
        <w:t>Consejeros</w:t>
      </w:r>
      <w:proofErr w:type="gramEnd"/>
      <w:r w:rsidRPr="009120FE">
        <w:rPr>
          <w:rFonts w:ascii="Arial" w:hAnsi="Arial" w:cs="Arial"/>
          <w:b/>
          <w:bCs/>
          <w:sz w:val="20"/>
          <w:szCs w:val="20"/>
        </w:rPr>
        <w:t xml:space="preserve"> a que tenga derecho la entidad de que se trate.</w:t>
      </w:r>
    </w:p>
    <w:p w14:paraId="6B1EF701" w14:textId="77777777" w:rsidR="003625FE" w:rsidRPr="009120FE" w:rsidRDefault="003625FE" w:rsidP="009120FE">
      <w:pPr>
        <w:pStyle w:val="NormalWeb"/>
        <w:spacing w:before="0" w:beforeAutospacing="0" w:after="0" w:afterAutospacing="0"/>
        <w:ind w:left="709" w:right="616"/>
        <w:jc w:val="both"/>
        <w:rPr>
          <w:rFonts w:ascii="Arial" w:hAnsi="Arial" w:cs="Arial"/>
          <w:b/>
          <w:bCs/>
          <w:sz w:val="20"/>
          <w:szCs w:val="20"/>
        </w:rPr>
      </w:pPr>
      <w:r w:rsidRPr="009120FE">
        <w:rPr>
          <w:rFonts w:ascii="Arial" w:hAnsi="Arial" w:cs="Arial"/>
          <w:b/>
          <w:bCs/>
          <w:sz w:val="20"/>
          <w:szCs w:val="20"/>
        </w:rPr>
        <w:t xml:space="preserve">Las fracciones se redondearán </w:t>
      </w:r>
      <w:proofErr w:type="gramStart"/>
      <w:r w:rsidRPr="009120FE">
        <w:rPr>
          <w:rFonts w:ascii="Arial" w:hAnsi="Arial" w:cs="Arial"/>
          <w:b/>
          <w:bCs/>
          <w:sz w:val="20"/>
          <w:szCs w:val="20"/>
        </w:rPr>
        <w:t>de acuerdo a</w:t>
      </w:r>
      <w:proofErr w:type="gramEnd"/>
      <w:r w:rsidRPr="009120FE">
        <w:rPr>
          <w:rFonts w:ascii="Arial" w:hAnsi="Arial" w:cs="Arial"/>
          <w:b/>
          <w:bCs/>
          <w:sz w:val="20"/>
          <w:szCs w:val="20"/>
        </w:rPr>
        <w:t xml:space="preserve"> la unidad más próxima.</w:t>
      </w:r>
    </w:p>
    <w:p w14:paraId="1DF6D8CD" w14:textId="77777777" w:rsidR="003625FE" w:rsidRPr="009120FE" w:rsidRDefault="003625FE" w:rsidP="009120FE">
      <w:pPr>
        <w:pStyle w:val="NormalWeb"/>
        <w:spacing w:before="0" w:beforeAutospacing="0" w:after="0" w:afterAutospacing="0"/>
        <w:ind w:left="709" w:right="616"/>
        <w:jc w:val="both"/>
        <w:rPr>
          <w:rFonts w:ascii="Arial" w:hAnsi="Arial" w:cs="Arial"/>
          <w:bCs/>
          <w:sz w:val="20"/>
          <w:szCs w:val="20"/>
        </w:rPr>
      </w:pPr>
      <w:r w:rsidRPr="009120FE">
        <w:rPr>
          <w:rFonts w:ascii="Arial" w:hAnsi="Arial" w:cs="Arial"/>
          <w:bCs/>
          <w:sz w:val="20"/>
          <w:szCs w:val="20"/>
        </w:rPr>
        <w:t>c) Los Consejeros Nacionales electos serán ratificados por la Asamblea Nacional que se reunirá a más tardar dentro del mes siguiente a la celebración de la última Asamblea Estatal a que se refiere el inciso a) del presente artículo.</w:t>
      </w:r>
    </w:p>
    <w:p w14:paraId="21E7F8A1" w14:textId="77777777" w:rsidR="003625FE" w:rsidRPr="009120FE" w:rsidRDefault="003625FE" w:rsidP="009120FE">
      <w:pPr>
        <w:pStyle w:val="NormalWeb"/>
        <w:spacing w:before="0" w:beforeAutospacing="0" w:after="0" w:afterAutospacing="0"/>
        <w:ind w:left="709" w:right="616"/>
        <w:jc w:val="both"/>
        <w:rPr>
          <w:rFonts w:ascii="Arial" w:hAnsi="Arial" w:cs="Arial"/>
          <w:bCs/>
          <w:sz w:val="20"/>
          <w:szCs w:val="20"/>
        </w:rPr>
      </w:pPr>
      <w:r w:rsidRPr="009120FE">
        <w:rPr>
          <w:rFonts w:ascii="Arial" w:hAnsi="Arial" w:cs="Arial"/>
          <w:bCs/>
          <w:sz w:val="20"/>
          <w:szCs w:val="20"/>
        </w:rPr>
        <w:t>d) El Consejo Nacional se renovará el segundo semestre del año siguiente de la elección federal.</w:t>
      </w:r>
    </w:p>
    <w:p w14:paraId="5B3A0F41" w14:textId="77777777" w:rsidR="003625FE" w:rsidRPr="009120FE" w:rsidRDefault="003625FE" w:rsidP="009120FE">
      <w:pPr>
        <w:spacing w:after="0" w:line="240" w:lineRule="auto"/>
        <w:ind w:left="709" w:right="616"/>
        <w:jc w:val="both"/>
        <w:rPr>
          <w:rFonts w:ascii="Arial" w:hAnsi="Arial" w:cs="Arial"/>
          <w:sz w:val="20"/>
          <w:szCs w:val="20"/>
        </w:rPr>
      </w:pPr>
    </w:p>
    <w:p w14:paraId="5D68177D" w14:textId="77777777" w:rsidR="003625FE" w:rsidRPr="009120FE" w:rsidRDefault="003625FE" w:rsidP="009120FE">
      <w:pPr>
        <w:pStyle w:val="Default"/>
        <w:ind w:left="709" w:right="616"/>
        <w:jc w:val="center"/>
        <w:rPr>
          <w:rFonts w:ascii="Arial" w:hAnsi="Arial" w:cs="Arial"/>
          <w:b/>
          <w:sz w:val="20"/>
          <w:szCs w:val="20"/>
        </w:rPr>
      </w:pPr>
      <w:r w:rsidRPr="009120FE">
        <w:rPr>
          <w:rFonts w:ascii="Arial" w:hAnsi="Arial" w:cs="Arial"/>
          <w:b/>
          <w:sz w:val="20"/>
          <w:szCs w:val="20"/>
        </w:rPr>
        <w:t>Reglamento de los Órganos Estatales y Municipales</w:t>
      </w:r>
    </w:p>
    <w:p w14:paraId="7D59FF4E" w14:textId="77777777" w:rsidR="003625FE" w:rsidRPr="009120FE" w:rsidRDefault="003625FE" w:rsidP="009120FE">
      <w:pPr>
        <w:pStyle w:val="Default"/>
        <w:ind w:left="709" w:right="616"/>
        <w:rPr>
          <w:rFonts w:ascii="Arial" w:hAnsi="Arial" w:cs="Arial"/>
          <w:b/>
          <w:sz w:val="20"/>
          <w:szCs w:val="20"/>
        </w:rPr>
      </w:pPr>
      <w:r w:rsidRPr="009120FE">
        <w:rPr>
          <w:rFonts w:ascii="Arial" w:hAnsi="Arial" w:cs="Arial"/>
          <w:b/>
          <w:sz w:val="20"/>
          <w:szCs w:val="20"/>
        </w:rPr>
        <w:t>…</w:t>
      </w:r>
    </w:p>
    <w:p w14:paraId="00A45EEE" w14:textId="77777777" w:rsidR="003625FE" w:rsidRPr="009120FE" w:rsidRDefault="003625FE" w:rsidP="009120FE">
      <w:pPr>
        <w:pStyle w:val="Default"/>
        <w:ind w:left="709" w:right="616"/>
        <w:jc w:val="center"/>
        <w:rPr>
          <w:rFonts w:ascii="Arial" w:hAnsi="Arial" w:cs="Arial"/>
          <w:b/>
          <w:sz w:val="20"/>
          <w:szCs w:val="20"/>
        </w:rPr>
      </w:pPr>
      <w:r w:rsidRPr="009120FE">
        <w:rPr>
          <w:rFonts w:ascii="Arial" w:hAnsi="Arial" w:cs="Arial"/>
          <w:b/>
          <w:sz w:val="20"/>
          <w:szCs w:val="20"/>
        </w:rPr>
        <w:t>Capítulo Tercero</w:t>
      </w:r>
    </w:p>
    <w:p w14:paraId="3CDA9339" w14:textId="77777777" w:rsidR="003625FE" w:rsidRPr="009120FE" w:rsidRDefault="003625FE" w:rsidP="009120FE">
      <w:pPr>
        <w:pStyle w:val="Default"/>
        <w:ind w:left="709" w:right="616"/>
        <w:jc w:val="center"/>
        <w:rPr>
          <w:rFonts w:ascii="Arial" w:hAnsi="Arial" w:cs="Arial"/>
          <w:b/>
          <w:sz w:val="20"/>
          <w:szCs w:val="20"/>
        </w:rPr>
      </w:pPr>
      <w:r w:rsidRPr="009120FE">
        <w:rPr>
          <w:rFonts w:ascii="Arial" w:hAnsi="Arial" w:cs="Arial"/>
          <w:b/>
          <w:sz w:val="20"/>
          <w:szCs w:val="20"/>
        </w:rPr>
        <w:t>De la Elección de Consejeros Nacionales</w:t>
      </w:r>
    </w:p>
    <w:p w14:paraId="284EC57B" w14:textId="77777777" w:rsidR="003625FE" w:rsidRPr="009120FE" w:rsidRDefault="003625FE" w:rsidP="009120FE">
      <w:pPr>
        <w:pStyle w:val="Default"/>
        <w:ind w:left="709" w:right="616"/>
        <w:jc w:val="both"/>
        <w:rPr>
          <w:rFonts w:ascii="Arial" w:hAnsi="Arial" w:cs="Arial"/>
          <w:b/>
          <w:sz w:val="20"/>
          <w:szCs w:val="20"/>
        </w:rPr>
      </w:pPr>
    </w:p>
    <w:p w14:paraId="70FAC178" w14:textId="77777777" w:rsidR="003625FE" w:rsidRPr="009120FE" w:rsidRDefault="003625FE" w:rsidP="009120FE">
      <w:pPr>
        <w:pStyle w:val="Default"/>
        <w:ind w:left="709" w:right="616"/>
        <w:jc w:val="both"/>
        <w:rPr>
          <w:rFonts w:ascii="Arial" w:hAnsi="Arial" w:cs="Arial"/>
          <w:sz w:val="20"/>
          <w:szCs w:val="20"/>
        </w:rPr>
      </w:pPr>
      <w:r w:rsidRPr="009120FE">
        <w:rPr>
          <w:rFonts w:ascii="Arial" w:hAnsi="Arial" w:cs="Arial"/>
          <w:b/>
          <w:sz w:val="20"/>
          <w:szCs w:val="20"/>
        </w:rPr>
        <w:lastRenderedPageBreak/>
        <w:t>Artículo 25</w:t>
      </w:r>
      <w:r w:rsidRPr="009120FE">
        <w:rPr>
          <w:rFonts w:ascii="Arial" w:hAnsi="Arial" w:cs="Arial"/>
          <w:sz w:val="20"/>
          <w:szCs w:val="20"/>
        </w:rPr>
        <w:t xml:space="preserve">. Una vez que se emita la convocatoria para la Asamblea Nacional Ordinaria que ratificará a los integrantes del Consejo Nacional, los Comités Directivos Estatales convocarán a las asambleas estatales para elegir al número de consejeros que les correspondan, de conformidad con el artículo 27 de los Estatutos, </w:t>
      </w:r>
      <w:proofErr w:type="gramStart"/>
      <w:r w:rsidRPr="009120FE">
        <w:rPr>
          <w:rFonts w:ascii="Arial" w:hAnsi="Arial" w:cs="Arial"/>
          <w:sz w:val="20"/>
          <w:szCs w:val="20"/>
        </w:rPr>
        <w:t>de acuerdo al</w:t>
      </w:r>
      <w:proofErr w:type="gramEnd"/>
      <w:r w:rsidRPr="009120FE">
        <w:rPr>
          <w:rFonts w:ascii="Arial" w:hAnsi="Arial" w:cs="Arial"/>
          <w:sz w:val="20"/>
          <w:szCs w:val="20"/>
        </w:rPr>
        <w:t xml:space="preserve"> siguiente procedimiento: </w:t>
      </w:r>
    </w:p>
    <w:p w14:paraId="5EDD04DD" w14:textId="77777777" w:rsidR="003625FE" w:rsidRPr="009120FE" w:rsidRDefault="003625FE" w:rsidP="009120FE">
      <w:pPr>
        <w:pStyle w:val="Default"/>
        <w:ind w:left="709" w:right="616"/>
        <w:jc w:val="both"/>
        <w:rPr>
          <w:rFonts w:ascii="Arial" w:hAnsi="Arial" w:cs="Arial"/>
          <w:sz w:val="20"/>
          <w:szCs w:val="20"/>
        </w:rPr>
      </w:pPr>
      <w:r w:rsidRPr="009120FE">
        <w:rPr>
          <w:rFonts w:ascii="Arial" w:hAnsi="Arial" w:cs="Arial"/>
          <w:sz w:val="20"/>
          <w:szCs w:val="20"/>
        </w:rPr>
        <w:t xml:space="preserve">Del total de 270, cada entidad elegirá el número de consejeros que le corresponda al ponderar los siguientes factores: </w:t>
      </w:r>
    </w:p>
    <w:p w14:paraId="60107E41" w14:textId="77777777" w:rsidR="003625FE" w:rsidRPr="009120FE" w:rsidRDefault="003625FE" w:rsidP="009120FE">
      <w:pPr>
        <w:pStyle w:val="Default"/>
        <w:ind w:left="709" w:right="616"/>
        <w:jc w:val="both"/>
        <w:rPr>
          <w:rFonts w:ascii="Arial" w:hAnsi="Arial" w:cs="Arial"/>
          <w:sz w:val="20"/>
          <w:szCs w:val="20"/>
        </w:rPr>
      </w:pPr>
      <w:r w:rsidRPr="009120FE">
        <w:rPr>
          <w:rFonts w:ascii="Arial" w:hAnsi="Arial" w:cs="Arial"/>
          <w:sz w:val="20"/>
          <w:szCs w:val="20"/>
        </w:rPr>
        <w:t xml:space="preserve">a) Noventa consejeros se distribuirán </w:t>
      </w:r>
      <w:proofErr w:type="gramStart"/>
      <w:r w:rsidRPr="009120FE">
        <w:rPr>
          <w:rFonts w:ascii="Arial" w:hAnsi="Arial" w:cs="Arial"/>
          <w:sz w:val="20"/>
          <w:szCs w:val="20"/>
        </w:rPr>
        <w:t>de acuerdo al</w:t>
      </w:r>
      <w:proofErr w:type="gramEnd"/>
      <w:r w:rsidRPr="009120FE">
        <w:rPr>
          <w:rFonts w:ascii="Arial" w:hAnsi="Arial" w:cs="Arial"/>
          <w:sz w:val="20"/>
          <w:szCs w:val="20"/>
        </w:rPr>
        <w:t xml:space="preserve"> factor de competitividad electoral del PAN en el estado, que se determina de la siguiente manera: </w:t>
      </w:r>
    </w:p>
    <w:p w14:paraId="73C879FF" w14:textId="77777777" w:rsidR="003625FE" w:rsidRPr="009120FE" w:rsidRDefault="003625FE" w:rsidP="009120FE">
      <w:pPr>
        <w:pStyle w:val="Default"/>
        <w:ind w:left="709" w:right="616"/>
        <w:jc w:val="both"/>
        <w:rPr>
          <w:rFonts w:ascii="Arial" w:hAnsi="Arial" w:cs="Arial"/>
          <w:sz w:val="20"/>
          <w:szCs w:val="20"/>
        </w:rPr>
      </w:pPr>
      <w:r w:rsidRPr="009120FE">
        <w:rPr>
          <w:rFonts w:ascii="Arial" w:hAnsi="Arial" w:cs="Arial"/>
          <w:sz w:val="20"/>
          <w:szCs w:val="20"/>
        </w:rPr>
        <w:t xml:space="preserve">1. Se dividirá el porcentaje de votos obtenidos por el PAN en la entidad en la última elección de diputados federales, en relación con el total de votos válidos emitidos en la misma, entre la suma de dichos porcentajes en las 32 entidades. </w:t>
      </w:r>
    </w:p>
    <w:p w14:paraId="6CFD2B89" w14:textId="77777777" w:rsidR="003625FE" w:rsidRPr="009120FE" w:rsidRDefault="003625FE" w:rsidP="009120FE">
      <w:pPr>
        <w:pStyle w:val="Default"/>
        <w:ind w:left="709" w:right="616"/>
        <w:jc w:val="both"/>
        <w:rPr>
          <w:rFonts w:ascii="Arial" w:hAnsi="Arial" w:cs="Arial"/>
          <w:sz w:val="20"/>
          <w:szCs w:val="20"/>
        </w:rPr>
      </w:pPr>
      <w:r w:rsidRPr="009120FE">
        <w:rPr>
          <w:rFonts w:ascii="Arial" w:hAnsi="Arial" w:cs="Arial"/>
          <w:sz w:val="20"/>
          <w:szCs w:val="20"/>
        </w:rPr>
        <w:t xml:space="preserve">2. Ese cociente repartidor se multiplicará por 90 para obtener la asignación correspondiente a cada estado en los términos del apartado I del artículo 27 de los Estatutos. </w:t>
      </w:r>
    </w:p>
    <w:p w14:paraId="477C295F" w14:textId="77777777" w:rsidR="003625FE" w:rsidRPr="009120FE" w:rsidRDefault="003625FE" w:rsidP="009120FE">
      <w:pPr>
        <w:pStyle w:val="Default"/>
        <w:ind w:left="709" w:right="616"/>
        <w:jc w:val="both"/>
        <w:rPr>
          <w:rFonts w:ascii="Arial" w:hAnsi="Arial" w:cs="Arial"/>
          <w:sz w:val="20"/>
          <w:szCs w:val="20"/>
        </w:rPr>
      </w:pPr>
      <w:r w:rsidRPr="009120FE">
        <w:rPr>
          <w:rFonts w:ascii="Arial" w:hAnsi="Arial" w:cs="Arial"/>
          <w:sz w:val="20"/>
          <w:szCs w:val="20"/>
        </w:rPr>
        <w:t xml:space="preserve">3. Primero se le asigna a cada estado el número de consejeros equivalente al entero resultante de las operaciones anteriores, más las fracciones más altas para completar el número de consejeros que le corresponde a cada entidad. </w:t>
      </w:r>
    </w:p>
    <w:p w14:paraId="014BEC12" w14:textId="77777777" w:rsidR="003625FE" w:rsidRPr="009120FE" w:rsidRDefault="003625FE" w:rsidP="009120FE">
      <w:pPr>
        <w:pStyle w:val="Default"/>
        <w:ind w:left="709" w:right="616"/>
        <w:jc w:val="both"/>
        <w:rPr>
          <w:rFonts w:ascii="Arial" w:hAnsi="Arial" w:cs="Arial"/>
          <w:sz w:val="20"/>
          <w:szCs w:val="20"/>
        </w:rPr>
      </w:pPr>
      <w:r w:rsidRPr="009120FE">
        <w:rPr>
          <w:rFonts w:ascii="Arial" w:hAnsi="Arial" w:cs="Arial"/>
          <w:sz w:val="20"/>
          <w:szCs w:val="20"/>
        </w:rPr>
        <w:t xml:space="preserve">4. Por último, se reparten tantos consejeros como sean necesarios para completar los 90 correspondientes a este factor, aplicando el orden decreciente de los residuales de la asignación de enteros. </w:t>
      </w:r>
    </w:p>
    <w:p w14:paraId="58AC17C0" w14:textId="77777777" w:rsidR="003625FE" w:rsidRPr="009120FE" w:rsidRDefault="003625FE" w:rsidP="009120FE">
      <w:pPr>
        <w:pStyle w:val="Default"/>
        <w:ind w:left="709" w:right="616"/>
        <w:jc w:val="both"/>
        <w:rPr>
          <w:rFonts w:ascii="Arial" w:hAnsi="Arial" w:cs="Arial"/>
          <w:sz w:val="20"/>
          <w:szCs w:val="20"/>
        </w:rPr>
      </w:pPr>
      <w:r w:rsidRPr="009120FE">
        <w:rPr>
          <w:rFonts w:ascii="Arial" w:hAnsi="Arial" w:cs="Arial"/>
          <w:sz w:val="20"/>
          <w:szCs w:val="20"/>
        </w:rPr>
        <w:t xml:space="preserve">b) Noventa consejeros se distribuirán </w:t>
      </w:r>
      <w:proofErr w:type="gramStart"/>
      <w:r w:rsidRPr="009120FE">
        <w:rPr>
          <w:rFonts w:ascii="Arial" w:hAnsi="Arial" w:cs="Arial"/>
          <w:sz w:val="20"/>
          <w:szCs w:val="20"/>
        </w:rPr>
        <w:t>de acuerdo a</w:t>
      </w:r>
      <w:proofErr w:type="gramEnd"/>
      <w:r w:rsidRPr="009120FE">
        <w:rPr>
          <w:rFonts w:ascii="Arial" w:hAnsi="Arial" w:cs="Arial"/>
          <w:sz w:val="20"/>
          <w:szCs w:val="20"/>
        </w:rPr>
        <w:t xml:space="preserve"> la aportación de cada estado a la votación nacional del Partido, de la última elección de diputados federales, que se determina de la siguiente manera: </w:t>
      </w:r>
    </w:p>
    <w:p w14:paraId="5D17F6D8" w14:textId="77777777" w:rsidR="003625FE" w:rsidRPr="009120FE" w:rsidRDefault="003625FE" w:rsidP="009120FE">
      <w:pPr>
        <w:pStyle w:val="Default"/>
        <w:ind w:left="709" w:right="616"/>
        <w:jc w:val="both"/>
        <w:rPr>
          <w:rFonts w:ascii="Arial" w:hAnsi="Arial" w:cs="Arial"/>
          <w:sz w:val="20"/>
          <w:szCs w:val="20"/>
        </w:rPr>
      </w:pPr>
      <w:r w:rsidRPr="009120FE">
        <w:rPr>
          <w:rFonts w:ascii="Arial" w:hAnsi="Arial" w:cs="Arial"/>
          <w:sz w:val="20"/>
          <w:szCs w:val="20"/>
        </w:rPr>
        <w:t>1. Se obtiene esa aportación dividiendo el total de votos del Partido en el estado entre la votación nacional del Partido.</w:t>
      </w:r>
    </w:p>
    <w:p w14:paraId="7B659674" w14:textId="77777777" w:rsidR="003625FE" w:rsidRPr="009120FE" w:rsidRDefault="003625FE" w:rsidP="009120FE">
      <w:pPr>
        <w:pStyle w:val="Default"/>
        <w:ind w:left="709" w:right="616"/>
        <w:jc w:val="both"/>
        <w:rPr>
          <w:rFonts w:ascii="Arial" w:hAnsi="Arial" w:cs="Arial"/>
          <w:color w:val="auto"/>
          <w:sz w:val="20"/>
          <w:szCs w:val="20"/>
        </w:rPr>
      </w:pPr>
      <w:r w:rsidRPr="009120FE">
        <w:rPr>
          <w:rFonts w:ascii="Arial" w:hAnsi="Arial" w:cs="Arial"/>
          <w:color w:val="auto"/>
          <w:sz w:val="20"/>
          <w:szCs w:val="20"/>
        </w:rPr>
        <w:t xml:space="preserve">2. Ese cociente se multiplica por 90 para obtener la asignación correspondiente a cada estado en los términos del apartado II del artículo 27 de los Estatutos. </w:t>
      </w:r>
    </w:p>
    <w:p w14:paraId="0349E61E" w14:textId="77777777" w:rsidR="003625FE" w:rsidRPr="009120FE" w:rsidRDefault="003625FE" w:rsidP="009120FE">
      <w:pPr>
        <w:pStyle w:val="Default"/>
        <w:ind w:left="709" w:right="616"/>
        <w:jc w:val="both"/>
        <w:rPr>
          <w:rFonts w:ascii="Arial" w:hAnsi="Arial" w:cs="Arial"/>
          <w:color w:val="auto"/>
          <w:sz w:val="20"/>
          <w:szCs w:val="20"/>
        </w:rPr>
      </w:pPr>
      <w:r w:rsidRPr="009120FE">
        <w:rPr>
          <w:rFonts w:ascii="Arial" w:hAnsi="Arial" w:cs="Arial"/>
          <w:color w:val="auto"/>
          <w:sz w:val="20"/>
          <w:szCs w:val="20"/>
        </w:rPr>
        <w:t xml:space="preserve">3. Primero se le asigna a cada estado el número de consejeros equivalente al entero resultante de las operaciones anteriores, más las fracciones más altas para completar el número de consejeros que le corresponde a cada entidad. </w:t>
      </w:r>
    </w:p>
    <w:p w14:paraId="450DB7AF" w14:textId="77777777" w:rsidR="003625FE" w:rsidRPr="009120FE" w:rsidRDefault="003625FE" w:rsidP="009120FE">
      <w:pPr>
        <w:pStyle w:val="Default"/>
        <w:ind w:left="709" w:right="616"/>
        <w:jc w:val="both"/>
        <w:rPr>
          <w:rFonts w:ascii="Arial" w:hAnsi="Arial" w:cs="Arial"/>
          <w:color w:val="auto"/>
          <w:sz w:val="20"/>
          <w:szCs w:val="20"/>
        </w:rPr>
      </w:pPr>
      <w:r w:rsidRPr="009120FE">
        <w:rPr>
          <w:rFonts w:ascii="Arial" w:hAnsi="Arial" w:cs="Arial"/>
          <w:color w:val="auto"/>
          <w:sz w:val="20"/>
          <w:szCs w:val="20"/>
        </w:rPr>
        <w:t xml:space="preserve">4. Por último, se reparten tantos consejeros como sean necesarios para completar los 90 correspondientes a este factor, aplicando el orden decreciente de los residuales de la asignación de enteros. </w:t>
      </w:r>
    </w:p>
    <w:p w14:paraId="3A4C838D" w14:textId="77777777" w:rsidR="003625FE" w:rsidRPr="009120FE" w:rsidRDefault="003625FE" w:rsidP="009120FE">
      <w:pPr>
        <w:pStyle w:val="Default"/>
        <w:ind w:left="709" w:right="616"/>
        <w:jc w:val="both"/>
        <w:rPr>
          <w:rFonts w:ascii="Arial" w:hAnsi="Arial" w:cs="Arial"/>
          <w:color w:val="auto"/>
          <w:sz w:val="20"/>
          <w:szCs w:val="20"/>
        </w:rPr>
      </w:pPr>
      <w:r w:rsidRPr="009120FE">
        <w:rPr>
          <w:rFonts w:ascii="Arial" w:hAnsi="Arial" w:cs="Arial"/>
          <w:color w:val="auto"/>
          <w:sz w:val="20"/>
          <w:szCs w:val="20"/>
        </w:rPr>
        <w:t xml:space="preserve">c) Noventa consejeros se distribuirán </w:t>
      </w:r>
      <w:proofErr w:type="gramStart"/>
      <w:r w:rsidRPr="009120FE">
        <w:rPr>
          <w:rFonts w:ascii="Arial" w:hAnsi="Arial" w:cs="Arial"/>
          <w:color w:val="auto"/>
          <w:sz w:val="20"/>
          <w:szCs w:val="20"/>
        </w:rPr>
        <w:t>de acuerdo a</w:t>
      </w:r>
      <w:proofErr w:type="gramEnd"/>
      <w:r w:rsidRPr="009120FE">
        <w:rPr>
          <w:rFonts w:ascii="Arial" w:hAnsi="Arial" w:cs="Arial"/>
          <w:color w:val="auto"/>
          <w:sz w:val="20"/>
          <w:szCs w:val="20"/>
        </w:rPr>
        <w:t xml:space="preserve"> la aportación de cada estado al número de militantes que tenga el Partido en la entidad con respecto al padrón nacional, un año antes del día de la elección de consejeros. Esta asignación se determinará de la siguiente manera: </w:t>
      </w:r>
    </w:p>
    <w:p w14:paraId="245F93F0" w14:textId="77777777" w:rsidR="003625FE" w:rsidRPr="009120FE" w:rsidRDefault="003625FE" w:rsidP="009120FE">
      <w:pPr>
        <w:pStyle w:val="Default"/>
        <w:ind w:left="709" w:right="616"/>
        <w:jc w:val="both"/>
        <w:rPr>
          <w:rFonts w:ascii="Arial" w:hAnsi="Arial" w:cs="Arial"/>
          <w:color w:val="auto"/>
          <w:sz w:val="20"/>
          <w:szCs w:val="20"/>
        </w:rPr>
      </w:pPr>
      <w:r w:rsidRPr="009120FE">
        <w:rPr>
          <w:rFonts w:ascii="Arial" w:hAnsi="Arial" w:cs="Arial"/>
          <w:color w:val="auto"/>
          <w:sz w:val="20"/>
          <w:szCs w:val="20"/>
        </w:rPr>
        <w:t xml:space="preserve">1. Se divide el total de militantes del estado entre el total nacional de militantes del Partido. </w:t>
      </w:r>
    </w:p>
    <w:p w14:paraId="01BB1E41" w14:textId="77777777" w:rsidR="003625FE" w:rsidRPr="009120FE" w:rsidRDefault="003625FE" w:rsidP="009120FE">
      <w:pPr>
        <w:pStyle w:val="Default"/>
        <w:ind w:left="709" w:right="616"/>
        <w:jc w:val="both"/>
        <w:rPr>
          <w:rFonts w:ascii="Arial" w:hAnsi="Arial" w:cs="Arial"/>
          <w:color w:val="auto"/>
          <w:sz w:val="20"/>
          <w:szCs w:val="20"/>
        </w:rPr>
      </w:pPr>
      <w:r w:rsidRPr="009120FE">
        <w:rPr>
          <w:rFonts w:ascii="Arial" w:hAnsi="Arial" w:cs="Arial"/>
          <w:color w:val="auto"/>
          <w:sz w:val="20"/>
          <w:szCs w:val="20"/>
        </w:rPr>
        <w:t xml:space="preserve">2. Ese cociente repartidor se multiplicará por 90 para obtener la asignación correspondiente a cada estado en los términos del apartado III del artículo 27 del Estatuto. </w:t>
      </w:r>
    </w:p>
    <w:p w14:paraId="028462B5" w14:textId="77777777" w:rsidR="003625FE" w:rsidRPr="009120FE" w:rsidRDefault="003625FE" w:rsidP="009120FE">
      <w:pPr>
        <w:pStyle w:val="Default"/>
        <w:ind w:left="709" w:right="616"/>
        <w:jc w:val="both"/>
        <w:rPr>
          <w:rFonts w:ascii="Arial" w:hAnsi="Arial" w:cs="Arial"/>
          <w:color w:val="auto"/>
          <w:sz w:val="20"/>
          <w:szCs w:val="20"/>
        </w:rPr>
      </w:pPr>
      <w:r w:rsidRPr="009120FE">
        <w:rPr>
          <w:rFonts w:ascii="Arial" w:hAnsi="Arial" w:cs="Arial"/>
          <w:color w:val="auto"/>
          <w:sz w:val="20"/>
          <w:szCs w:val="20"/>
        </w:rPr>
        <w:t xml:space="preserve">3. Primero se le asigna a cada estado el número de consejeros equivalente al entero resultante de la operación anterior, más las fracciones más altas para completar el número de consejeros que le corresponde a cada entidad </w:t>
      </w:r>
    </w:p>
    <w:p w14:paraId="2BCB6AFC" w14:textId="77777777" w:rsidR="003625FE" w:rsidRPr="009120FE" w:rsidRDefault="003625FE" w:rsidP="009120FE">
      <w:pPr>
        <w:pStyle w:val="Default"/>
        <w:ind w:left="709" w:right="616"/>
        <w:jc w:val="both"/>
        <w:rPr>
          <w:rFonts w:ascii="Arial" w:hAnsi="Arial" w:cs="Arial"/>
          <w:color w:val="auto"/>
          <w:sz w:val="20"/>
          <w:szCs w:val="20"/>
        </w:rPr>
      </w:pPr>
      <w:r w:rsidRPr="009120FE">
        <w:rPr>
          <w:rFonts w:ascii="Arial" w:hAnsi="Arial" w:cs="Arial"/>
          <w:color w:val="auto"/>
          <w:sz w:val="20"/>
          <w:szCs w:val="20"/>
        </w:rPr>
        <w:t xml:space="preserve">4. Por último se completan los 90 correspondientes a este factor, aplicando el orden decreciente de los residuales de la asignación de enteros. </w:t>
      </w:r>
    </w:p>
    <w:p w14:paraId="35D41CFC" w14:textId="77777777" w:rsidR="003625FE" w:rsidRPr="009120FE" w:rsidRDefault="003625FE" w:rsidP="009120FE">
      <w:pPr>
        <w:pStyle w:val="Default"/>
        <w:ind w:left="709" w:right="616"/>
        <w:jc w:val="both"/>
        <w:rPr>
          <w:rFonts w:ascii="Arial" w:hAnsi="Arial" w:cs="Arial"/>
          <w:color w:val="auto"/>
          <w:sz w:val="20"/>
          <w:szCs w:val="20"/>
        </w:rPr>
      </w:pPr>
    </w:p>
    <w:p w14:paraId="2568C0C5" w14:textId="77777777" w:rsidR="003625FE" w:rsidRPr="009120FE" w:rsidRDefault="003625FE" w:rsidP="009120FE">
      <w:pPr>
        <w:pStyle w:val="Default"/>
        <w:ind w:left="709" w:right="616"/>
        <w:jc w:val="both"/>
        <w:rPr>
          <w:rFonts w:ascii="Arial" w:hAnsi="Arial" w:cs="Arial"/>
          <w:color w:val="auto"/>
          <w:sz w:val="20"/>
          <w:szCs w:val="20"/>
        </w:rPr>
      </w:pPr>
      <w:r w:rsidRPr="009120FE">
        <w:rPr>
          <w:rFonts w:ascii="Arial" w:hAnsi="Arial" w:cs="Arial"/>
          <w:b/>
          <w:color w:val="auto"/>
          <w:sz w:val="20"/>
          <w:szCs w:val="20"/>
        </w:rPr>
        <w:t>Artículo 26.</w:t>
      </w:r>
      <w:r w:rsidRPr="009120FE">
        <w:rPr>
          <w:rFonts w:ascii="Arial" w:hAnsi="Arial" w:cs="Arial"/>
          <w:color w:val="auto"/>
          <w:sz w:val="20"/>
          <w:szCs w:val="20"/>
        </w:rPr>
        <w:t xml:space="preserve"> Los municipios que tenga derecho a celebrar asamblea podrán proponer el número de candidatos a consejeros nacionales conforme a las bases señaladas en el artículo 15 de este reglamento, considerando para el caso de los incisos b) y c), el número de votos obtenidos en la última elección para diputados federales. El cálculo al que se refiere el inciso d) de dicho artículo, se basará en el número de candidatos a consejeros nacionales a los que tiene derecho proponer la entidad. </w:t>
      </w:r>
    </w:p>
    <w:p w14:paraId="3EB81B82" w14:textId="77777777" w:rsidR="003625FE" w:rsidRPr="009120FE" w:rsidRDefault="003625FE" w:rsidP="009120FE">
      <w:pPr>
        <w:pStyle w:val="Default"/>
        <w:ind w:left="709" w:right="616"/>
        <w:jc w:val="both"/>
        <w:rPr>
          <w:rFonts w:ascii="Arial" w:hAnsi="Arial" w:cs="Arial"/>
          <w:color w:val="auto"/>
          <w:sz w:val="20"/>
          <w:szCs w:val="20"/>
        </w:rPr>
      </w:pPr>
    </w:p>
    <w:p w14:paraId="3804312E" w14:textId="77777777" w:rsidR="003625FE" w:rsidRPr="009120FE" w:rsidRDefault="003625FE" w:rsidP="009120FE">
      <w:pPr>
        <w:pStyle w:val="Default"/>
        <w:ind w:left="709" w:right="616"/>
        <w:jc w:val="both"/>
        <w:rPr>
          <w:rFonts w:ascii="Arial" w:hAnsi="Arial" w:cs="Arial"/>
          <w:color w:val="auto"/>
          <w:sz w:val="20"/>
          <w:szCs w:val="20"/>
        </w:rPr>
      </w:pPr>
      <w:r w:rsidRPr="009120FE">
        <w:rPr>
          <w:rFonts w:ascii="Arial" w:hAnsi="Arial" w:cs="Arial"/>
          <w:b/>
          <w:color w:val="auto"/>
          <w:sz w:val="20"/>
          <w:szCs w:val="20"/>
        </w:rPr>
        <w:lastRenderedPageBreak/>
        <w:t>Artículo 27.</w:t>
      </w:r>
      <w:r w:rsidRPr="009120FE">
        <w:rPr>
          <w:rFonts w:ascii="Arial" w:hAnsi="Arial" w:cs="Arial"/>
          <w:color w:val="auto"/>
          <w:sz w:val="20"/>
          <w:szCs w:val="20"/>
        </w:rPr>
        <w:t xml:space="preserve"> Conocidos los resultados de la evaluación a que hace referencia el inciso d) del numeral 1 del artículo 26 de los Estatutos, se celebrarán las asambleas municipales donde únicamente podrán participar como candidatos quienes las hayan acreditado.</w:t>
      </w:r>
    </w:p>
    <w:p w14:paraId="13DF7B38" w14:textId="77777777" w:rsidR="003625FE" w:rsidRPr="009120FE" w:rsidRDefault="003625FE" w:rsidP="009120FE">
      <w:pPr>
        <w:pStyle w:val="Default"/>
        <w:ind w:left="709" w:right="616"/>
        <w:jc w:val="both"/>
        <w:rPr>
          <w:rFonts w:ascii="Arial" w:hAnsi="Arial" w:cs="Arial"/>
          <w:color w:val="auto"/>
          <w:sz w:val="20"/>
          <w:szCs w:val="20"/>
        </w:rPr>
      </w:pPr>
      <w:r w:rsidRPr="009120FE">
        <w:rPr>
          <w:rFonts w:ascii="Arial" w:hAnsi="Arial" w:cs="Arial"/>
          <w:color w:val="auto"/>
          <w:sz w:val="20"/>
          <w:szCs w:val="20"/>
        </w:rPr>
        <w:t xml:space="preserve">La elección de los consejeros nacionales se expresará en forma personal y secreta. El método de votación podrá ser mediante alguna de las siguientes maneras: </w:t>
      </w:r>
    </w:p>
    <w:p w14:paraId="7F86CE15" w14:textId="77777777" w:rsidR="003625FE" w:rsidRPr="009120FE" w:rsidRDefault="003625FE" w:rsidP="009120FE">
      <w:pPr>
        <w:pStyle w:val="Default"/>
        <w:ind w:left="709" w:right="616"/>
        <w:jc w:val="both"/>
        <w:rPr>
          <w:rFonts w:ascii="Arial" w:hAnsi="Arial" w:cs="Arial"/>
          <w:color w:val="auto"/>
          <w:sz w:val="20"/>
          <w:szCs w:val="20"/>
        </w:rPr>
      </w:pPr>
      <w:r w:rsidRPr="009120FE">
        <w:rPr>
          <w:rFonts w:ascii="Arial" w:hAnsi="Arial" w:cs="Arial"/>
          <w:color w:val="auto"/>
          <w:sz w:val="20"/>
          <w:szCs w:val="20"/>
        </w:rPr>
        <w:t xml:space="preserve">a) En cédulas de votación. </w:t>
      </w:r>
    </w:p>
    <w:p w14:paraId="719D0B6A" w14:textId="77777777" w:rsidR="003625FE" w:rsidRPr="009120FE" w:rsidRDefault="003625FE" w:rsidP="009120FE">
      <w:pPr>
        <w:pStyle w:val="Default"/>
        <w:ind w:left="709" w:right="616"/>
        <w:jc w:val="both"/>
        <w:rPr>
          <w:rFonts w:ascii="Arial" w:hAnsi="Arial" w:cs="Arial"/>
          <w:color w:val="auto"/>
          <w:sz w:val="20"/>
          <w:szCs w:val="20"/>
        </w:rPr>
      </w:pPr>
      <w:r w:rsidRPr="009120FE">
        <w:rPr>
          <w:rFonts w:ascii="Arial" w:hAnsi="Arial" w:cs="Arial"/>
          <w:color w:val="auto"/>
          <w:sz w:val="20"/>
          <w:szCs w:val="20"/>
        </w:rPr>
        <w:t xml:space="preserve">b) En sistemas electrónicos que emitan una cédula. </w:t>
      </w:r>
    </w:p>
    <w:p w14:paraId="30CBD13A" w14:textId="77777777" w:rsidR="003625FE" w:rsidRPr="009120FE" w:rsidRDefault="003625FE" w:rsidP="009120FE">
      <w:pPr>
        <w:pStyle w:val="Default"/>
        <w:ind w:left="709" w:right="616"/>
        <w:jc w:val="both"/>
        <w:rPr>
          <w:rFonts w:ascii="Arial" w:hAnsi="Arial" w:cs="Arial"/>
          <w:color w:val="auto"/>
          <w:sz w:val="20"/>
          <w:szCs w:val="20"/>
        </w:rPr>
      </w:pPr>
      <w:r w:rsidRPr="009120FE">
        <w:rPr>
          <w:rFonts w:ascii="Arial" w:hAnsi="Arial" w:cs="Arial"/>
          <w:color w:val="auto"/>
          <w:sz w:val="20"/>
          <w:szCs w:val="20"/>
        </w:rPr>
        <w:t xml:space="preserve">El escrutinio y el cómputo podrán ser manuales y/o electrónicos. Estos, así como el método de votación, deberán contar con la autorización previa de la Secretaría Nacional de Fortalecimiento Interno. </w:t>
      </w:r>
    </w:p>
    <w:p w14:paraId="16267152" w14:textId="77777777" w:rsidR="003625FE" w:rsidRPr="009120FE" w:rsidRDefault="003625FE" w:rsidP="009120FE">
      <w:pPr>
        <w:pStyle w:val="Default"/>
        <w:ind w:left="709" w:right="616"/>
        <w:jc w:val="both"/>
        <w:rPr>
          <w:rFonts w:ascii="Arial" w:hAnsi="Arial" w:cs="Arial"/>
          <w:color w:val="auto"/>
          <w:sz w:val="20"/>
          <w:szCs w:val="20"/>
        </w:rPr>
      </w:pPr>
    </w:p>
    <w:p w14:paraId="5BD602B2" w14:textId="77777777" w:rsidR="003625FE" w:rsidRPr="009120FE" w:rsidRDefault="003625FE" w:rsidP="009120FE">
      <w:pPr>
        <w:pStyle w:val="Default"/>
        <w:ind w:left="709" w:right="616"/>
        <w:jc w:val="both"/>
        <w:rPr>
          <w:rFonts w:ascii="Arial" w:hAnsi="Arial" w:cs="Arial"/>
          <w:color w:val="auto"/>
          <w:sz w:val="20"/>
          <w:szCs w:val="20"/>
        </w:rPr>
      </w:pPr>
      <w:r w:rsidRPr="009120FE">
        <w:rPr>
          <w:rFonts w:ascii="Arial" w:hAnsi="Arial" w:cs="Arial"/>
          <w:b/>
          <w:color w:val="auto"/>
          <w:sz w:val="20"/>
          <w:szCs w:val="20"/>
        </w:rPr>
        <w:t>Artículo 28.</w:t>
      </w:r>
      <w:r w:rsidRPr="009120FE">
        <w:rPr>
          <w:rFonts w:ascii="Arial" w:hAnsi="Arial" w:cs="Arial"/>
          <w:color w:val="auto"/>
          <w:sz w:val="20"/>
          <w:szCs w:val="20"/>
        </w:rPr>
        <w:t xml:space="preserve"> Cada delegado numerario votará por el 50 por ciento de las propuestas a las que tiene derecho el municipio. Si el número es impar, se elevará a la siguiente unidad. </w:t>
      </w:r>
    </w:p>
    <w:p w14:paraId="3C325170" w14:textId="77777777" w:rsidR="003625FE" w:rsidRPr="009120FE" w:rsidRDefault="003625FE" w:rsidP="009120FE">
      <w:pPr>
        <w:pStyle w:val="Default"/>
        <w:ind w:left="709" w:right="616"/>
        <w:jc w:val="both"/>
        <w:rPr>
          <w:rFonts w:ascii="Arial" w:hAnsi="Arial" w:cs="Arial"/>
          <w:color w:val="auto"/>
          <w:sz w:val="20"/>
          <w:szCs w:val="20"/>
        </w:rPr>
      </w:pPr>
      <w:r w:rsidRPr="009120FE">
        <w:rPr>
          <w:rFonts w:ascii="Arial" w:hAnsi="Arial" w:cs="Arial"/>
          <w:color w:val="auto"/>
          <w:sz w:val="20"/>
          <w:szCs w:val="20"/>
        </w:rPr>
        <w:t xml:space="preserve">De este porcentaje, cada delegado deberá votar por la mitad de </w:t>
      </w:r>
      <w:proofErr w:type="gramStart"/>
      <w:r w:rsidRPr="009120FE">
        <w:rPr>
          <w:rFonts w:ascii="Arial" w:hAnsi="Arial" w:cs="Arial"/>
          <w:color w:val="auto"/>
          <w:sz w:val="20"/>
          <w:szCs w:val="20"/>
        </w:rPr>
        <w:t>propuestas</w:t>
      </w:r>
      <w:proofErr w:type="gramEnd"/>
      <w:r w:rsidRPr="009120FE">
        <w:rPr>
          <w:rFonts w:ascii="Arial" w:hAnsi="Arial" w:cs="Arial"/>
          <w:color w:val="auto"/>
          <w:sz w:val="20"/>
          <w:szCs w:val="20"/>
        </w:rPr>
        <w:t xml:space="preserve"> de género distinto. </w:t>
      </w:r>
    </w:p>
    <w:p w14:paraId="716B094E" w14:textId="77777777" w:rsidR="003625FE" w:rsidRPr="009120FE" w:rsidRDefault="003625FE" w:rsidP="009120FE">
      <w:pPr>
        <w:pStyle w:val="Default"/>
        <w:ind w:left="709" w:right="616"/>
        <w:jc w:val="both"/>
        <w:rPr>
          <w:rFonts w:ascii="Arial" w:hAnsi="Arial" w:cs="Arial"/>
          <w:color w:val="auto"/>
          <w:sz w:val="20"/>
          <w:szCs w:val="20"/>
        </w:rPr>
      </w:pPr>
    </w:p>
    <w:p w14:paraId="3250EA73" w14:textId="77777777" w:rsidR="003625FE" w:rsidRPr="009120FE" w:rsidRDefault="003625FE" w:rsidP="009120FE">
      <w:pPr>
        <w:pStyle w:val="Default"/>
        <w:ind w:left="709" w:right="616"/>
        <w:jc w:val="both"/>
        <w:rPr>
          <w:rFonts w:ascii="Arial" w:hAnsi="Arial" w:cs="Arial"/>
          <w:color w:val="auto"/>
          <w:sz w:val="20"/>
          <w:szCs w:val="20"/>
        </w:rPr>
      </w:pPr>
      <w:r w:rsidRPr="009120FE">
        <w:rPr>
          <w:rFonts w:ascii="Arial" w:hAnsi="Arial" w:cs="Arial"/>
          <w:b/>
          <w:color w:val="auto"/>
          <w:sz w:val="20"/>
          <w:szCs w:val="20"/>
        </w:rPr>
        <w:t>Artículo 29.</w:t>
      </w:r>
      <w:r w:rsidRPr="009120FE">
        <w:rPr>
          <w:rFonts w:ascii="Arial" w:hAnsi="Arial" w:cs="Arial"/>
          <w:color w:val="auto"/>
          <w:sz w:val="20"/>
          <w:szCs w:val="20"/>
        </w:rPr>
        <w:t xml:space="preserve"> Serán propuestos a consejeros nacionales, los candidatos que hayan obtenido el mayor número de votos por género, </w:t>
      </w:r>
      <w:proofErr w:type="gramStart"/>
      <w:r w:rsidRPr="009120FE">
        <w:rPr>
          <w:rFonts w:ascii="Arial" w:hAnsi="Arial" w:cs="Arial"/>
          <w:color w:val="auto"/>
          <w:sz w:val="20"/>
          <w:szCs w:val="20"/>
        </w:rPr>
        <w:t>de acuerdo al</w:t>
      </w:r>
      <w:proofErr w:type="gramEnd"/>
      <w:r w:rsidRPr="009120FE">
        <w:rPr>
          <w:rFonts w:ascii="Arial" w:hAnsi="Arial" w:cs="Arial"/>
          <w:color w:val="auto"/>
          <w:sz w:val="20"/>
          <w:szCs w:val="20"/>
        </w:rPr>
        <w:t xml:space="preserve"> número de propuestas que correspondan. Si fuera el caso de que dos o más candidatos empataran y con ello fuera imposible definir el número final de la lista de propuestas que le corresponden al municipio, se procederá a una ronda de desempate entre estos candidatos en donde cada delegado podrá votar, en cédula, por una propuesta, considerando el género. </w:t>
      </w:r>
    </w:p>
    <w:p w14:paraId="653F1405" w14:textId="77777777" w:rsidR="003625FE" w:rsidRPr="009120FE" w:rsidRDefault="003625FE" w:rsidP="009120FE">
      <w:pPr>
        <w:pStyle w:val="Default"/>
        <w:ind w:left="709" w:right="616"/>
        <w:jc w:val="both"/>
        <w:rPr>
          <w:rFonts w:ascii="Arial" w:hAnsi="Arial" w:cs="Arial"/>
          <w:color w:val="auto"/>
          <w:sz w:val="20"/>
          <w:szCs w:val="20"/>
        </w:rPr>
      </w:pPr>
      <w:r w:rsidRPr="009120FE">
        <w:rPr>
          <w:rFonts w:ascii="Arial" w:hAnsi="Arial" w:cs="Arial"/>
          <w:color w:val="auto"/>
          <w:sz w:val="20"/>
          <w:szCs w:val="20"/>
        </w:rPr>
        <w:t xml:space="preserve">Si el número de candidatos registrados cumple con la equidad de género y es igual al número de propuestas a las que tenga derecho el municipio, se someterá a ratificación por votación económica, debiendo ser aprobadas por mayoría. </w:t>
      </w:r>
    </w:p>
    <w:p w14:paraId="3FEFE047" w14:textId="77777777" w:rsidR="003625FE" w:rsidRPr="009120FE" w:rsidRDefault="003625FE" w:rsidP="009120FE">
      <w:pPr>
        <w:pStyle w:val="Default"/>
        <w:ind w:left="709" w:right="616"/>
        <w:jc w:val="both"/>
        <w:rPr>
          <w:rFonts w:ascii="Arial" w:hAnsi="Arial" w:cs="Arial"/>
          <w:color w:val="auto"/>
          <w:sz w:val="20"/>
          <w:szCs w:val="20"/>
        </w:rPr>
      </w:pPr>
      <w:r w:rsidRPr="009120FE">
        <w:rPr>
          <w:rFonts w:ascii="Arial" w:hAnsi="Arial" w:cs="Arial"/>
          <w:color w:val="auto"/>
          <w:sz w:val="20"/>
          <w:szCs w:val="20"/>
        </w:rPr>
        <w:t xml:space="preserve">Si el número de candidatos registrados fuera menor al número de propuestas a las que tenga derecho el municipio, cada género tendrá derecho, únicamente, a la mitad de las propuestas y se someterá a ratificación por votación económica. </w:t>
      </w:r>
    </w:p>
    <w:p w14:paraId="707BE32D" w14:textId="77777777" w:rsidR="003625FE" w:rsidRPr="009120FE" w:rsidRDefault="003625FE" w:rsidP="009120FE">
      <w:pPr>
        <w:pStyle w:val="Default"/>
        <w:ind w:left="709" w:right="616"/>
        <w:jc w:val="both"/>
        <w:rPr>
          <w:rFonts w:ascii="Arial" w:hAnsi="Arial" w:cs="Arial"/>
          <w:color w:val="auto"/>
          <w:sz w:val="20"/>
          <w:szCs w:val="20"/>
        </w:rPr>
      </w:pPr>
    </w:p>
    <w:p w14:paraId="5BC717F4" w14:textId="77777777" w:rsidR="003625FE" w:rsidRPr="009120FE" w:rsidRDefault="003625FE" w:rsidP="009120FE">
      <w:pPr>
        <w:pStyle w:val="Default"/>
        <w:ind w:left="709" w:right="616"/>
        <w:jc w:val="both"/>
        <w:rPr>
          <w:rFonts w:ascii="Arial" w:hAnsi="Arial" w:cs="Arial"/>
          <w:color w:val="auto"/>
          <w:sz w:val="20"/>
          <w:szCs w:val="20"/>
        </w:rPr>
      </w:pPr>
      <w:r w:rsidRPr="009120FE">
        <w:rPr>
          <w:rFonts w:ascii="Arial" w:hAnsi="Arial" w:cs="Arial"/>
          <w:b/>
          <w:color w:val="auto"/>
          <w:sz w:val="20"/>
          <w:szCs w:val="20"/>
        </w:rPr>
        <w:t>Artículo 30.</w:t>
      </w:r>
      <w:r w:rsidRPr="009120FE">
        <w:rPr>
          <w:rFonts w:ascii="Arial" w:hAnsi="Arial" w:cs="Arial"/>
          <w:color w:val="auto"/>
          <w:sz w:val="20"/>
          <w:szCs w:val="20"/>
        </w:rPr>
        <w:t xml:space="preserve"> De conformidad con el cronograma, las asambleas municipales se podrán celebrar entre 15 y 20 días antes de la fecha de la Asamblea Estatal; los resultados deberán entregarse a más tardar 48 horas después de celebrada la Asamblea Municipal. </w:t>
      </w:r>
    </w:p>
    <w:p w14:paraId="7FEEC6FA" w14:textId="77777777" w:rsidR="003625FE" w:rsidRPr="009120FE" w:rsidRDefault="003625FE" w:rsidP="009120FE">
      <w:pPr>
        <w:pStyle w:val="Default"/>
        <w:ind w:left="709" w:right="616"/>
        <w:jc w:val="both"/>
        <w:rPr>
          <w:rFonts w:ascii="Arial" w:hAnsi="Arial" w:cs="Arial"/>
          <w:color w:val="auto"/>
          <w:sz w:val="20"/>
          <w:szCs w:val="20"/>
        </w:rPr>
      </w:pPr>
      <w:r w:rsidRPr="009120FE">
        <w:rPr>
          <w:rFonts w:ascii="Arial" w:hAnsi="Arial" w:cs="Arial"/>
          <w:color w:val="auto"/>
          <w:sz w:val="20"/>
          <w:szCs w:val="20"/>
        </w:rPr>
        <w:t xml:space="preserve">El Comité Directivo Municipal entregará los resultados al Secretario General del Comité Directivo Estatal, anexando el acta de la sesión de la Asamblea Municipal, la lista de delegados numerarios y los nombres de las propuestas de candidatos electos. </w:t>
      </w:r>
    </w:p>
    <w:p w14:paraId="06544EC6" w14:textId="77777777" w:rsidR="003625FE" w:rsidRPr="009120FE" w:rsidRDefault="003625FE" w:rsidP="009120FE">
      <w:pPr>
        <w:pStyle w:val="Default"/>
        <w:ind w:left="709" w:right="616"/>
        <w:jc w:val="both"/>
        <w:rPr>
          <w:rFonts w:ascii="Arial" w:hAnsi="Arial" w:cs="Arial"/>
          <w:color w:val="auto"/>
          <w:sz w:val="20"/>
          <w:szCs w:val="20"/>
        </w:rPr>
      </w:pPr>
    </w:p>
    <w:p w14:paraId="6B5EAF69" w14:textId="77777777" w:rsidR="003625FE" w:rsidRPr="009120FE" w:rsidRDefault="003625FE" w:rsidP="009120FE">
      <w:pPr>
        <w:pStyle w:val="Default"/>
        <w:ind w:left="709" w:right="616"/>
        <w:jc w:val="both"/>
        <w:rPr>
          <w:rFonts w:ascii="Arial" w:hAnsi="Arial" w:cs="Arial"/>
          <w:color w:val="auto"/>
          <w:sz w:val="20"/>
          <w:szCs w:val="20"/>
        </w:rPr>
      </w:pPr>
      <w:r w:rsidRPr="009120FE">
        <w:rPr>
          <w:rFonts w:ascii="Arial" w:hAnsi="Arial" w:cs="Arial"/>
          <w:b/>
          <w:color w:val="auto"/>
          <w:sz w:val="20"/>
          <w:szCs w:val="20"/>
        </w:rPr>
        <w:t>Artículo 31.</w:t>
      </w:r>
      <w:r w:rsidRPr="009120FE">
        <w:rPr>
          <w:rFonts w:ascii="Arial" w:hAnsi="Arial" w:cs="Arial"/>
          <w:color w:val="auto"/>
          <w:sz w:val="20"/>
          <w:szCs w:val="20"/>
        </w:rPr>
        <w:t xml:space="preserve"> En la Asamblea Estatal correspondiente, se procederá de la siguiente manera: </w:t>
      </w:r>
    </w:p>
    <w:p w14:paraId="2A7C32CD" w14:textId="77777777" w:rsidR="003625FE" w:rsidRPr="009120FE" w:rsidRDefault="003625FE" w:rsidP="009120FE">
      <w:pPr>
        <w:pStyle w:val="Default"/>
        <w:ind w:left="709" w:right="616"/>
        <w:jc w:val="both"/>
        <w:rPr>
          <w:rFonts w:ascii="Arial" w:hAnsi="Arial" w:cs="Arial"/>
          <w:color w:val="auto"/>
          <w:sz w:val="20"/>
          <w:szCs w:val="20"/>
        </w:rPr>
      </w:pPr>
      <w:r w:rsidRPr="009120FE">
        <w:rPr>
          <w:rFonts w:ascii="Arial" w:hAnsi="Arial" w:cs="Arial"/>
          <w:color w:val="auto"/>
          <w:sz w:val="20"/>
          <w:szCs w:val="20"/>
        </w:rPr>
        <w:t xml:space="preserve">a) Los delegados numerarios votarán en cédula por el cuarenta por ciento del número de consejeros a que hace referencia el artículo 25 de este reglamento para la conformación del Consejo Nacional. </w:t>
      </w:r>
      <w:r w:rsidRPr="009120FE">
        <w:rPr>
          <w:rFonts w:ascii="Arial" w:hAnsi="Arial" w:cs="Arial"/>
          <w:b/>
          <w:color w:val="auto"/>
          <w:sz w:val="20"/>
          <w:szCs w:val="20"/>
        </w:rPr>
        <w:t>Cada delegado emitirá al menos el 40% de votos a un género distinto. Las fracciones se redondearán a la unidad.</w:t>
      </w:r>
      <w:r w:rsidRPr="009120FE">
        <w:rPr>
          <w:rFonts w:ascii="Arial" w:hAnsi="Arial" w:cs="Arial"/>
          <w:color w:val="auto"/>
          <w:sz w:val="20"/>
          <w:szCs w:val="20"/>
        </w:rPr>
        <w:t xml:space="preserve"> </w:t>
      </w:r>
    </w:p>
    <w:p w14:paraId="79B5AC6C" w14:textId="77777777" w:rsidR="003625FE" w:rsidRPr="009120FE" w:rsidRDefault="003625FE" w:rsidP="009120FE">
      <w:pPr>
        <w:pStyle w:val="Default"/>
        <w:ind w:left="709" w:right="616"/>
        <w:jc w:val="both"/>
        <w:rPr>
          <w:rFonts w:ascii="Arial" w:hAnsi="Arial" w:cs="Arial"/>
          <w:color w:val="auto"/>
          <w:sz w:val="20"/>
          <w:szCs w:val="20"/>
        </w:rPr>
      </w:pPr>
      <w:r w:rsidRPr="009120FE">
        <w:rPr>
          <w:rFonts w:ascii="Arial" w:hAnsi="Arial" w:cs="Arial"/>
          <w:color w:val="auto"/>
          <w:sz w:val="20"/>
          <w:szCs w:val="20"/>
        </w:rPr>
        <w:t xml:space="preserve">La elección de los consejeros nacionales se expresará en forma personal y secreta. </w:t>
      </w:r>
    </w:p>
    <w:p w14:paraId="49A4B627" w14:textId="77777777" w:rsidR="003625FE" w:rsidRPr="009120FE" w:rsidRDefault="003625FE" w:rsidP="009120FE">
      <w:pPr>
        <w:pStyle w:val="Default"/>
        <w:ind w:left="709" w:right="616"/>
        <w:jc w:val="both"/>
        <w:rPr>
          <w:rFonts w:ascii="Arial" w:hAnsi="Arial" w:cs="Arial"/>
          <w:color w:val="auto"/>
          <w:sz w:val="20"/>
          <w:szCs w:val="20"/>
        </w:rPr>
      </w:pPr>
      <w:r w:rsidRPr="009120FE">
        <w:rPr>
          <w:rFonts w:ascii="Arial" w:hAnsi="Arial" w:cs="Arial"/>
          <w:color w:val="auto"/>
          <w:sz w:val="20"/>
          <w:szCs w:val="20"/>
        </w:rPr>
        <w:t xml:space="preserve">El método de votación podrá ser mediante alguna de las siguientes maneras: </w:t>
      </w:r>
    </w:p>
    <w:p w14:paraId="4EECC704" w14:textId="77777777" w:rsidR="003625FE" w:rsidRPr="009120FE" w:rsidRDefault="003625FE" w:rsidP="009120FE">
      <w:pPr>
        <w:pStyle w:val="Default"/>
        <w:ind w:left="709" w:right="616"/>
        <w:jc w:val="both"/>
        <w:rPr>
          <w:rFonts w:ascii="Arial" w:hAnsi="Arial" w:cs="Arial"/>
          <w:color w:val="auto"/>
          <w:sz w:val="20"/>
          <w:szCs w:val="20"/>
        </w:rPr>
      </w:pPr>
      <w:r w:rsidRPr="009120FE">
        <w:rPr>
          <w:rFonts w:ascii="Arial" w:hAnsi="Arial" w:cs="Arial"/>
          <w:color w:val="auto"/>
          <w:sz w:val="20"/>
          <w:szCs w:val="20"/>
        </w:rPr>
        <w:t xml:space="preserve">1. En cédulas de votación. </w:t>
      </w:r>
    </w:p>
    <w:p w14:paraId="6C9BBDEA" w14:textId="77777777" w:rsidR="003625FE" w:rsidRPr="009120FE" w:rsidRDefault="003625FE" w:rsidP="009120FE">
      <w:pPr>
        <w:pStyle w:val="Default"/>
        <w:ind w:left="709" w:right="616"/>
        <w:jc w:val="both"/>
        <w:rPr>
          <w:rFonts w:ascii="Arial" w:hAnsi="Arial" w:cs="Arial"/>
          <w:color w:val="auto"/>
          <w:sz w:val="20"/>
          <w:szCs w:val="20"/>
        </w:rPr>
      </w:pPr>
      <w:r w:rsidRPr="009120FE">
        <w:rPr>
          <w:rFonts w:ascii="Arial" w:hAnsi="Arial" w:cs="Arial"/>
          <w:color w:val="auto"/>
          <w:sz w:val="20"/>
          <w:szCs w:val="20"/>
        </w:rPr>
        <w:t xml:space="preserve">2. En sistemas electrónicos que emitan una cédula </w:t>
      </w:r>
    </w:p>
    <w:p w14:paraId="2DD1B591" w14:textId="77777777" w:rsidR="003625FE" w:rsidRPr="009120FE" w:rsidRDefault="003625FE" w:rsidP="009120FE">
      <w:pPr>
        <w:pStyle w:val="Default"/>
        <w:ind w:left="709" w:right="616"/>
        <w:jc w:val="both"/>
        <w:rPr>
          <w:rFonts w:ascii="Arial" w:hAnsi="Arial" w:cs="Arial"/>
          <w:color w:val="auto"/>
          <w:sz w:val="20"/>
          <w:szCs w:val="20"/>
        </w:rPr>
      </w:pPr>
      <w:r w:rsidRPr="009120FE">
        <w:rPr>
          <w:rFonts w:ascii="Arial" w:hAnsi="Arial" w:cs="Arial"/>
          <w:color w:val="auto"/>
          <w:sz w:val="20"/>
          <w:szCs w:val="20"/>
        </w:rPr>
        <w:t xml:space="preserve">El escrutinio y el cómputo podrán ser manuales y/o electrónicos. Estos, así como el método de votación, deberán contar con la autorización previa de la Secretaría Nacional de Fortalecimiento Interno. </w:t>
      </w:r>
    </w:p>
    <w:p w14:paraId="612F4361" w14:textId="77777777" w:rsidR="003625FE" w:rsidRPr="009120FE" w:rsidRDefault="003625FE" w:rsidP="009120FE">
      <w:pPr>
        <w:pStyle w:val="Default"/>
        <w:ind w:left="709" w:right="616"/>
        <w:jc w:val="both"/>
        <w:rPr>
          <w:rFonts w:ascii="Arial" w:hAnsi="Arial" w:cs="Arial"/>
          <w:color w:val="auto"/>
          <w:sz w:val="20"/>
          <w:szCs w:val="20"/>
        </w:rPr>
      </w:pPr>
      <w:r w:rsidRPr="009120FE">
        <w:rPr>
          <w:rFonts w:ascii="Arial" w:hAnsi="Arial" w:cs="Arial"/>
          <w:color w:val="auto"/>
          <w:sz w:val="20"/>
          <w:szCs w:val="20"/>
        </w:rPr>
        <w:t xml:space="preserve">El órgano responsable de la organización de la Asamblea Estatal brindará todas las facilidades para el desempeño de la encomienda del representante de la Secretaría Nacional de Fortalecimiento Interno que acudirá a la Asamblea Estatal. </w:t>
      </w:r>
    </w:p>
    <w:p w14:paraId="6D38D9EB" w14:textId="77777777" w:rsidR="003625FE" w:rsidRPr="009120FE" w:rsidRDefault="003625FE" w:rsidP="009120FE">
      <w:pPr>
        <w:pStyle w:val="Default"/>
        <w:ind w:left="709" w:right="616"/>
        <w:jc w:val="both"/>
        <w:rPr>
          <w:rFonts w:ascii="Arial" w:hAnsi="Arial" w:cs="Arial"/>
          <w:color w:val="auto"/>
          <w:sz w:val="20"/>
          <w:szCs w:val="20"/>
        </w:rPr>
      </w:pPr>
      <w:r w:rsidRPr="009120FE">
        <w:rPr>
          <w:rFonts w:ascii="Arial" w:hAnsi="Arial" w:cs="Arial"/>
          <w:color w:val="auto"/>
          <w:sz w:val="20"/>
          <w:szCs w:val="20"/>
        </w:rPr>
        <w:lastRenderedPageBreak/>
        <w:t xml:space="preserve">El representante de la Secretaría Nacional de Fortalecimiento Interno revisará y avalará todo el proceso de votación. </w:t>
      </w:r>
    </w:p>
    <w:p w14:paraId="390D0BFA" w14:textId="77777777" w:rsidR="003625FE" w:rsidRPr="009120FE" w:rsidRDefault="003625FE" w:rsidP="009120FE">
      <w:pPr>
        <w:pStyle w:val="Default"/>
        <w:ind w:left="709" w:right="616"/>
        <w:jc w:val="both"/>
        <w:rPr>
          <w:rFonts w:ascii="Arial" w:hAnsi="Arial" w:cs="Arial"/>
          <w:color w:val="auto"/>
          <w:sz w:val="20"/>
          <w:szCs w:val="20"/>
        </w:rPr>
      </w:pPr>
      <w:r w:rsidRPr="009120FE">
        <w:rPr>
          <w:rFonts w:ascii="Arial" w:hAnsi="Arial" w:cs="Arial"/>
          <w:color w:val="auto"/>
          <w:sz w:val="20"/>
          <w:szCs w:val="20"/>
        </w:rPr>
        <w:t xml:space="preserve">Una vez terminado el cómputo de la votación, el representante del órgano responsable de la asamblea deberá entregar inmediatamente una copia de las matrices con la base de datos de los votos emitidos por cada delegado numerario para la elección del consejo nacional, a fin de que haga una interpretación espejo de los resultados.  </w:t>
      </w:r>
    </w:p>
    <w:p w14:paraId="4491362F" w14:textId="77777777" w:rsidR="003625FE" w:rsidRPr="009120FE" w:rsidRDefault="003625FE" w:rsidP="009120FE">
      <w:pPr>
        <w:pStyle w:val="Default"/>
        <w:ind w:left="709" w:right="616"/>
        <w:jc w:val="both"/>
        <w:rPr>
          <w:rFonts w:ascii="Arial" w:hAnsi="Arial" w:cs="Arial"/>
          <w:color w:val="auto"/>
          <w:sz w:val="20"/>
          <w:szCs w:val="20"/>
        </w:rPr>
      </w:pPr>
      <w:r w:rsidRPr="009120FE">
        <w:rPr>
          <w:rFonts w:ascii="Arial" w:hAnsi="Arial" w:cs="Arial"/>
          <w:color w:val="auto"/>
          <w:sz w:val="20"/>
          <w:szCs w:val="20"/>
        </w:rPr>
        <w:t xml:space="preserve">b) El número de votos obtenidos por los candidatos establecerá el orden de la lista de los consejeros nacionales electos que le corresponden a la entidad, para su ratificación por la Asamblea Nacional. </w:t>
      </w:r>
    </w:p>
    <w:p w14:paraId="11D8840A" w14:textId="77777777" w:rsidR="003625FE" w:rsidRPr="009120FE" w:rsidRDefault="003625FE" w:rsidP="009120FE">
      <w:pPr>
        <w:pStyle w:val="Default"/>
        <w:ind w:left="709" w:right="616"/>
        <w:jc w:val="both"/>
        <w:rPr>
          <w:rFonts w:ascii="Arial" w:hAnsi="Arial" w:cs="Arial"/>
          <w:color w:val="auto"/>
          <w:sz w:val="20"/>
          <w:szCs w:val="20"/>
        </w:rPr>
      </w:pPr>
      <w:r w:rsidRPr="009120FE">
        <w:rPr>
          <w:rFonts w:ascii="Arial" w:hAnsi="Arial" w:cs="Arial"/>
          <w:color w:val="auto"/>
          <w:sz w:val="20"/>
          <w:szCs w:val="20"/>
        </w:rPr>
        <w:t xml:space="preserve">En casos de empate se estará a lo dispuesto en el artículo 29 de este reglamento; </w:t>
      </w:r>
    </w:p>
    <w:p w14:paraId="3A4E3ABE" w14:textId="77777777" w:rsidR="003625FE" w:rsidRPr="009120FE" w:rsidRDefault="003625FE" w:rsidP="009120FE">
      <w:pPr>
        <w:pStyle w:val="Default"/>
        <w:ind w:left="709" w:right="616"/>
        <w:jc w:val="both"/>
        <w:rPr>
          <w:rFonts w:ascii="Arial" w:hAnsi="Arial" w:cs="Arial"/>
          <w:color w:val="auto"/>
          <w:sz w:val="20"/>
          <w:szCs w:val="20"/>
        </w:rPr>
      </w:pPr>
      <w:r w:rsidRPr="009120FE">
        <w:rPr>
          <w:rFonts w:ascii="Arial" w:hAnsi="Arial" w:cs="Arial"/>
          <w:color w:val="auto"/>
          <w:sz w:val="20"/>
          <w:szCs w:val="20"/>
        </w:rPr>
        <w:t xml:space="preserve">c) Si el número de propuestas surgidas de las asambleas municipales es igual o menor al número de consejeros que le corresponde elegir a la entidad, se procederá a la votación en forma económica para su ratificación. En caso de que una Asamblea Estatal rechazara la lista, se turnará a la Comisión Permanente Nacional para que resuelva. </w:t>
      </w:r>
    </w:p>
    <w:p w14:paraId="66304CF5" w14:textId="77777777" w:rsidR="003625FE" w:rsidRPr="009120FE" w:rsidRDefault="003625FE" w:rsidP="009120FE">
      <w:pPr>
        <w:pStyle w:val="Default"/>
        <w:ind w:left="709" w:right="616"/>
        <w:jc w:val="both"/>
        <w:rPr>
          <w:rFonts w:ascii="Arial" w:hAnsi="Arial" w:cs="Arial"/>
          <w:color w:val="auto"/>
          <w:sz w:val="20"/>
          <w:szCs w:val="20"/>
        </w:rPr>
      </w:pPr>
      <w:r w:rsidRPr="009120FE">
        <w:rPr>
          <w:rFonts w:ascii="Arial" w:hAnsi="Arial" w:cs="Arial"/>
          <w:color w:val="auto"/>
          <w:sz w:val="20"/>
          <w:szCs w:val="20"/>
        </w:rPr>
        <w:t xml:space="preserve">En caso de que el número de propuestas emanadas de las asambleas municipales no permitan cumplir con el porcentaje mínimo de representación por género en los candidatos que tenga derecho a elegir la entidad, se recorrerá la lista del género </w:t>
      </w:r>
      <w:proofErr w:type="gramStart"/>
      <w:r w:rsidRPr="009120FE">
        <w:rPr>
          <w:rFonts w:ascii="Arial" w:hAnsi="Arial" w:cs="Arial"/>
          <w:color w:val="auto"/>
          <w:sz w:val="20"/>
          <w:szCs w:val="20"/>
        </w:rPr>
        <w:t>sub representado</w:t>
      </w:r>
      <w:proofErr w:type="gramEnd"/>
      <w:r w:rsidRPr="009120FE">
        <w:rPr>
          <w:rFonts w:ascii="Arial" w:hAnsi="Arial" w:cs="Arial"/>
          <w:color w:val="auto"/>
          <w:sz w:val="20"/>
          <w:szCs w:val="20"/>
        </w:rPr>
        <w:t xml:space="preserve">. </w:t>
      </w:r>
    </w:p>
    <w:p w14:paraId="66054D36" w14:textId="77777777" w:rsidR="003625FE" w:rsidRPr="009120FE" w:rsidRDefault="003625FE" w:rsidP="009120FE">
      <w:pPr>
        <w:pStyle w:val="Default"/>
        <w:ind w:left="709" w:right="616"/>
        <w:jc w:val="both"/>
        <w:rPr>
          <w:rFonts w:ascii="Arial" w:hAnsi="Arial" w:cs="Arial"/>
          <w:color w:val="auto"/>
          <w:sz w:val="20"/>
          <w:szCs w:val="20"/>
        </w:rPr>
      </w:pPr>
      <w:r w:rsidRPr="009120FE">
        <w:rPr>
          <w:rFonts w:ascii="Arial" w:hAnsi="Arial" w:cs="Arial"/>
          <w:color w:val="auto"/>
          <w:sz w:val="20"/>
          <w:szCs w:val="20"/>
        </w:rPr>
        <w:t xml:space="preserve">Para cumplir con los requisitos que establece la legislación electoral, los comités directivos estatales deberán anexar la convocatoria, orden del día, acta y lista de asistencia de la asamblea; así como copia de la credencial para votar con fotografía de cada uno de los integrantes del Consejo Nacional electo. </w:t>
      </w:r>
    </w:p>
    <w:p w14:paraId="746FF445" w14:textId="77777777" w:rsidR="003625FE" w:rsidRPr="009120FE" w:rsidRDefault="003625FE" w:rsidP="009120FE">
      <w:pPr>
        <w:pStyle w:val="Default"/>
        <w:ind w:left="709" w:right="616"/>
        <w:jc w:val="both"/>
        <w:rPr>
          <w:rFonts w:ascii="Arial" w:hAnsi="Arial" w:cs="Arial"/>
          <w:color w:val="auto"/>
          <w:sz w:val="20"/>
          <w:szCs w:val="20"/>
        </w:rPr>
      </w:pPr>
    </w:p>
    <w:p w14:paraId="05FAEB3D" w14:textId="77777777" w:rsidR="003625FE" w:rsidRPr="009120FE" w:rsidRDefault="003625FE" w:rsidP="009120FE">
      <w:pPr>
        <w:pStyle w:val="Default"/>
        <w:ind w:left="709" w:right="616"/>
        <w:jc w:val="both"/>
        <w:rPr>
          <w:rFonts w:ascii="Arial" w:hAnsi="Arial" w:cs="Arial"/>
          <w:color w:val="auto"/>
          <w:sz w:val="20"/>
          <w:szCs w:val="20"/>
        </w:rPr>
      </w:pPr>
      <w:r w:rsidRPr="009120FE">
        <w:rPr>
          <w:rFonts w:ascii="Arial" w:hAnsi="Arial" w:cs="Arial"/>
          <w:b/>
          <w:color w:val="auto"/>
          <w:sz w:val="20"/>
          <w:szCs w:val="20"/>
        </w:rPr>
        <w:t>Artículo 32.</w:t>
      </w:r>
      <w:r w:rsidRPr="009120FE">
        <w:rPr>
          <w:rFonts w:ascii="Arial" w:hAnsi="Arial" w:cs="Arial"/>
          <w:color w:val="auto"/>
          <w:sz w:val="20"/>
          <w:szCs w:val="20"/>
        </w:rPr>
        <w:t xml:space="preserve"> Si por caso fortuito o de fuerza mayor, la Asamblea Estatal no pudiera celebrarse, la Comisión Permanente Nacional elegirá a los consejeros nacionales que correspondan a la entidad, mediante sorteo, en términos del manual respectivo, de entre los candidatos elegidos en las asambleas municipales y de las propuestas de Comité Directivo Estatal. </w:t>
      </w:r>
    </w:p>
    <w:p w14:paraId="061F337E" w14:textId="77777777" w:rsidR="003625FE" w:rsidRPr="009120FE" w:rsidRDefault="003625FE" w:rsidP="009120FE">
      <w:pPr>
        <w:pStyle w:val="Default"/>
        <w:ind w:left="709" w:right="616"/>
        <w:jc w:val="both"/>
        <w:rPr>
          <w:rFonts w:ascii="Arial" w:hAnsi="Arial" w:cs="Arial"/>
          <w:color w:val="auto"/>
          <w:sz w:val="20"/>
          <w:szCs w:val="20"/>
        </w:rPr>
      </w:pPr>
      <w:r w:rsidRPr="009120FE">
        <w:rPr>
          <w:rFonts w:ascii="Arial" w:hAnsi="Arial" w:cs="Arial"/>
          <w:color w:val="auto"/>
          <w:sz w:val="20"/>
          <w:szCs w:val="20"/>
        </w:rPr>
        <w:t xml:space="preserve">En caso de que el número de propuestas que lleguen a la Asamblea </w:t>
      </w:r>
      <w:proofErr w:type="gramStart"/>
      <w:r w:rsidRPr="009120FE">
        <w:rPr>
          <w:rFonts w:ascii="Arial" w:hAnsi="Arial" w:cs="Arial"/>
          <w:color w:val="auto"/>
          <w:sz w:val="20"/>
          <w:szCs w:val="20"/>
        </w:rPr>
        <w:t>Estatal,</w:t>
      </w:r>
      <w:proofErr w:type="gramEnd"/>
      <w:r w:rsidRPr="009120FE">
        <w:rPr>
          <w:rFonts w:ascii="Arial" w:hAnsi="Arial" w:cs="Arial"/>
          <w:color w:val="auto"/>
          <w:sz w:val="20"/>
          <w:szCs w:val="20"/>
        </w:rPr>
        <w:t xml:space="preserve"> sea igual o menor al número de propuestas que le corresponde al estado, los mismos podrán ser ratificados mediante votación económica. </w:t>
      </w:r>
    </w:p>
    <w:p w14:paraId="76072251" w14:textId="77777777" w:rsidR="003625FE" w:rsidRPr="009120FE" w:rsidRDefault="003625FE" w:rsidP="009120FE">
      <w:pPr>
        <w:pStyle w:val="Default"/>
        <w:ind w:left="709" w:right="616"/>
        <w:jc w:val="both"/>
        <w:rPr>
          <w:rFonts w:ascii="Arial" w:hAnsi="Arial" w:cs="Arial"/>
          <w:color w:val="auto"/>
          <w:sz w:val="20"/>
          <w:szCs w:val="20"/>
        </w:rPr>
      </w:pPr>
    </w:p>
    <w:p w14:paraId="0ABC6A73" w14:textId="77777777" w:rsidR="003625FE" w:rsidRPr="009120FE" w:rsidRDefault="003625FE" w:rsidP="009120FE">
      <w:pPr>
        <w:pStyle w:val="Default"/>
        <w:ind w:left="709" w:right="616"/>
        <w:jc w:val="both"/>
        <w:rPr>
          <w:rFonts w:ascii="Arial" w:hAnsi="Arial" w:cs="Arial"/>
          <w:color w:val="auto"/>
          <w:sz w:val="20"/>
          <w:szCs w:val="20"/>
        </w:rPr>
      </w:pPr>
      <w:r w:rsidRPr="009120FE">
        <w:rPr>
          <w:rFonts w:ascii="Arial" w:hAnsi="Arial" w:cs="Arial"/>
          <w:b/>
          <w:color w:val="auto"/>
          <w:sz w:val="20"/>
          <w:szCs w:val="20"/>
        </w:rPr>
        <w:t>Artículo 33.</w:t>
      </w:r>
      <w:r w:rsidRPr="009120FE">
        <w:rPr>
          <w:rFonts w:ascii="Arial" w:hAnsi="Arial" w:cs="Arial"/>
          <w:color w:val="auto"/>
          <w:sz w:val="20"/>
          <w:szCs w:val="20"/>
        </w:rPr>
        <w:t xml:space="preserve"> El Secretario General del Comité Directivo Estatal registrará ante el Comité Ejecutivo Nacional, a los consejeros nacionales electos en Asamblea Estatal, a más tardar 72 horas posteriores a la celebración de dicha asamblea.</w:t>
      </w:r>
    </w:p>
    <w:p w14:paraId="794C7C57" w14:textId="77777777" w:rsidR="003625FE" w:rsidRPr="009120FE" w:rsidRDefault="003625FE" w:rsidP="009120FE">
      <w:pPr>
        <w:pStyle w:val="Default"/>
        <w:ind w:left="709" w:right="616"/>
        <w:jc w:val="both"/>
        <w:rPr>
          <w:rFonts w:ascii="Arial" w:hAnsi="Arial" w:cs="Arial"/>
          <w:color w:val="auto"/>
          <w:sz w:val="20"/>
          <w:szCs w:val="20"/>
        </w:rPr>
      </w:pPr>
    </w:p>
    <w:p w14:paraId="064B0926" w14:textId="77777777" w:rsidR="003625FE" w:rsidRPr="009120FE" w:rsidRDefault="003625FE" w:rsidP="009120FE">
      <w:pPr>
        <w:pStyle w:val="Default"/>
        <w:ind w:left="709" w:right="616"/>
        <w:jc w:val="center"/>
        <w:rPr>
          <w:rFonts w:ascii="Arial" w:hAnsi="Arial" w:cs="Arial"/>
          <w:b/>
          <w:color w:val="auto"/>
          <w:sz w:val="20"/>
          <w:szCs w:val="20"/>
        </w:rPr>
      </w:pPr>
    </w:p>
    <w:p w14:paraId="07AAADE1" w14:textId="77777777" w:rsidR="003625FE" w:rsidRPr="009120FE" w:rsidRDefault="003625FE" w:rsidP="009120FE">
      <w:pPr>
        <w:pStyle w:val="Default"/>
        <w:ind w:left="709" w:right="616"/>
        <w:jc w:val="center"/>
        <w:rPr>
          <w:rFonts w:ascii="Arial" w:hAnsi="Arial" w:cs="Arial"/>
          <w:b/>
          <w:color w:val="auto"/>
          <w:sz w:val="20"/>
          <w:szCs w:val="20"/>
        </w:rPr>
      </w:pPr>
    </w:p>
    <w:p w14:paraId="39DD579F" w14:textId="77777777" w:rsidR="003625FE" w:rsidRPr="009120FE" w:rsidRDefault="003625FE" w:rsidP="009120FE">
      <w:pPr>
        <w:pStyle w:val="Default"/>
        <w:ind w:left="709" w:right="616"/>
        <w:jc w:val="center"/>
        <w:rPr>
          <w:rFonts w:ascii="Arial" w:hAnsi="Arial" w:cs="Arial"/>
          <w:b/>
          <w:color w:val="auto"/>
          <w:sz w:val="20"/>
          <w:szCs w:val="20"/>
        </w:rPr>
      </w:pPr>
      <w:r w:rsidRPr="009120FE">
        <w:rPr>
          <w:rFonts w:ascii="Arial" w:hAnsi="Arial" w:cs="Arial"/>
          <w:b/>
          <w:color w:val="auto"/>
          <w:sz w:val="20"/>
          <w:szCs w:val="20"/>
        </w:rPr>
        <w:t>Convocatoria para la Asamblea Estatal que se celebró el dieciséis de febrero de dos mil catorce en el Estado de Chiapas.</w:t>
      </w:r>
    </w:p>
    <w:p w14:paraId="7B774227" w14:textId="77777777" w:rsidR="003625FE" w:rsidRPr="009120FE" w:rsidRDefault="003625FE" w:rsidP="009120FE">
      <w:pPr>
        <w:pStyle w:val="Default"/>
        <w:ind w:left="709" w:right="616"/>
        <w:rPr>
          <w:rFonts w:ascii="Arial" w:hAnsi="Arial" w:cs="Arial"/>
          <w:b/>
          <w:color w:val="auto"/>
          <w:sz w:val="20"/>
          <w:szCs w:val="20"/>
        </w:rPr>
      </w:pPr>
      <w:r w:rsidRPr="009120FE">
        <w:rPr>
          <w:rFonts w:ascii="Arial" w:hAnsi="Arial" w:cs="Arial"/>
          <w:b/>
          <w:color w:val="auto"/>
          <w:sz w:val="20"/>
          <w:szCs w:val="20"/>
        </w:rPr>
        <w:t>…</w:t>
      </w:r>
    </w:p>
    <w:p w14:paraId="2931D8BE" w14:textId="77777777" w:rsidR="003625FE" w:rsidRPr="009120FE" w:rsidRDefault="003625FE" w:rsidP="009120FE">
      <w:pPr>
        <w:spacing w:after="0" w:line="240" w:lineRule="auto"/>
        <w:ind w:left="709" w:right="616"/>
        <w:jc w:val="center"/>
        <w:rPr>
          <w:rFonts w:ascii="Arial" w:eastAsia="Times New Roman" w:hAnsi="Arial" w:cs="Arial"/>
          <w:b/>
          <w:sz w:val="20"/>
          <w:szCs w:val="20"/>
          <w:lang w:eastAsia="es-ES"/>
        </w:rPr>
      </w:pPr>
      <w:r w:rsidRPr="009120FE">
        <w:rPr>
          <w:rFonts w:ascii="Arial" w:eastAsia="Times New Roman" w:hAnsi="Arial" w:cs="Arial"/>
          <w:b/>
          <w:sz w:val="20"/>
          <w:szCs w:val="20"/>
          <w:lang w:eastAsia="es-ES"/>
        </w:rPr>
        <w:t>Capítulo XI.</w:t>
      </w:r>
    </w:p>
    <w:p w14:paraId="7854AD30" w14:textId="77777777" w:rsidR="003625FE" w:rsidRPr="009120FE" w:rsidRDefault="003625FE" w:rsidP="009120FE">
      <w:pPr>
        <w:spacing w:after="0" w:line="240" w:lineRule="auto"/>
        <w:ind w:left="709" w:right="616"/>
        <w:jc w:val="center"/>
        <w:rPr>
          <w:rFonts w:ascii="Arial" w:eastAsia="Times New Roman" w:hAnsi="Arial" w:cs="Arial"/>
          <w:b/>
          <w:sz w:val="20"/>
          <w:szCs w:val="20"/>
          <w:lang w:eastAsia="es-ES"/>
        </w:rPr>
      </w:pPr>
    </w:p>
    <w:p w14:paraId="6385052B" w14:textId="77777777" w:rsidR="003625FE" w:rsidRPr="009120FE" w:rsidRDefault="003625FE" w:rsidP="009120FE">
      <w:pPr>
        <w:spacing w:after="0" w:line="240" w:lineRule="auto"/>
        <w:ind w:left="709" w:right="616"/>
        <w:jc w:val="center"/>
        <w:rPr>
          <w:rFonts w:ascii="Arial" w:eastAsia="Times New Roman" w:hAnsi="Arial" w:cs="Arial"/>
          <w:b/>
          <w:sz w:val="20"/>
          <w:szCs w:val="20"/>
          <w:lang w:eastAsia="es-ES"/>
        </w:rPr>
      </w:pPr>
      <w:r w:rsidRPr="009120FE">
        <w:rPr>
          <w:rFonts w:ascii="Arial" w:eastAsia="Times New Roman" w:hAnsi="Arial" w:cs="Arial"/>
          <w:b/>
          <w:sz w:val="20"/>
          <w:szCs w:val="20"/>
          <w:lang w:eastAsia="es-ES"/>
        </w:rPr>
        <w:t>De la elección de consejeros nacionales.</w:t>
      </w:r>
    </w:p>
    <w:p w14:paraId="012430D8" w14:textId="77777777" w:rsidR="003625FE" w:rsidRPr="009120FE" w:rsidRDefault="003625FE" w:rsidP="009120FE">
      <w:pPr>
        <w:spacing w:after="0" w:line="240" w:lineRule="auto"/>
        <w:ind w:left="709" w:right="616"/>
        <w:jc w:val="both"/>
        <w:rPr>
          <w:rFonts w:ascii="Arial" w:eastAsia="Times New Roman" w:hAnsi="Arial" w:cs="Arial"/>
          <w:sz w:val="20"/>
          <w:szCs w:val="20"/>
          <w:lang w:eastAsia="es-ES"/>
        </w:rPr>
      </w:pPr>
    </w:p>
    <w:p w14:paraId="6472895C" w14:textId="77777777" w:rsidR="003625FE" w:rsidRPr="009120FE" w:rsidRDefault="003625FE" w:rsidP="009120FE">
      <w:pPr>
        <w:spacing w:after="0" w:line="240" w:lineRule="auto"/>
        <w:ind w:left="709" w:right="616"/>
        <w:jc w:val="both"/>
        <w:rPr>
          <w:rFonts w:ascii="Arial" w:eastAsia="Times New Roman" w:hAnsi="Arial" w:cs="Arial"/>
          <w:sz w:val="20"/>
          <w:szCs w:val="20"/>
          <w:lang w:eastAsia="es-ES"/>
        </w:rPr>
      </w:pPr>
      <w:r w:rsidRPr="009120FE">
        <w:rPr>
          <w:rFonts w:ascii="Arial" w:eastAsia="Times New Roman" w:hAnsi="Arial" w:cs="Arial"/>
          <w:b/>
          <w:sz w:val="20"/>
          <w:szCs w:val="20"/>
          <w:lang w:eastAsia="es-ES"/>
        </w:rPr>
        <w:t>47.</w:t>
      </w:r>
      <w:r w:rsidRPr="009120FE">
        <w:rPr>
          <w:rFonts w:ascii="Arial" w:eastAsia="Times New Roman" w:hAnsi="Arial" w:cs="Arial"/>
          <w:sz w:val="20"/>
          <w:szCs w:val="20"/>
          <w:lang w:eastAsia="es-ES"/>
        </w:rPr>
        <w:t xml:space="preserve"> Al momento del registro en la asamblea estatal se entregará a cada delegado numerario un listado de candidatos al consejo nacional, conteniendo el nombre completo, el municipio del que proceden y una breve descripción partidista. En ningún momento habrá presentación de candidatos ni propaganda proselitista.</w:t>
      </w:r>
    </w:p>
    <w:p w14:paraId="190C85C9" w14:textId="77777777" w:rsidR="003625FE" w:rsidRPr="009120FE" w:rsidRDefault="003625FE" w:rsidP="009120FE">
      <w:pPr>
        <w:spacing w:after="0" w:line="240" w:lineRule="auto"/>
        <w:ind w:left="709" w:right="616"/>
        <w:jc w:val="both"/>
        <w:rPr>
          <w:rFonts w:ascii="Arial" w:eastAsia="Times New Roman" w:hAnsi="Arial" w:cs="Arial"/>
          <w:sz w:val="20"/>
          <w:szCs w:val="20"/>
          <w:lang w:eastAsia="es-ES"/>
        </w:rPr>
      </w:pPr>
    </w:p>
    <w:p w14:paraId="10753C86" w14:textId="77777777" w:rsidR="003625FE" w:rsidRPr="009120FE" w:rsidRDefault="003625FE" w:rsidP="009120FE">
      <w:pPr>
        <w:spacing w:after="0" w:line="240" w:lineRule="auto"/>
        <w:ind w:left="709" w:right="616"/>
        <w:jc w:val="both"/>
        <w:rPr>
          <w:rFonts w:ascii="Arial" w:eastAsia="Times New Roman" w:hAnsi="Arial" w:cs="Arial"/>
          <w:b/>
          <w:sz w:val="20"/>
          <w:szCs w:val="20"/>
          <w:lang w:eastAsia="es-ES"/>
        </w:rPr>
      </w:pPr>
      <w:r w:rsidRPr="009120FE">
        <w:rPr>
          <w:rFonts w:ascii="Arial" w:eastAsia="Times New Roman" w:hAnsi="Arial" w:cs="Arial"/>
          <w:b/>
          <w:sz w:val="20"/>
          <w:szCs w:val="20"/>
          <w:lang w:eastAsia="es-ES"/>
        </w:rPr>
        <w:t>48.</w:t>
      </w:r>
      <w:r w:rsidRPr="009120FE">
        <w:rPr>
          <w:rFonts w:ascii="Arial" w:eastAsia="Times New Roman" w:hAnsi="Arial" w:cs="Arial"/>
          <w:sz w:val="20"/>
          <w:szCs w:val="20"/>
          <w:lang w:eastAsia="es-ES"/>
        </w:rPr>
        <w:t xml:space="preserve"> En términos de lo dispuesto por el Artículo 25 del Reglamento de los Órganos Estatales y Municipales, el número de propuestas a consejeros nacionales que corresponden a la entidad será </w:t>
      </w:r>
      <w:proofErr w:type="gramStart"/>
      <w:r w:rsidRPr="009120FE">
        <w:rPr>
          <w:rFonts w:ascii="Arial" w:eastAsia="Times New Roman" w:hAnsi="Arial" w:cs="Arial"/>
          <w:sz w:val="20"/>
          <w:szCs w:val="20"/>
          <w:lang w:eastAsia="es-ES"/>
        </w:rPr>
        <w:t>de acuerdo al</w:t>
      </w:r>
      <w:proofErr w:type="gramEnd"/>
      <w:r w:rsidRPr="009120FE">
        <w:rPr>
          <w:rFonts w:ascii="Arial" w:eastAsia="Times New Roman" w:hAnsi="Arial" w:cs="Arial"/>
          <w:sz w:val="20"/>
          <w:szCs w:val="20"/>
          <w:lang w:eastAsia="es-ES"/>
        </w:rPr>
        <w:t xml:space="preserve"> Anexo 2 de la convocatoria y lineamientos de la XXII Asamblea Nacional Ordinaria. </w:t>
      </w:r>
      <w:r w:rsidRPr="009120FE">
        <w:rPr>
          <w:rFonts w:ascii="Arial" w:eastAsia="Times New Roman" w:hAnsi="Arial" w:cs="Arial"/>
          <w:b/>
          <w:sz w:val="20"/>
          <w:szCs w:val="20"/>
          <w:lang w:eastAsia="es-ES"/>
        </w:rPr>
        <w:t xml:space="preserve">Siendo las propuestas de al </w:t>
      </w:r>
      <w:r w:rsidRPr="009120FE">
        <w:rPr>
          <w:rFonts w:ascii="Arial" w:eastAsia="Times New Roman" w:hAnsi="Arial" w:cs="Arial"/>
          <w:b/>
          <w:sz w:val="20"/>
          <w:szCs w:val="20"/>
          <w:lang w:eastAsia="es-ES"/>
        </w:rPr>
        <w:lastRenderedPageBreak/>
        <w:t>menos el 40% de un género distinto, de conformidad al Anexo 3 que para este efecto emita la Secretaría Nacional de Fortalecimiento Interno.</w:t>
      </w:r>
    </w:p>
    <w:p w14:paraId="7C9FA59C" w14:textId="77777777" w:rsidR="003625FE" w:rsidRPr="009120FE" w:rsidRDefault="003625FE" w:rsidP="009120FE">
      <w:pPr>
        <w:spacing w:after="0" w:line="240" w:lineRule="auto"/>
        <w:ind w:left="709" w:right="616"/>
        <w:jc w:val="both"/>
        <w:rPr>
          <w:rFonts w:ascii="Arial" w:eastAsia="Times New Roman" w:hAnsi="Arial" w:cs="Arial"/>
          <w:sz w:val="20"/>
          <w:szCs w:val="20"/>
          <w:lang w:eastAsia="es-ES"/>
        </w:rPr>
      </w:pPr>
    </w:p>
    <w:p w14:paraId="13A15613" w14:textId="77777777" w:rsidR="003625FE" w:rsidRPr="009120FE" w:rsidRDefault="003625FE" w:rsidP="009120FE">
      <w:pPr>
        <w:spacing w:after="0" w:line="240" w:lineRule="auto"/>
        <w:ind w:left="709" w:right="616"/>
        <w:jc w:val="both"/>
        <w:rPr>
          <w:rFonts w:ascii="Arial" w:eastAsia="Times New Roman" w:hAnsi="Arial" w:cs="Arial"/>
          <w:sz w:val="20"/>
          <w:szCs w:val="20"/>
          <w:lang w:eastAsia="es-ES"/>
        </w:rPr>
      </w:pPr>
      <w:r w:rsidRPr="009120FE">
        <w:rPr>
          <w:rFonts w:ascii="Arial" w:eastAsia="Times New Roman" w:hAnsi="Arial" w:cs="Arial"/>
          <w:b/>
          <w:sz w:val="20"/>
          <w:szCs w:val="20"/>
          <w:lang w:eastAsia="es-ES"/>
        </w:rPr>
        <w:t>49.</w:t>
      </w:r>
      <w:r w:rsidRPr="009120FE">
        <w:rPr>
          <w:rFonts w:ascii="Arial" w:eastAsia="Times New Roman" w:hAnsi="Arial" w:cs="Arial"/>
          <w:sz w:val="20"/>
          <w:szCs w:val="20"/>
          <w:lang w:eastAsia="es-ES"/>
        </w:rPr>
        <w:t xml:space="preserve"> </w:t>
      </w:r>
      <w:r w:rsidRPr="009120FE">
        <w:rPr>
          <w:rFonts w:ascii="Arial" w:eastAsia="Times New Roman" w:hAnsi="Arial" w:cs="Arial"/>
          <w:b/>
          <w:sz w:val="20"/>
          <w:szCs w:val="20"/>
          <w:lang w:eastAsia="es-ES"/>
        </w:rPr>
        <w:t>De conformidad con el Artículo 31 del Reglamento de los Órganos Estatales y Municipales, cada delegado votará por el cuarenta por ciento del número de consejeros que le corresponden a la entidad, debiendo emitir al menos el 40% de sus votos a un género distinto.</w:t>
      </w:r>
      <w:r w:rsidRPr="009120FE">
        <w:rPr>
          <w:rFonts w:ascii="Arial" w:eastAsia="Times New Roman" w:hAnsi="Arial" w:cs="Arial"/>
          <w:sz w:val="20"/>
          <w:szCs w:val="20"/>
          <w:lang w:eastAsia="es-ES"/>
        </w:rPr>
        <w:t xml:space="preserve"> Para esta entidad, cada delegado votará </w:t>
      </w:r>
      <w:proofErr w:type="gramStart"/>
      <w:r w:rsidRPr="009120FE">
        <w:rPr>
          <w:rFonts w:ascii="Arial" w:eastAsia="Times New Roman" w:hAnsi="Arial" w:cs="Arial"/>
          <w:sz w:val="20"/>
          <w:szCs w:val="20"/>
          <w:lang w:eastAsia="es-ES"/>
        </w:rPr>
        <w:t>de acuerdo al</w:t>
      </w:r>
      <w:proofErr w:type="gramEnd"/>
      <w:r w:rsidRPr="009120FE">
        <w:rPr>
          <w:rFonts w:ascii="Arial" w:eastAsia="Times New Roman" w:hAnsi="Arial" w:cs="Arial"/>
          <w:sz w:val="20"/>
          <w:szCs w:val="20"/>
          <w:lang w:eastAsia="es-ES"/>
        </w:rPr>
        <w:t xml:space="preserve"> Anexo 3 que para tal efecto emita la Secretaría Nacional de Fortalecimiento Interno. En caso de que la boleta no cumpla con lo estipulado en este Anexo 3, se tomará como voto nulo.</w:t>
      </w:r>
    </w:p>
    <w:p w14:paraId="2F6FC8E1" w14:textId="77777777" w:rsidR="003625FE" w:rsidRPr="009120FE" w:rsidRDefault="003625FE" w:rsidP="009120FE">
      <w:pPr>
        <w:spacing w:after="0" w:line="240" w:lineRule="auto"/>
        <w:ind w:left="709" w:right="616"/>
        <w:jc w:val="both"/>
        <w:rPr>
          <w:rFonts w:ascii="Arial" w:eastAsia="Times New Roman" w:hAnsi="Arial" w:cs="Arial"/>
          <w:sz w:val="20"/>
          <w:szCs w:val="20"/>
          <w:lang w:eastAsia="es-ES"/>
        </w:rPr>
      </w:pPr>
    </w:p>
    <w:p w14:paraId="6E7A3F7E" w14:textId="77777777" w:rsidR="003625FE" w:rsidRPr="009120FE" w:rsidRDefault="003625FE" w:rsidP="009120FE">
      <w:pPr>
        <w:spacing w:after="0" w:line="240" w:lineRule="auto"/>
        <w:ind w:left="709" w:right="616"/>
        <w:jc w:val="both"/>
        <w:rPr>
          <w:rFonts w:ascii="Arial" w:eastAsia="Times New Roman" w:hAnsi="Arial" w:cs="Arial"/>
          <w:sz w:val="20"/>
          <w:szCs w:val="20"/>
          <w:lang w:eastAsia="es-ES"/>
        </w:rPr>
      </w:pPr>
      <w:r w:rsidRPr="009120FE">
        <w:rPr>
          <w:rFonts w:ascii="Arial" w:eastAsia="Times New Roman" w:hAnsi="Arial" w:cs="Arial"/>
          <w:b/>
          <w:sz w:val="20"/>
          <w:szCs w:val="20"/>
          <w:lang w:eastAsia="es-ES"/>
        </w:rPr>
        <w:t>50.</w:t>
      </w:r>
      <w:r w:rsidRPr="009120FE">
        <w:rPr>
          <w:rFonts w:ascii="Arial" w:eastAsia="Times New Roman" w:hAnsi="Arial" w:cs="Arial"/>
          <w:sz w:val="20"/>
          <w:szCs w:val="20"/>
          <w:lang w:eastAsia="es-ES"/>
        </w:rPr>
        <w:t xml:space="preserve"> La elección de los consejeros nacionales se expresará en forma persona y secreta. El método de votación será mediante cédulas de votación que para tal efecto imprima el Comité Directivo Estatal. De así solicitarlo, podrá utilizarse un sistema de votación electrónico que emita una cédula. Ambos medios deberán contar con el visto bueno de la Secretaría Nacional de Fortalecimiento Interno.</w:t>
      </w:r>
    </w:p>
    <w:p w14:paraId="62E2CA38" w14:textId="77777777" w:rsidR="003625FE" w:rsidRPr="009120FE" w:rsidRDefault="003625FE" w:rsidP="009120FE">
      <w:pPr>
        <w:spacing w:after="0" w:line="240" w:lineRule="auto"/>
        <w:ind w:left="709" w:right="616"/>
        <w:jc w:val="both"/>
        <w:rPr>
          <w:rFonts w:ascii="Arial" w:eastAsia="Times New Roman" w:hAnsi="Arial" w:cs="Arial"/>
          <w:sz w:val="20"/>
          <w:szCs w:val="20"/>
          <w:lang w:eastAsia="es-ES"/>
        </w:rPr>
      </w:pPr>
    </w:p>
    <w:p w14:paraId="3174B384" w14:textId="77777777" w:rsidR="003625FE" w:rsidRPr="009120FE" w:rsidRDefault="003625FE" w:rsidP="009120FE">
      <w:pPr>
        <w:spacing w:after="0" w:line="240" w:lineRule="auto"/>
        <w:ind w:left="709" w:right="616"/>
        <w:jc w:val="both"/>
        <w:rPr>
          <w:rFonts w:ascii="Arial" w:eastAsia="Times New Roman" w:hAnsi="Arial" w:cs="Arial"/>
          <w:sz w:val="20"/>
          <w:szCs w:val="20"/>
          <w:lang w:eastAsia="es-ES"/>
        </w:rPr>
      </w:pPr>
      <w:r w:rsidRPr="009120FE">
        <w:rPr>
          <w:rFonts w:ascii="Arial" w:eastAsia="Times New Roman" w:hAnsi="Arial" w:cs="Arial"/>
          <w:b/>
          <w:sz w:val="20"/>
          <w:szCs w:val="20"/>
          <w:lang w:eastAsia="es-ES"/>
        </w:rPr>
        <w:t>51.</w:t>
      </w:r>
      <w:r w:rsidRPr="009120FE">
        <w:rPr>
          <w:rFonts w:ascii="Arial" w:eastAsia="Times New Roman" w:hAnsi="Arial" w:cs="Arial"/>
          <w:sz w:val="20"/>
          <w:szCs w:val="20"/>
          <w:lang w:eastAsia="es-ES"/>
        </w:rPr>
        <w:t xml:space="preserve"> El número de votos que le corresponderán a cada delegación de los Órganos Directivos Municipales y del Comité Directivo Estatal, serán de conformidad a lo establecido por los artículos 10 y 11 del Reglamento de los Órganos Estatales y Municipales.</w:t>
      </w:r>
    </w:p>
    <w:p w14:paraId="65179B61" w14:textId="77777777" w:rsidR="003625FE" w:rsidRPr="009120FE" w:rsidRDefault="003625FE" w:rsidP="009120FE">
      <w:pPr>
        <w:spacing w:after="0" w:line="240" w:lineRule="auto"/>
        <w:ind w:left="709" w:right="616"/>
        <w:jc w:val="both"/>
        <w:rPr>
          <w:rFonts w:ascii="Arial" w:eastAsia="Times New Roman" w:hAnsi="Arial" w:cs="Arial"/>
          <w:sz w:val="20"/>
          <w:szCs w:val="20"/>
          <w:lang w:eastAsia="es-ES"/>
        </w:rPr>
      </w:pPr>
    </w:p>
    <w:p w14:paraId="55B0BC91" w14:textId="77777777" w:rsidR="003625FE" w:rsidRPr="009120FE" w:rsidRDefault="003625FE" w:rsidP="009120FE">
      <w:pPr>
        <w:spacing w:after="0" w:line="240" w:lineRule="auto"/>
        <w:ind w:left="709" w:right="616"/>
        <w:jc w:val="both"/>
        <w:rPr>
          <w:rFonts w:ascii="Arial" w:eastAsia="Times New Roman" w:hAnsi="Arial" w:cs="Arial"/>
          <w:sz w:val="20"/>
          <w:szCs w:val="20"/>
          <w:lang w:eastAsia="es-ES"/>
        </w:rPr>
      </w:pPr>
      <w:r w:rsidRPr="009120FE">
        <w:rPr>
          <w:rFonts w:ascii="Arial" w:eastAsia="Times New Roman" w:hAnsi="Arial" w:cs="Arial"/>
          <w:b/>
          <w:sz w:val="20"/>
          <w:szCs w:val="20"/>
          <w:lang w:eastAsia="es-ES"/>
        </w:rPr>
        <w:t>52.</w:t>
      </w:r>
      <w:r w:rsidRPr="009120FE">
        <w:rPr>
          <w:rFonts w:ascii="Arial" w:eastAsia="Times New Roman" w:hAnsi="Arial" w:cs="Arial"/>
          <w:sz w:val="20"/>
          <w:szCs w:val="20"/>
          <w:lang w:eastAsia="es-ES"/>
        </w:rPr>
        <w:t xml:space="preserve"> </w:t>
      </w:r>
      <w:r w:rsidRPr="009120FE">
        <w:rPr>
          <w:rFonts w:ascii="Arial" w:eastAsia="Times New Roman" w:hAnsi="Arial" w:cs="Arial"/>
          <w:b/>
          <w:sz w:val="20"/>
          <w:szCs w:val="20"/>
          <w:lang w:eastAsia="es-ES"/>
        </w:rPr>
        <w:t>El número de votos obtenidos por los candidatos establecerá el orden de la lista de los consejeros nacionales electos que le corresponden a la entidad, para su ratificación por la asamblea nacional.</w:t>
      </w:r>
    </w:p>
    <w:p w14:paraId="783EE8D4" w14:textId="77777777" w:rsidR="003625FE" w:rsidRPr="009120FE" w:rsidRDefault="003625FE" w:rsidP="009120FE">
      <w:pPr>
        <w:spacing w:after="0" w:line="240" w:lineRule="auto"/>
        <w:ind w:left="709" w:right="616"/>
        <w:jc w:val="both"/>
        <w:rPr>
          <w:rFonts w:ascii="Arial" w:eastAsia="Times New Roman" w:hAnsi="Arial" w:cs="Arial"/>
          <w:sz w:val="20"/>
          <w:szCs w:val="20"/>
          <w:lang w:eastAsia="es-ES"/>
        </w:rPr>
      </w:pPr>
    </w:p>
    <w:p w14:paraId="20770B46" w14:textId="77777777" w:rsidR="003625FE" w:rsidRPr="009120FE" w:rsidRDefault="003625FE" w:rsidP="009120FE">
      <w:pPr>
        <w:spacing w:after="0" w:line="240" w:lineRule="auto"/>
        <w:ind w:left="709" w:right="616"/>
        <w:jc w:val="both"/>
        <w:rPr>
          <w:rFonts w:ascii="Arial" w:eastAsia="Times New Roman" w:hAnsi="Arial" w:cs="Arial"/>
          <w:sz w:val="20"/>
          <w:szCs w:val="20"/>
          <w:lang w:eastAsia="es-ES"/>
        </w:rPr>
      </w:pPr>
      <w:r w:rsidRPr="009120FE">
        <w:rPr>
          <w:rFonts w:ascii="Arial" w:eastAsia="Times New Roman" w:hAnsi="Arial" w:cs="Arial"/>
          <w:b/>
          <w:sz w:val="20"/>
          <w:szCs w:val="20"/>
          <w:lang w:eastAsia="es-ES"/>
        </w:rPr>
        <w:t>53.</w:t>
      </w:r>
      <w:r w:rsidRPr="009120FE">
        <w:rPr>
          <w:rFonts w:ascii="Arial" w:eastAsia="Times New Roman" w:hAnsi="Arial" w:cs="Arial"/>
          <w:sz w:val="20"/>
          <w:szCs w:val="20"/>
          <w:lang w:eastAsia="es-ES"/>
        </w:rPr>
        <w:t xml:space="preserve"> </w:t>
      </w:r>
      <w:r w:rsidRPr="009120FE">
        <w:rPr>
          <w:rFonts w:ascii="Arial" w:eastAsia="Times New Roman" w:hAnsi="Arial" w:cs="Arial"/>
          <w:b/>
          <w:sz w:val="20"/>
          <w:szCs w:val="20"/>
          <w:lang w:eastAsia="es-ES"/>
        </w:rPr>
        <w:t xml:space="preserve">En caso de que el número de propuestas emanadas de las asambleas municipales no permitan cumplir con el porcentaje mínimo de representación por género en los candidatos que tenga derecho a elegir la entidad, se recorrerá la lista del género </w:t>
      </w:r>
      <w:proofErr w:type="gramStart"/>
      <w:r w:rsidRPr="009120FE">
        <w:rPr>
          <w:rFonts w:ascii="Arial" w:eastAsia="Times New Roman" w:hAnsi="Arial" w:cs="Arial"/>
          <w:b/>
          <w:sz w:val="20"/>
          <w:szCs w:val="20"/>
          <w:lang w:eastAsia="es-ES"/>
        </w:rPr>
        <w:t>sub representado</w:t>
      </w:r>
      <w:proofErr w:type="gramEnd"/>
      <w:r w:rsidRPr="009120FE">
        <w:rPr>
          <w:rFonts w:ascii="Arial" w:eastAsia="Times New Roman" w:hAnsi="Arial" w:cs="Arial"/>
          <w:b/>
          <w:sz w:val="20"/>
          <w:szCs w:val="20"/>
          <w:lang w:eastAsia="es-ES"/>
        </w:rPr>
        <w:t>.</w:t>
      </w:r>
    </w:p>
    <w:p w14:paraId="11F83275" w14:textId="77777777" w:rsidR="003625FE" w:rsidRPr="009120FE" w:rsidRDefault="003625FE" w:rsidP="009120FE">
      <w:pPr>
        <w:spacing w:after="0" w:line="240" w:lineRule="auto"/>
        <w:ind w:left="709" w:right="616"/>
        <w:jc w:val="both"/>
        <w:rPr>
          <w:rFonts w:ascii="Arial" w:eastAsia="Times New Roman" w:hAnsi="Arial" w:cs="Arial"/>
          <w:sz w:val="20"/>
          <w:szCs w:val="20"/>
          <w:lang w:eastAsia="es-ES"/>
        </w:rPr>
      </w:pPr>
    </w:p>
    <w:p w14:paraId="79B4648E" w14:textId="77777777" w:rsidR="003625FE" w:rsidRPr="009120FE" w:rsidRDefault="003625FE" w:rsidP="009120FE">
      <w:pPr>
        <w:spacing w:after="0" w:line="240" w:lineRule="auto"/>
        <w:ind w:left="709" w:right="616"/>
        <w:jc w:val="both"/>
        <w:rPr>
          <w:rFonts w:ascii="Arial" w:eastAsia="Times New Roman" w:hAnsi="Arial" w:cs="Arial"/>
          <w:sz w:val="20"/>
          <w:szCs w:val="20"/>
          <w:lang w:eastAsia="es-ES"/>
        </w:rPr>
      </w:pPr>
      <w:r w:rsidRPr="009120FE">
        <w:rPr>
          <w:rFonts w:ascii="Arial" w:eastAsia="Times New Roman" w:hAnsi="Arial" w:cs="Arial"/>
          <w:b/>
          <w:sz w:val="20"/>
          <w:szCs w:val="20"/>
          <w:lang w:eastAsia="es-ES"/>
        </w:rPr>
        <w:t>54.</w:t>
      </w:r>
      <w:r w:rsidRPr="009120FE">
        <w:rPr>
          <w:rFonts w:ascii="Arial" w:eastAsia="Times New Roman" w:hAnsi="Arial" w:cs="Arial"/>
          <w:sz w:val="20"/>
          <w:szCs w:val="20"/>
          <w:lang w:eastAsia="es-ES"/>
        </w:rPr>
        <w:t xml:space="preserve"> Si fuera el caso de que dos </w:t>
      </w:r>
      <w:proofErr w:type="gramStart"/>
      <w:r w:rsidRPr="009120FE">
        <w:rPr>
          <w:rFonts w:ascii="Arial" w:eastAsia="Times New Roman" w:hAnsi="Arial" w:cs="Arial"/>
          <w:sz w:val="20"/>
          <w:szCs w:val="20"/>
          <w:lang w:eastAsia="es-ES"/>
        </w:rPr>
        <w:t>o  más</w:t>
      </w:r>
      <w:proofErr w:type="gramEnd"/>
      <w:r w:rsidRPr="009120FE">
        <w:rPr>
          <w:rFonts w:ascii="Arial" w:eastAsia="Times New Roman" w:hAnsi="Arial" w:cs="Arial"/>
          <w:sz w:val="20"/>
          <w:szCs w:val="20"/>
          <w:lang w:eastAsia="es-ES"/>
        </w:rPr>
        <w:t xml:space="preserve"> candidatos empataran y con ello fuera imposible definir el número final de la lista de consejeros nacionales que le corresponden al estado, se procederá de conformidad al artículo 29 del Reglamento de los Órganos Estatales y Municipales.</w:t>
      </w:r>
    </w:p>
    <w:p w14:paraId="18828251" w14:textId="77777777" w:rsidR="003625FE" w:rsidRPr="009120FE" w:rsidRDefault="003625FE" w:rsidP="009120FE">
      <w:pPr>
        <w:spacing w:after="0" w:line="240" w:lineRule="auto"/>
        <w:ind w:left="709" w:right="616"/>
        <w:jc w:val="both"/>
        <w:rPr>
          <w:rFonts w:ascii="Arial" w:eastAsia="Times New Roman" w:hAnsi="Arial" w:cs="Arial"/>
          <w:sz w:val="20"/>
          <w:szCs w:val="20"/>
          <w:lang w:eastAsia="es-ES"/>
        </w:rPr>
      </w:pPr>
    </w:p>
    <w:p w14:paraId="61CE1219" w14:textId="77777777" w:rsidR="003625FE" w:rsidRPr="009120FE" w:rsidRDefault="003625FE" w:rsidP="009120FE">
      <w:pPr>
        <w:spacing w:after="0" w:line="240" w:lineRule="auto"/>
        <w:ind w:left="709" w:right="616"/>
        <w:jc w:val="both"/>
        <w:rPr>
          <w:rFonts w:ascii="Arial" w:hAnsi="Arial" w:cs="Arial"/>
          <w:sz w:val="20"/>
          <w:szCs w:val="20"/>
        </w:rPr>
      </w:pPr>
      <w:r w:rsidRPr="009120FE">
        <w:rPr>
          <w:rFonts w:ascii="Arial" w:eastAsia="Times New Roman" w:hAnsi="Arial" w:cs="Arial"/>
          <w:b/>
          <w:sz w:val="20"/>
          <w:szCs w:val="20"/>
          <w:lang w:eastAsia="es-ES"/>
        </w:rPr>
        <w:t>55.</w:t>
      </w:r>
      <w:r w:rsidRPr="009120FE">
        <w:rPr>
          <w:rFonts w:ascii="Arial" w:eastAsia="Times New Roman" w:hAnsi="Arial" w:cs="Arial"/>
          <w:sz w:val="20"/>
          <w:szCs w:val="20"/>
          <w:lang w:eastAsia="es-ES"/>
        </w:rPr>
        <w:t xml:space="preserve"> Si el número de propuestas surgidas de las asambleas municipales es igual o menor al número de consejeros que corresponde elegir a la entidad, se procederá a la votación de </w:t>
      </w:r>
      <w:proofErr w:type="gramStart"/>
      <w:r w:rsidRPr="009120FE">
        <w:rPr>
          <w:rFonts w:ascii="Arial" w:eastAsia="Times New Roman" w:hAnsi="Arial" w:cs="Arial"/>
          <w:sz w:val="20"/>
          <w:szCs w:val="20"/>
          <w:lang w:eastAsia="es-ES"/>
        </w:rPr>
        <w:t>las mismas</w:t>
      </w:r>
      <w:proofErr w:type="gramEnd"/>
      <w:r w:rsidRPr="009120FE">
        <w:rPr>
          <w:rFonts w:ascii="Arial" w:eastAsia="Times New Roman" w:hAnsi="Arial" w:cs="Arial"/>
          <w:sz w:val="20"/>
          <w:szCs w:val="20"/>
          <w:lang w:eastAsia="es-ES"/>
        </w:rPr>
        <w:t>, para su ratificación, en forma económica. En caso de que la asamblea estatal rechazara la lista, se turnará al Comité Ejecutivo Nacional para que resuelva.</w:t>
      </w:r>
    </w:p>
    <w:p w14:paraId="39993D85" w14:textId="77777777" w:rsidR="003625FE" w:rsidRPr="00BD12BA" w:rsidRDefault="003625FE" w:rsidP="003625FE">
      <w:pPr>
        <w:spacing w:after="0" w:line="360" w:lineRule="auto"/>
        <w:jc w:val="both"/>
        <w:rPr>
          <w:rFonts w:ascii="Arial" w:hAnsi="Arial" w:cs="Arial"/>
          <w:sz w:val="28"/>
          <w:szCs w:val="28"/>
        </w:rPr>
      </w:pPr>
    </w:p>
    <w:p w14:paraId="46D9FB7F" w14:textId="77777777" w:rsidR="003625FE" w:rsidRPr="00BE4079" w:rsidRDefault="003625FE" w:rsidP="00BE4079">
      <w:pPr>
        <w:spacing w:after="0" w:line="240" w:lineRule="auto"/>
        <w:jc w:val="both"/>
        <w:rPr>
          <w:rFonts w:ascii="Arial" w:hAnsi="Arial" w:cs="Arial"/>
          <w:sz w:val="24"/>
          <w:szCs w:val="24"/>
        </w:rPr>
      </w:pPr>
      <w:r w:rsidRPr="00BE4079">
        <w:rPr>
          <w:rFonts w:ascii="Arial" w:hAnsi="Arial" w:cs="Arial"/>
          <w:sz w:val="24"/>
          <w:szCs w:val="24"/>
        </w:rPr>
        <w:t>A partir de las disposiciones transcritas, así como de los Antecedentes descritos en el apartado de Resultandos del presente proyecto, se tienen como hechos ciertos, en términos de lo dispuesto por el párrafo 1 del artículo 15 de la Ley General del Sistema de Medios de Impugnación en Materia Electoral, por haber sido reconocidos por las partes en el presente juicio para la protección de los derechos político-electorales del ciudadano, los siguientes:</w:t>
      </w:r>
    </w:p>
    <w:p w14:paraId="33920B5B" w14:textId="77777777" w:rsidR="003625FE" w:rsidRPr="00BE4079" w:rsidRDefault="003625FE" w:rsidP="00BE4079">
      <w:pPr>
        <w:spacing w:after="0" w:line="240" w:lineRule="auto"/>
        <w:jc w:val="both"/>
        <w:rPr>
          <w:rFonts w:ascii="Arial" w:hAnsi="Arial" w:cs="Arial"/>
          <w:sz w:val="24"/>
          <w:szCs w:val="24"/>
        </w:rPr>
      </w:pPr>
    </w:p>
    <w:p w14:paraId="04CA8232" w14:textId="77777777" w:rsidR="003625FE" w:rsidRPr="00BE4079" w:rsidRDefault="003625FE" w:rsidP="00BE4079">
      <w:pPr>
        <w:pStyle w:val="Prrafodelista"/>
        <w:numPr>
          <w:ilvl w:val="0"/>
          <w:numId w:val="4"/>
        </w:numPr>
        <w:spacing w:after="0" w:line="240" w:lineRule="auto"/>
        <w:jc w:val="both"/>
        <w:rPr>
          <w:rFonts w:ascii="Arial" w:hAnsi="Arial" w:cs="Arial"/>
          <w:bCs/>
          <w:sz w:val="24"/>
          <w:szCs w:val="24"/>
        </w:rPr>
      </w:pPr>
      <w:r w:rsidRPr="00BE4079">
        <w:rPr>
          <w:rFonts w:ascii="Arial" w:hAnsi="Arial" w:cs="Arial"/>
          <w:bCs/>
          <w:sz w:val="24"/>
          <w:szCs w:val="24"/>
        </w:rPr>
        <w:t>El Consejo Nacional del Partido Acción Nacional estará integrado, entre otros militantes, por doscientos setenta</w:t>
      </w:r>
      <w:r w:rsidRPr="00BE4079">
        <w:rPr>
          <w:rFonts w:ascii="Arial" w:hAnsi="Arial" w:cs="Arial"/>
          <w:sz w:val="24"/>
          <w:szCs w:val="24"/>
        </w:rPr>
        <w:t xml:space="preserve"> Consejeros </w:t>
      </w:r>
      <w:r w:rsidRPr="00BE4079">
        <w:rPr>
          <w:rFonts w:ascii="Arial" w:hAnsi="Arial" w:cs="Arial"/>
          <w:bCs/>
          <w:sz w:val="24"/>
          <w:szCs w:val="24"/>
        </w:rPr>
        <w:t>Nacionales</w:t>
      </w:r>
      <w:r w:rsidRPr="00BE4079">
        <w:rPr>
          <w:rFonts w:ascii="Arial" w:hAnsi="Arial" w:cs="Arial"/>
          <w:sz w:val="24"/>
          <w:szCs w:val="24"/>
        </w:rPr>
        <w:t xml:space="preserve"> electos </w:t>
      </w:r>
      <w:r w:rsidRPr="00BE4079">
        <w:rPr>
          <w:rFonts w:ascii="Arial" w:hAnsi="Arial" w:cs="Arial"/>
          <w:bCs/>
          <w:sz w:val="24"/>
          <w:szCs w:val="24"/>
        </w:rPr>
        <w:t>en las Asambleas Estatales y ratificados</w:t>
      </w:r>
      <w:r w:rsidRPr="00BE4079">
        <w:rPr>
          <w:rFonts w:ascii="Arial" w:hAnsi="Arial" w:cs="Arial"/>
          <w:sz w:val="24"/>
          <w:szCs w:val="24"/>
        </w:rPr>
        <w:t xml:space="preserve"> por la Asamblea Nacional; </w:t>
      </w:r>
      <w:r w:rsidRPr="00BE4079">
        <w:rPr>
          <w:rFonts w:ascii="Arial" w:hAnsi="Arial" w:cs="Arial"/>
          <w:bCs/>
          <w:sz w:val="24"/>
          <w:szCs w:val="24"/>
        </w:rPr>
        <w:t>y de los cuales al</w:t>
      </w:r>
      <w:r w:rsidRPr="00BE4079">
        <w:rPr>
          <w:rFonts w:ascii="Arial" w:hAnsi="Arial" w:cs="Arial"/>
          <w:sz w:val="24"/>
          <w:szCs w:val="24"/>
        </w:rPr>
        <w:t xml:space="preserve"> </w:t>
      </w:r>
      <w:r w:rsidRPr="00BE4079">
        <w:rPr>
          <w:rFonts w:ascii="Arial" w:hAnsi="Arial" w:cs="Arial"/>
          <w:bCs/>
          <w:sz w:val="24"/>
          <w:szCs w:val="24"/>
        </w:rPr>
        <w:t>menos el cuarenta por ciento serán de género distinto.</w:t>
      </w:r>
    </w:p>
    <w:p w14:paraId="67F16D5C" w14:textId="77777777" w:rsidR="003625FE" w:rsidRPr="00BE4079" w:rsidRDefault="003625FE" w:rsidP="00BE4079">
      <w:pPr>
        <w:spacing w:after="0" w:line="240" w:lineRule="auto"/>
        <w:jc w:val="both"/>
        <w:rPr>
          <w:rFonts w:ascii="Arial" w:hAnsi="Arial" w:cs="Arial"/>
          <w:sz w:val="24"/>
          <w:szCs w:val="24"/>
        </w:rPr>
      </w:pPr>
    </w:p>
    <w:p w14:paraId="33FD6147" w14:textId="77777777" w:rsidR="003625FE" w:rsidRPr="00BE4079" w:rsidRDefault="003625FE" w:rsidP="00BE4079">
      <w:pPr>
        <w:pStyle w:val="Prrafodelista"/>
        <w:numPr>
          <w:ilvl w:val="0"/>
          <w:numId w:val="4"/>
        </w:numPr>
        <w:spacing w:after="0" w:line="240" w:lineRule="auto"/>
        <w:jc w:val="both"/>
        <w:rPr>
          <w:rFonts w:ascii="Arial" w:hAnsi="Arial" w:cs="Arial"/>
          <w:sz w:val="24"/>
          <w:szCs w:val="24"/>
        </w:rPr>
      </w:pPr>
      <w:r w:rsidRPr="00BE4079">
        <w:rPr>
          <w:rFonts w:ascii="Arial" w:hAnsi="Arial" w:cs="Arial"/>
          <w:sz w:val="24"/>
          <w:szCs w:val="24"/>
        </w:rPr>
        <w:t>El pasado dieciséis de febrero del año en curso, se llevó a cabo la Asamblea Estatal del Partido Acción Nacional en el Estado de Chiapas, en la que, entre otras cuestiones, se realizó la elección de los Consejeros Nacionales del referido partido político para el periodo dos mil catorce, dos mil dieciséis.</w:t>
      </w:r>
    </w:p>
    <w:p w14:paraId="1A89A821" w14:textId="77777777" w:rsidR="003625FE" w:rsidRPr="00BE4079" w:rsidRDefault="003625FE" w:rsidP="00BE4079">
      <w:pPr>
        <w:spacing w:after="0" w:line="240" w:lineRule="auto"/>
        <w:jc w:val="both"/>
        <w:rPr>
          <w:rFonts w:ascii="Arial" w:hAnsi="Arial" w:cs="Arial"/>
          <w:sz w:val="24"/>
          <w:szCs w:val="24"/>
        </w:rPr>
      </w:pPr>
    </w:p>
    <w:p w14:paraId="2E03AA78" w14:textId="77777777" w:rsidR="003625FE" w:rsidRPr="00BE4079" w:rsidRDefault="003625FE" w:rsidP="00BE4079">
      <w:pPr>
        <w:pStyle w:val="Prrafodelista"/>
        <w:numPr>
          <w:ilvl w:val="0"/>
          <w:numId w:val="4"/>
        </w:numPr>
        <w:spacing w:after="0" w:line="240" w:lineRule="auto"/>
        <w:jc w:val="both"/>
        <w:rPr>
          <w:rFonts w:ascii="Arial" w:hAnsi="Arial" w:cs="Arial"/>
          <w:sz w:val="24"/>
          <w:szCs w:val="24"/>
        </w:rPr>
      </w:pPr>
      <w:r w:rsidRPr="00BE4079">
        <w:rPr>
          <w:rFonts w:ascii="Arial" w:hAnsi="Arial" w:cs="Arial"/>
          <w:sz w:val="24"/>
          <w:szCs w:val="24"/>
        </w:rPr>
        <w:t>Con fundamento en el artículo 27 de los Estatutos Generales del Partido Acción Nacional y 25 del Reglamento de Órganos Estatales y Municipales, el número de Consejeros Nacionales que le corresponde al Estado de Chiapas es de seis militantes, y la lista correspondiente debe estar integrada por lo menos con el cuarenta por ciento de personas de un mismo género y como máximo con el sesenta por ciento del otro género.</w:t>
      </w:r>
    </w:p>
    <w:p w14:paraId="5DAF8513" w14:textId="77777777" w:rsidR="003625FE" w:rsidRPr="00BE4079" w:rsidRDefault="003625FE" w:rsidP="00BE4079">
      <w:pPr>
        <w:spacing w:after="0" w:line="240" w:lineRule="auto"/>
        <w:jc w:val="both"/>
        <w:rPr>
          <w:rFonts w:ascii="Arial" w:hAnsi="Arial" w:cs="Arial"/>
          <w:sz w:val="24"/>
          <w:szCs w:val="24"/>
        </w:rPr>
      </w:pPr>
    </w:p>
    <w:p w14:paraId="31910EAF" w14:textId="77777777" w:rsidR="003625FE" w:rsidRPr="00BE4079" w:rsidRDefault="003625FE" w:rsidP="00BE4079">
      <w:pPr>
        <w:pStyle w:val="Prrafodelista"/>
        <w:numPr>
          <w:ilvl w:val="0"/>
          <w:numId w:val="4"/>
        </w:numPr>
        <w:spacing w:after="0" w:line="240" w:lineRule="auto"/>
        <w:jc w:val="both"/>
        <w:rPr>
          <w:rFonts w:ascii="Arial" w:hAnsi="Arial" w:cs="Arial"/>
          <w:sz w:val="24"/>
          <w:szCs w:val="24"/>
        </w:rPr>
      </w:pPr>
      <w:r w:rsidRPr="00BE4079">
        <w:rPr>
          <w:rFonts w:ascii="Arial" w:hAnsi="Arial" w:cs="Arial"/>
          <w:sz w:val="24"/>
          <w:szCs w:val="24"/>
        </w:rPr>
        <w:t>El proceso de elección de los Consejeros Nacionales por el Estado de Chiapas, precisado en los párrafos precedentes, arrojó los siguientes resultados:</w:t>
      </w:r>
    </w:p>
    <w:p w14:paraId="24ED0ED1" w14:textId="77777777" w:rsidR="003625FE" w:rsidRPr="00BE4079" w:rsidRDefault="003625FE" w:rsidP="00BE4079">
      <w:pPr>
        <w:spacing w:after="0" w:line="240" w:lineRule="auto"/>
        <w:jc w:val="both"/>
        <w:rPr>
          <w:rFonts w:ascii="Arial" w:hAnsi="Arial" w:cs="Arial"/>
          <w:sz w:val="24"/>
          <w:szCs w:val="24"/>
        </w:rPr>
      </w:pPr>
    </w:p>
    <w:tbl>
      <w:tblPr>
        <w:tblStyle w:val="Tablaconcuadrcula"/>
        <w:tblW w:w="0" w:type="auto"/>
        <w:tblInd w:w="1238" w:type="dxa"/>
        <w:tblLook w:val="04A0" w:firstRow="1" w:lastRow="0" w:firstColumn="1" w:lastColumn="0" w:noHBand="0" w:noVBand="1"/>
      </w:tblPr>
      <w:tblGrid>
        <w:gridCol w:w="959"/>
        <w:gridCol w:w="3544"/>
        <w:gridCol w:w="2268"/>
      </w:tblGrid>
      <w:tr w:rsidR="003625FE" w:rsidRPr="00BE4079" w14:paraId="52D21C51" w14:textId="77777777" w:rsidTr="00B57D8F">
        <w:tc>
          <w:tcPr>
            <w:tcW w:w="959" w:type="dxa"/>
          </w:tcPr>
          <w:p w14:paraId="355E2717" w14:textId="77777777" w:rsidR="003625FE" w:rsidRPr="00BE4079" w:rsidRDefault="003625FE" w:rsidP="00BE4079">
            <w:pPr>
              <w:jc w:val="center"/>
              <w:rPr>
                <w:rFonts w:ascii="Arial" w:hAnsi="Arial" w:cs="Arial"/>
                <w:b/>
                <w:sz w:val="20"/>
                <w:szCs w:val="20"/>
              </w:rPr>
            </w:pPr>
            <w:r w:rsidRPr="00BE4079">
              <w:rPr>
                <w:rFonts w:ascii="Arial" w:hAnsi="Arial" w:cs="Arial"/>
                <w:b/>
                <w:sz w:val="20"/>
                <w:szCs w:val="20"/>
              </w:rPr>
              <w:t>No.</w:t>
            </w:r>
          </w:p>
        </w:tc>
        <w:tc>
          <w:tcPr>
            <w:tcW w:w="3544" w:type="dxa"/>
          </w:tcPr>
          <w:p w14:paraId="780E7BE9" w14:textId="77777777" w:rsidR="003625FE" w:rsidRPr="00BE4079" w:rsidRDefault="003625FE" w:rsidP="00BE4079">
            <w:pPr>
              <w:jc w:val="center"/>
              <w:rPr>
                <w:rFonts w:ascii="Arial" w:hAnsi="Arial" w:cs="Arial"/>
                <w:b/>
                <w:sz w:val="20"/>
                <w:szCs w:val="20"/>
              </w:rPr>
            </w:pPr>
            <w:r w:rsidRPr="00BE4079">
              <w:rPr>
                <w:rFonts w:ascii="Arial" w:hAnsi="Arial" w:cs="Arial"/>
                <w:b/>
                <w:sz w:val="20"/>
                <w:szCs w:val="20"/>
              </w:rPr>
              <w:t>Nombre</w:t>
            </w:r>
          </w:p>
        </w:tc>
        <w:tc>
          <w:tcPr>
            <w:tcW w:w="2268" w:type="dxa"/>
          </w:tcPr>
          <w:p w14:paraId="5EB4A2B0" w14:textId="77777777" w:rsidR="003625FE" w:rsidRPr="00BE4079" w:rsidRDefault="003625FE" w:rsidP="00BE4079">
            <w:pPr>
              <w:jc w:val="center"/>
              <w:rPr>
                <w:rFonts w:ascii="Arial" w:hAnsi="Arial" w:cs="Arial"/>
                <w:b/>
                <w:sz w:val="20"/>
                <w:szCs w:val="20"/>
              </w:rPr>
            </w:pPr>
            <w:r w:rsidRPr="00BE4079">
              <w:rPr>
                <w:rFonts w:ascii="Arial" w:hAnsi="Arial" w:cs="Arial"/>
                <w:b/>
                <w:sz w:val="20"/>
                <w:szCs w:val="20"/>
              </w:rPr>
              <w:t>Resultado</w:t>
            </w:r>
          </w:p>
        </w:tc>
      </w:tr>
      <w:tr w:rsidR="003625FE" w:rsidRPr="00BE4079" w14:paraId="3BCB6D3B" w14:textId="77777777" w:rsidTr="00B57D8F">
        <w:tc>
          <w:tcPr>
            <w:tcW w:w="959" w:type="dxa"/>
          </w:tcPr>
          <w:p w14:paraId="61953C38" w14:textId="77777777" w:rsidR="003625FE" w:rsidRPr="00BE4079" w:rsidRDefault="003625FE" w:rsidP="00BE4079">
            <w:pPr>
              <w:jc w:val="center"/>
              <w:rPr>
                <w:rFonts w:ascii="Arial" w:hAnsi="Arial" w:cs="Arial"/>
                <w:sz w:val="20"/>
                <w:szCs w:val="20"/>
              </w:rPr>
            </w:pPr>
            <w:r w:rsidRPr="00BE4079">
              <w:rPr>
                <w:rFonts w:ascii="Arial" w:hAnsi="Arial" w:cs="Arial"/>
                <w:sz w:val="20"/>
                <w:szCs w:val="20"/>
              </w:rPr>
              <w:t>1</w:t>
            </w:r>
          </w:p>
        </w:tc>
        <w:tc>
          <w:tcPr>
            <w:tcW w:w="3544" w:type="dxa"/>
          </w:tcPr>
          <w:p w14:paraId="353426A8" w14:textId="77777777" w:rsidR="003625FE" w:rsidRPr="00BE4079" w:rsidRDefault="003625FE" w:rsidP="00BE4079">
            <w:pPr>
              <w:jc w:val="both"/>
              <w:rPr>
                <w:rFonts w:ascii="Arial" w:hAnsi="Arial" w:cs="Arial"/>
                <w:sz w:val="20"/>
                <w:szCs w:val="20"/>
              </w:rPr>
            </w:pPr>
            <w:r w:rsidRPr="00BE4079">
              <w:rPr>
                <w:rFonts w:ascii="Arial" w:hAnsi="Arial" w:cs="Arial"/>
                <w:sz w:val="20"/>
                <w:szCs w:val="20"/>
              </w:rPr>
              <w:t>Carlos Alberto Palomeque Archila</w:t>
            </w:r>
          </w:p>
        </w:tc>
        <w:tc>
          <w:tcPr>
            <w:tcW w:w="2268" w:type="dxa"/>
          </w:tcPr>
          <w:p w14:paraId="2CBBCD9B" w14:textId="77777777" w:rsidR="003625FE" w:rsidRPr="00BE4079" w:rsidRDefault="003625FE" w:rsidP="00BE4079">
            <w:pPr>
              <w:jc w:val="center"/>
              <w:rPr>
                <w:rFonts w:ascii="Arial" w:hAnsi="Arial" w:cs="Arial"/>
                <w:sz w:val="20"/>
                <w:szCs w:val="20"/>
              </w:rPr>
            </w:pPr>
            <w:r w:rsidRPr="00BE4079">
              <w:rPr>
                <w:rFonts w:ascii="Arial" w:hAnsi="Arial" w:cs="Arial"/>
                <w:sz w:val="20"/>
                <w:szCs w:val="20"/>
              </w:rPr>
              <w:t>206.3125</w:t>
            </w:r>
          </w:p>
        </w:tc>
      </w:tr>
      <w:tr w:rsidR="003625FE" w:rsidRPr="00BE4079" w14:paraId="17667188" w14:textId="77777777" w:rsidTr="00B57D8F">
        <w:tc>
          <w:tcPr>
            <w:tcW w:w="959" w:type="dxa"/>
          </w:tcPr>
          <w:p w14:paraId="062A3393" w14:textId="77777777" w:rsidR="003625FE" w:rsidRPr="00BE4079" w:rsidRDefault="003625FE" w:rsidP="00BE4079">
            <w:pPr>
              <w:jc w:val="center"/>
              <w:rPr>
                <w:rFonts w:ascii="Arial" w:hAnsi="Arial" w:cs="Arial"/>
                <w:sz w:val="20"/>
                <w:szCs w:val="20"/>
              </w:rPr>
            </w:pPr>
            <w:r w:rsidRPr="00BE4079">
              <w:rPr>
                <w:rFonts w:ascii="Arial" w:hAnsi="Arial" w:cs="Arial"/>
                <w:sz w:val="20"/>
                <w:szCs w:val="20"/>
              </w:rPr>
              <w:t>2</w:t>
            </w:r>
          </w:p>
        </w:tc>
        <w:tc>
          <w:tcPr>
            <w:tcW w:w="3544" w:type="dxa"/>
          </w:tcPr>
          <w:p w14:paraId="1C09384A" w14:textId="77777777" w:rsidR="003625FE" w:rsidRPr="00BE4079" w:rsidRDefault="003625FE" w:rsidP="00BE4079">
            <w:pPr>
              <w:jc w:val="both"/>
              <w:rPr>
                <w:rFonts w:ascii="Arial" w:hAnsi="Arial" w:cs="Arial"/>
                <w:sz w:val="20"/>
                <w:szCs w:val="20"/>
              </w:rPr>
            </w:pPr>
            <w:r w:rsidRPr="00BE4079">
              <w:rPr>
                <w:rFonts w:ascii="Arial" w:hAnsi="Arial" w:cs="Arial"/>
                <w:sz w:val="20"/>
                <w:szCs w:val="20"/>
              </w:rPr>
              <w:t>Ana Deisy Ley Mendoza</w:t>
            </w:r>
          </w:p>
        </w:tc>
        <w:tc>
          <w:tcPr>
            <w:tcW w:w="2268" w:type="dxa"/>
          </w:tcPr>
          <w:p w14:paraId="28C136F7" w14:textId="77777777" w:rsidR="003625FE" w:rsidRPr="00BE4079" w:rsidRDefault="003625FE" w:rsidP="00BE4079">
            <w:pPr>
              <w:jc w:val="center"/>
              <w:rPr>
                <w:rFonts w:ascii="Arial" w:hAnsi="Arial" w:cs="Arial"/>
                <w:sz w:val="20"/>
                <w:szCs w:val="20"/>
              </w:rPr>
            </w:pPr>
            <w:r w:rsidRPr="00BE4079">
              <w:rPr>
                <w:rFonts w:ascii="Arial" w:hAnsi="Arial" w:cs="Arial"/>
                <w:sz w:val="20"/>
                <w:szCs w:val="20"/>
              </w:rPr>
              <w:t>193.3875</w:t>
            </w:r>
          </w:p>
        </w:tc>
      </w:tr>
      <w:tr w:rsidR="003625FE" w:rsidRPr="00BE4079" w14:paraId="69C63372" w14:textId="77777777" w:rsidTr="00B57D8F">
        <w:tc>
          <w:tcPr>
            <w:tcW w:w="959" w:type="dxa"/>
          </w:tcPr>
          <w:p w14:paraId="501E330A" w14:textId="77777777" w:rsidR="003625FE" w:rsidRPr="00BE4079" w:rsidRDefault="003625FE" w:rsidP="00BE4079">
            <w:pPr>
              <w:jc w:val="center"/>
              <w:rPr>
                <w:rFonts w:ascii="Arial" w:hAnsi="Arial" w:cs="Arial"/>
                <w:sz w:val="20"/>
                <w:szCs w:val="20"/>
              </w:rPr>
            </w:pPr>
            <w:r w:rsidRPr="00BE4079">
              <w:rPr>
                <w:rFonts w:ascii="Arial" w:hAnsi="Arial" w:cs="Arial"/>
                <w:sz w:val="20"/>
                <w:szCs w:val="20"/>
              </w:rPr>
              <w:t>3</w:t>
            </w:r>
          </w:p>
        </w:tc>
        <w:tc>
          <w:tcPr>
            <w:tcW w:w="3544" w:type="dxa"/>
          </w:tcPr>
          <w:p w14:paraId="3198EF29" w14:textId="77777777" w:rsidR="003625FE" w:rsidRPr="00BE4079" w:rsidRDefault="003625FE" w:rsidP="00BE4079">
            <w:pPr>
              <w:jc w:val="both"/>
              <w:rPr>
                <w:rFonts w:ascii="Arial" w:hAnsi="Arial" w:cs="Arial"/>
                <w:sz w:val="20"/>
                <w:szCs w:val="20"/>
              </w:rPr>
            </w:pPr>
            <w:r w:rsidRPr="00BE4079">
              <w:rPr>
                <w:rFonts w:ascii="Arial" w:hAnsi="Arial" w:cs="Arial"/>
                <w:sz w:val="20"/>
                <w:szCs w:val="20"/>
              </w:rPr>
              <w:t>Modesto Sánchez Torres</w:t>
            </w:r>
          </w:p>
        </w:tc>
        <w:tc>
          <w:tcPr>
            <w:tcW w:w="2268" w:type="dxa"/>
          </w:tcPr>
          <w:p w14:paraId="531BBA48" w14:textId="77777777" w:rsidR="003625FE" w:rsidRPr="00BE4079" w:rsidRDefault="003625FE" w:rsidP="00BE4079">
            <w:pPr>
              <w:jc w:val="center"/>
              <w:rPr>
                <w:rFonts w:ascii="Arial" w:hAnsi="Arial" w:cs="Arial"/>
                <w:sz w:val="20"/>
                <w:szCs w:val="20"/>
              </w:rPr>
            </w:pPr>
            <w:r w:rsidRPr="00BE4079">
              <w:rPr>
                <w:rFonts w:ascii="Arial" w:hAnsi="Arial" w:cs="Arial"/>
                <w:sz w:val="20"/>
                <w:szCs w:val="20"/>
              </w:rPr>
              <w:t>177.1041667</w:t>
            </w:r>
          </w:p>
        </w:tc>
      </w:tr>
      <w:tr w:rsidR="003625FE" w:rsidRPr="00BE4079" w14:paraId="00E64236" w14:textId="77777777" w:rsidTr="00B57D8F">
        <w:tc>
          <w:tcPr>
            <w:tcW w:w="959" w:type="dxa"/>
          </w:tcPr>
          <w:p w14:paraId="73B08DB4" w14:textId="77777777" w:rsidR="003625FE" w:rsidRPr="00BE4079" w:rsidRDefault="003625FE" w:rsidP="00BE4079">
            <w:pPr>
              <w:jc w:val="center"/>
              <w:rPr>
                <w:rFonts w:ascii="Arial" w:hAnsi="Arial" w:cs="Arial"/>
                <w:sz w:val="20"/>
                <w:szCs w:val="20"/>
              </w:rPr>
            </w:pPr>
            <w:r w:rsidRPr="00BE4079">
              <w:rPr>
                <w:rFonts w:ascii="Arial" w:hAnsi="Arial" w:cs="Arial"/>
                <w:sz w:val="20"/>
                <w:szCs w:val="20"/>
              </w:rPr>
              <w:t>4</w:t>
            </w:r>
          </w:p>
        </w:tc>
        <w:tc>
          <w:tcPr>
            <w:tcW w:w="3544" w:type="dxa"/>
          </w:tcPr>
          <w:p w14:paraId="573924CE" w14:textId="77777777" w:rsidR="003625FE" w:rsidRPr="00BE4079" w:rsidRDefault="003625FE" w:rsidP="00BE4079">
            <w:pPr>
              <w:jc w:val="both"/>
              <w:rPr>
                <w:rFonts w:ascii="Arial" w:hAnsi="Arial" w:cs="Arial"/>
                <w:sz w:val="20"/>
                <w:szCs w:val="20"/>
              </w:rPr>
            </w:pPr>
            <w:r w:rsidRPr="00BE4079">
              <w:rPr>
                <w:rFonts w:ascii="Arial" w:hAnsi="Arial" w:cs="Arial"/>
                <w:sz w:val="20"/>
                <w:szCs w:val="20"/>
              </w:rPr>
              <w:t>Ada Luisa Velázquez Hernández</w:t>
            </w:r>
          </w:p>
        </w:tc>
        <w:tc>
          <w:tcPr>
            <w:tcW w:w="2268" w:type="dxa"/>
          </w:tcPr>
          <w:p w14:paraId="4645DAC3" w14:textId="77777777" w:rsidR="003625FE" w:rsidRPr="00BE4079" w:rsidRDefault="003625FE" w:rsidP="00BE4079">
            <w:pPr>
              <w:jc w:val="center"/>
              <w:rPr>
                <w:rFonts w:ascii="Arial" w:hAnsi="Arial" w:cs="Arial"/>
                <w:sz w:val="20"/>
                <w:szCs w:val="20"/>
              </w:rPr>
            </w:pPr>
            <w:r w:rsidRPr="00BE4079">
              <w:rPr>
                <w:rFonts w:ascii="Arial" w:hAnsi="Arial" w:cs="Arial"/>
                <w:sz w:val="20"/>
                <w:szCs w:val="20"/>
              </w:rPr>
              <w:t>175.6708333</w:t>
            </w:r>
          </w:p>
        </w:tc>
      </w:tr>
      <w:tr w:rsidR="003625FE" w:rsidRPr="00BE4079" w14:paraId="65B1DBD6" w14:textId="77777777" w:rsidTr="00B57D8F">
        <w:tc>
          <w:tcPr>
            <w:tcW w:w="959" w:type="dxa"/>
          </w:tcPr>
          <w:p w14:paraId="1C86BD27" w14:textId="77777777" w:rsidR="003625FE" w:rsidRPr="00BE4079" w:rsidRDefault="003625FE" w:rsidP="00BE4079">
            <w:pPr>
              <w:jc w:val="center"/>
              <w:rPr>
                <w:rFonts w:ascii="Arial" w:hAnsi="Arial" w:cs="Arial"/>
                <w:sz w:val="20"/>
                <w:szCs w:val="20"/>
              </w:rPr>
            </w:pPr>
            <w:r w:rsidRPr="00BE4079">
              <w:rPr>
                <w:rFonts w:ascii="Arial" w:hAnsi="Arial" w:cs="Arial"/>
                <w:sz w:val="20"/>
                <w:szCs w:val="20"/>
              </w:rPr>
              <w:t>5</w:t>
            </w:r>
          </w:p>
        </w:tc>
        <w:tc>
          <w:tcPr>
            <w:tcW w:w="3544" w:type="dxa"/>
          </w:tcPr>
          <w:p w14:paraId="78134919" w14:textId="77777777" w:rsidR="003625FE" w:rsidRPr="00BE4079" w:rsidRDefault="003625FE" w:rsidP="00BE4079">
            <w:pPr>
              <w:jc w:val="both"/>
              <w:rPr>
                <w:rFonts w:ascii="Arial" w:hAnsi="Arial" w:cs="Arial"/>
                <w:sz w:val="20"/>
                <w:szCs w:val="20"/>
              </w:rPr>
            </w:pPr>
            <w:r w:rsidRPr="00BE4079">
              <w:rPr>
                <w:rFonts w:ascii="Arial" w:hAnsi="Arial" w:cs="Arial"/>
                <w:sz w:val="20"/>
                <w:szCs w:val="20"/>
              </w:rPr>
              <w:t xml:space="preserve">Miguel Ángel </w:t>
            </w:r>
            <w:proofErr w:type="spellStart"/>
            <w:r w:rsidRPr="00BE4079">
              <w:rPr>
                <w:rFonts w:ascii="Arial" w:hAnsi="Arial" w:cs="Arial"/>
                <w:sz w:val="20"/>
                <w:szCs w:val="20"/>
              </w:rPr>
              <w:t>Chavez</w:t>
            </w:r>
            <w:proofErr w:type="spellEnd"/>
            <w:r w:rsidRPr="00BE4079">
              <w:rPr>
                <w:rFonts w:ascii="Arial" w:hAnsi="Arial" w:cs="Arial"/>
                <w:sz w:val="20"/>
                <w:szCs w:val="20"/>
              </w:rPr>
              <w:t xml:space="preserve"> Nava</w:t>
            </w:r>
          </w:p>
        </w:tc>
        <w:tc>
          <w:tcPr>
            <w:tcW w:w="2268" w:type="dxa"/>
          </w:tcPr>
          <w:p w14:paraId="16E837D0" w14:textId="77777777" w:rsidR="003625FE" w:rsidRPr="00BE4079" w:rsidRDefault="003625FE" w:rsidP="00BE4079">
            <w:pPr>
              <w:jc w:val="center"/>
              <w:rPr>
                <w:rFonts w:ascii="Arial" w:hAnsi="Arial" w:cs="Arial"/>
                <w:sz w:val="20"/>
                <w:szCs w:val="20"/>
              </w:rPr>
            </w:pPr>
            <w:r w:rsidRPr="00BE4079">
              <w:rPr>
                <w:rFonts w:ascii="Arial" w:hAnsi="Arial" w:cs="Arial"/>
                <w:sz w:val="20"/>
                <w:szCs w:val="20"/>
              </w:rPr>
              <w:t>168.6708333</w:t>
            </w:r>
          </w:p>
        </w:tc>
      </w:tr>
      <w:tr w:rsidR="003625FE" w:rsidRPr="00BE4079" w14:paraId="0A986798" w14:textId="77777777" w:rsidTr="00B57D8F">
        <w:tc>
          <w:tcPr>
            <w:tcW w:w="959" w:type="dxa"/>
          </w:tcPr>
          <w:p w14:paraId="734B8033" w14:textId="77777777" w:rsidR="003625FE" w:rsidRPr="00BE4079" w:rsidRDefault="003625FE" w:rsidP="00BE4079">
            <w:pPr>
              <w:jc w:val="center"/>
              <w:rPr>
                <w:rFonts w:ascii="Arial" w:hAnsi="Arial" w:cs="Arial"/>
                <w:sz w:val="20"/>
                <w:szCs w:val="20"/>
              </w:rPr>
            </w:pPr>
            <w:r w:rsidRPr="00BE4079">
              <w:rPr>
                <w:rFonts w:ascii="Arial" w:hAnsi="Arial" w:cs="Arial"/>
                <w:sz w:val="20"/>
                <w:szCs w:val="20"/>
              </w:rPr>
              <w:t>6</w:t>
            </w:r>
          </w:p>
        </w:tc>
        <w:tc>
          <w:tcPr>
            <w:tcW w:w="3544" w:type="dxa"/>
          </w:tcPr>
          <w:p w14:paraId="32820E1A" w14:textId="77777777" w:rsidR="003625FE" w:rsidRPr="00BE4079" w:rsidRDefault="003625FE" w:rsidP="00BE4079">
            <w:pPr>
              <w:jc w:val="both"/>
              <w:rPr>
                <w:rFonts w:ascii="Arial" w:hAnsi="Arial" w:cs="Arial"/>
                <w:sz w:val="20"/>
                <w:szCs w:val="20"/>
              </w:rPr>
            </w:pPr>
            <w:r w:rsidRPr="00BE4079">
              <w:rPr>
                <w:rFonts w:ascii="Arial" w:hAnsi="Arial" w:cs="Arial"/>
                <w:sz w:val="20"/>
                <w:szCs w:val="20"/>
              </w:rPr>
              <w:t>José Francisco Hernández Gordillo</w:t>
            </w:r>
          </w:p>
        </w:tc>
        <w:tc>
          <w:tcPr>
            <w:tcW w:w="2268" w:type="dxa"/>
          </w:tcPr>
          <w:p w14:paraId="4263D2BD" w14:textId="77777777" w:rsidR="003625FE" w:rsidRPr="00BE4079" w:rsidRDefault="003625FE" w:rsidP="00BE4079">
            <w:pPr>
              <w:jc w:val="center"/>
              <w:rPr>
                <w:rFonts w:ascii="Arial" w:hAnsi="Arial" w:cs="Arial"/>
                <w:sz w:val="20"/>
                <w:szCs w:val="20"/>
              </w:rPr>
            </w:pPr>
            <w:r w:rsidRPr="00BE4079">
              <w:rPr>
                <w:rFonts w:ascii="Arial" w:hAnsi="Arial" w:cs="Arial"/>
                <w:sz w:val="20"/>
                <w:szCs w:val="20"/>
              </w:rPr>
              <w:t>143.5666667</w:t>
            </w:r>
          </w:p>
        </w:tc>
      </w:tr>
      <w:tr w:rsidR="003625FE" w:rsidRPr="00BE4079" w14:paraId="077322C5" w14:textId="77777777" w:rsidTr="00B57D8F">
        <w:tc>
          <w:tcPr>
            <w:tcW w:w="959" w:type="dxa"/>
          </w:tcPr>
          <w:p w14:paraId="13CAD7E9" w14:textId="77777777" w:rsidR="003625FE" w:rsidRPr="00BE4079" w:rsidRDefault="003625FE" w:rsidP="00BE4079">
            <w:pPr>
              <w:jc w:val="center"/>
              <w:rPr>
                <w:rFonts w:ascii="Arial" w:hAnsi="Arial" w:cs="Arial"/>
                <w:sz w:val="20"/>
                <w:szCs w:val="20"/>
              </w:rPr>
            </w:pPr>
            <w:r w:rsidRPr="00BE4079">
              <w:rPr>
                <w:rFonts w:ascii="Arial" w:hAnsi="Arial" w:cs="Arial"/>
                <w:sz w:val="20"/>
                <w:szCs w:val="20"/>
              </w:rPr>
              <w:t>7</w:t>
            </w:r>
          </w:p>
        </w:tc>
        <w:tc>
          <w:tcPr>
            <w:tcW w:w="3544" w:type="dxa"/>
          </w:tcPr>
          <w:p w14:paraId="67C9C721" w14:textId="77777777" w:rsidR="003625FE" w:rsidRPr="00BE4079" w:rsidRDefault="003625FE" w:rsidP="00BE4079">
            <w:pPr>
              <w:jc w:val="both"/>
              <w:rPr>
                <w:rFonts w:ascii="Arial" w:hAnsi="Arial" w:cs="Arial"/>
                <w:sz w:val="20"/>
                <w:szCs w:val="20"/>
              </w:rPr>
            </w:pPr>
            <w:r w:rsidRPr="00BE4079">
              <w:rPr>
                <w:rFonts w:ascii="Arial" w:hAnsi="Arial" w:cs="Arial"/>
                <w:sz w:val="20"/>
                <w:szCs w:val="20"/>
              </w:rPr>
              <w:t>Vicente Vázquez González</w:t>
            </w:r>
          </w:p>
        </w:tc>
        <w:tc>
          <w:tcPr>
            <w:tcW w:w="2268" w:type="dxa"/>
          </w:tcPr>
          <w:p w14:paraId="42E933C0" w14:textId="77777777" w:rsidR="003625FE" w:rsidRPr="00BE4079" w:rsidRDefault="003625FE" w:rsidP="00BE4079">
            <w:pPr>
              <w:jc w:val="center"/>
              <w:rPr>
                <w:rFonts w:ascii="Arial" w:hAnsi="Arial" w:cs="Arial"/>
                <w:sz w:val="20"/>
                <w:szCs w:val="20"/>
              </w:rPr>
            </w:pPr>
            <w:r w:rsidRPr="00BE4079">
              <w:rPr>
                <w:rFonts w:ascii="Arial" w:hAnsi="Arial" w:cs="Arial"/>
                <w:sz w:val="20"/>
                <w:szCs w:val="20"/>
              </w:rPr>
              <w:t>70</w:t>
            </w:r>
          </w:p>
        </w:tc>
      </w:tr>
      <w:tr w:rsidR="003625FE" w:rsidRPr="00BE4079" w14:paraId="7E32A93A" w14:textId="77777777" w:rsidTr="00B57D8F">
        <w:tc>
          <w:tcPr>
            <w:tcW w:w="959" w:type="dxa"/>
          </w:tcPr>
          <w:p w14:paraId="6709A71F" w14:textId="77777777" w:rsidR="003625FE" w:rsidRPr="00BE4079" w:rsidRDefault="003625FE" w:rsidP="00BE4079">
            <w:pPr>
              <w:jc w:val="center"/>
              <w:rPr>
                <w:rFonts w:ascii="Arial" w:hAnsi="Arial" w:cs="Arial"/>
                <w:sz w:val="20"/>
                <w:szCs w:val="20"/>
              </w:rPr>
            </w:pPr>
            <w:r w:rsidRPr="00BE4079">
              <w:rPr>
                <w:rFonts w:ascii="Arial" w:hAnsi="Arial" w:cs="Arial"/>
                <w:sz w:val="20"/>
                <w:szCs w:val="20"/>
              </w:rPr>
              <w:t>8</w:t>
            </w:r>
          </w:p>
        </w:tc>
        <w:tc>
          <w:tcPr>
            <w:tcW w:w="3544" w:type="dxa"/>
          </w:tcPr>
          <w:p w14:paraId="785D3C01" w14:textId="77777777" w:rsidR="003625FE" w:rsidRPr="00BE4079" w:rsidRDefault="003625FE" w:rsidP="00BE4079">
            <w:pPr>
              <w:jc w:val="both"/>
              <w:rPr>
                <w:rFonts w:ascii="Arial" w:hAnsi="Arial" w:cs="Arial"/>
                <w:sz w:val="20"/>
                <w:szCs w:val="20"/>
              </w:rPr>
            </w:pPr>
            <w:r w:rsidRPr="00BE4079">
              <w:rPr>
                <w:rFonts w:ascii="Arial" w:hAnsi="Arial" w:cs="Arial"/>
                <w:sz w:val="20"/>
                <w:szCs w:val="20"/>
              </w:rPr>
              <w:t>Gloria Trinidad Luna Ruiz</w:t>
            </w:r>
          </w:p>
        </w:tc>
        <w:tc>
          <w:tcPr>
            <w:tcW w:w="2268" w:type="dxa"/>
          </w:tcPr>
          <w:p w14:paraId="2BD3FA36" w14:textId="77777777" w:rsidR="003625FE" w:rsidRPr="00BE4079" w:rsidRDefault="003625FE" w:rsidP="00BE4079">
            <w:pPr>
              <w:jc w:val="center"/>
              <w:rPr>
                <w:rFonts w:ascii="Arial" w:hAnsi="Arial" w:cs="Arial"/>
                <w:sz w:val="20"/>
                <w:szCs w:val="20"/>
              </w:rPr>
            </w:pPr>
            <w:r w:rsidRPr="00BE4079">
              <w:rPr>
                <w:rFonts w:ascii="Arial" w:hAnsi="Arial" w:cs="Arial"/>
                <w:sz w:val="20"/>
                <w:szCs w:val="20"/>
              </w:rPr>
              <w:t>60</w:t>
            </w:r>
          </w:p>
        </w:tc>
      </w:tr>
      <w:tr w:rsidR="003625FE" w:rsidRPr="00BE4079" w14:paraId="25A660F1" w14:textId="77777777" w:rsidTr="00B57D8F">
        <w:tc>
          <w:tcPr>
            <w:tcW w:w="959" w:type="dxa"/>
          </w:tcPr>
          <w:p w14:paraId="78931E70" w14:textId="77777777" w:rsidR="003625FE" w:rsidRPr="00BE4079" w:rsidRDefault="003625FE" w:rsidP="00BE4079">
            <w:pPr>
              <w:jc w:val="center"/>
              <w:rPr>
                <w:rFonts w:ascii="Arial" w:hAnsi="Arial" w:cs="Arial"/>
                <w:sz w:val="20"/>
                <w:szCs w:val="20"/>
              </w:rPr>
            </w:pPr>
            <w:r w:rsidRPr="00BE4079">
              <w:rPr>
                <w:rFonts w:ascii="Arial" w:hAnsi="Arial" w:cs="Arial"/>
                <w:sz w:val="20"/>
                <w:szCs w:val="20"/>
              </w:rPr>
              <w:t>9</w:t>
            </w:r>
          </w:p>
        </w:tc>
        <w:tc>
          <w:tcPr>
            <w:tcW w:w="3544" w:type="dxa"/>
          </w:tcPr>
          <w:p w14:paraId="3F039F01" w14:textId="77777777" w:rsidR="003625FE" w:rsidRPr="00BE4079" w:rsidRDefault="003625FE" w:rsidP="00BE4079">
            <w:pPr>
              <w:jc w:val="both"/>
              <w:rPr>
                <w:rFonts w:ascii="Arial" w:hAnsi="Arial" w:cs="Arial"/>
                <w:sz w:val="20"/>
                <w:szCs w:val="20"/>
              </w:rPr>
            </w:pPr>
            <w:r w:rsidRPr="00BE4079">
              <w:rPr>
                <w:rFonts w:ascii="Arial" w:hAnsi="Arial" w:cs="Arial"/>
                <w:sz w:val="20"/>
                <w:szCs w:val="20"/>
              </w:rPr>
              <w:t>Luis Gómez Manzano</w:t>
            </w:r>
          </w:p>
        </w:tc>
        <w:tc>
          <w:tcPr>
            <w:tcW w:w="2268" w:type="dxa"/>
          </w:tcPr>
          <w:p w14:paraId="08F7CDFF" w14:textId="77777777" w:rsidR="003625FE" w:rsidRPr="00BE4079" w:rsidRDefault="003625FE" w:rsidP="00BE4079">
            <w:pPr>
              <w:jc w:val="center"/>
              <w:rPr>
                <w:rFonts w:ascii="Arial" w:hAnsi="Arial" w:cs="Arial"/>
                <w:sz w:val="20"/>
                <w:szCs w:val="20"/>
              </w:rPr>
            </w:pPr>
            <w:r w:rsidRPr="00BE4079">
              <w:rPr>
                <w:rFonts w:ascii="Arial" w:hAnsi="Arial" w:cs="Arial"/>
                <w:sz w:val="20"/>
                <w:szCs w:val="20"/>
              </w:rPr>
              <w:t>30</w:t>
            </w:r>
          </w:p>
        </w:tc>
      </w:tr>
      <w:tr w:rsidR="003625FE" w:rsidRPr="00BE4079" w14:paraId="38F37EAC" w14:textId="77777777" w:rsidTr="00B57D8F">
        <w:tc>
          <w:tcPr>
            <w:tcW w:w="959" w:type="dxa"/>
          </w:tcPr>
          <w:p w14:paraId="7AE1C4F4" w14:textId="77777777" w:rsidR="003625FE" w:rsidRPr="00BE4079" w:rsidRDefault="003625FE" w:rsidP="00BE4079">
            <w:pPr>
              <w:jc w:val="center"/>
              <w:rPr>
                <w:rFonts w:ascii="Arial" w:hAnsi="Arial" w:cs="Arial"/>
                <w:sz w:val="20"/>
                <w:szCs w:val="20"/>
              </w:rPr>
            </w:pPr>
            <w:r w:rsidRPr="00BE4079">
              <w:rPr>
                <w:rFonts w:ascii="Arial" w:hAnsi="Arial" w:cs="Arial"/>
                <w:sz w:val="20"/>
                <w:szCs w:val="20"/>
              </w:rPr>
              <w:t>10</w:t>
            </w:r>
          </w:p>
        </w:tc>
        <w:tc>
          <w:tcPr>
            <w:tcW w:w="3544" w:type="dxa"/>
          </w:tcPr>
          <w:p w14:paraId="424DC8D0" w14:textId="77777777" w:rsidR="003625FE" w:rsidRPr="00BE4079" w:rsidRDefault="003625FE" w:rsidP="00BE4079">
            <w:pPr>
              <w:jc w:val="both"/>
              <w:rPr>
                <w:rFonts w:ascii="Arial" w:hAnsi="Arial" w:cs="Arial"/>
                <w:sz w:val="20"/>
                <w:szCs w:val="20"/>
              </w:rPr>
            </w:pPr>
            <w:r w:rsidRPr="00BE4079">
              <w:rPr>
                <w:rFonts w:ascii="Arial" w:hAnsi="Arial" w:cs="Arial"/>
                <w:sz w:val="20"/>
                <w:szCs w:val="20"/>
              </w:rPr>
              <w:t xml:space="preserve">José Luis </w:t>
            </w:r>
            <w:proofErr w:type="spellStart"/>
            <w:r w:rsidRPr="00BE4079">
              <w:rPr>
                <w:rFonts w:ascii="Arial" w:hAnsi="Arial" w:cs="Arial"/>
                <w:sz w:val="20"/>
                <w:szCs w:val="20"/>
              </w:rPr>
              <w:t>Rodriguez</w:t>
            </w:r>
            <w:proofErr w:type="spellEnd"/>
            <w:r w:rsidRPr="00BE4079">
              <w:rPr>
                <w:rFonts w:ascii="Arial" w:hAnsi="Arial" w:cs="Arial"/>
                <w:sz w:val="20"/>
                <w:szCs w:val="20"/>
              </w:rPr>
              <w:t xml:space="preserve"> González</w:t>
            </w:r>
          </w:p>
        </w:tc>
        <w:tc>
          <w:tcPr>
            <w:tcW w:w="2268" w:type="dxa"/>
          </w:tcPr>
          <w:p w14:paraId="3D1DBD49" w14:textId="77777777" w:rsidR="003625FE" w:rsidRPr="00BE4079" w:rsidRDefault="003625FE" w:rsidP="00BE4079">
            <w:pPr>
              <w:jc w:val="center"/>
              <w:rPr>
                <w:rFonts w:ascii="Arial" w:hAnsi="Arial" w:cs="Arial"/>
                <w:sz w:val="20"/>
                <w:szCs w:val="20"/>
              </w:rPr>
            </w:pPr>
            <w:r w:rsidRPr="00BE4079">
              <w:rPr>
                <w:rFonts w:ascii="Arial" w:hAnsi="Arial" w:cs="Arial"/>
                <w:sz w:val="20"/>
                <w:szCs w:val="20"/>
              </w:rPr>
              <w:t>11</w:t>
            </w:r>
          </w:p>
        </w:tc>
      </w:tr>
      <w:tr w:rsidR="003625FE" w:rsidRPr="00BE4079" w14:paraId="34DE8987" w14:textId="77777777" w:rsidTr="00B57D8F">
        <w:tc>
          <w:tcPr>
            <w:tcW w:w="959" w:type="dxa"/>
          </w:tcPr>
          <w:p w14:paraId="704F6E90" w14:textId="77777777" w:rsidR="003625FE" w:rsidRPr="00BE4079" w:rsidRDefault="003625FE" w:rsidP="00BE4079">
            <w:pPr>
              <w:jc w:val="center"/>
              <w:rPr>
                <w:rFonts w:ascii="Arial" w:hAnsi="Arial" w:cs="Arial"/>
                <w:sz w:val="20"/>
                <w:szCs w:val="20"/>
              </w:rPr>
            </w:pPr>
            <w:r w:rsidRPr="00BE4079">
              <w:rPr>
                <w:rFonts w:ascii="Arial" w:hAnsi="Arial" w:cs="Arial"/>
                <w:sz w:val="20"/>
                <w:szCs w:val="20"/>
              </w:rPr>
              <w:t>11</w:t>
            </w:r>
          </w:p>
        </w:tc>
        <w:tc>
          <w:tcPr>
            <w:tcW w:w="3544" w:type="dxa"/>
          </w:tcPr>
          <w:p w14:paraId="32518199" w14:textId="77777777" w:rsidR="003625FE" w:rsidRPr="00BE4079" w:rsidRDefault="003625FE" w:rsidP="00BE4079">
            <w:pPr>
              <w:jc w:val="both"/>
              <w:rPr>
                <w:rFonts w:ascii="Arial" w:hAnsi="Arial" w:cs="Arial"/>
                <w:sz w:val="20"/>
                <w:szCs w:val="20"/>
              </w:rPr>
            </w:pPr>
            <w:r w:rsidRPr="00BE4079">
              <w:rPr>
                <w:rFonts w:ascii="Arial" w:hAnsi="Arial" w:cs="Arial"/>
                <w:sz w:val="20"/>
                <w:szCs w:val="20"/>
              </w:rPr>
              <w:t xml:space="preserve">Joaquín </w:t>
            </w:r>
            <w:proofErr w:type="spellStart"/>
            <w:r w:rsidRPr="00BE4079">
              <w:rPr>
                <w:rFonts w:ascii="Arial" w:hAnsi="Arial" w:cs="Arial"/>
                <w:sz w:val="20"/>
                <w:szCs w:val="20"/>
              </w:rPr>
              <w:t>Rodriguez</w:t>
            </w:r>
            <w:proofErr w:type="spellEnd"/>
            <w:r w:rsidRPr="00BE4079">
              <w:rPr>
                <w:rFonts w:ascii="Arial" w:hAnsi="Arial" w:cs="Arial"/>
                <w:sz w:val="20"/>
                <w:szCs w:val="20"/>
              </w:rPr>
              <w:t xml:space="preserve"> García</w:t>
            </w:r>
          </w:p>
        </w:tc>
        <w:tc>
          <w:tcPr>
            <w:tcW w:w="2268" w:type="dxa"/>
          </w:tcPr>
          <w:p w14:paraId="7BE5AB03" w14:textId="77777777" w:rsidR="003625FE" w:rsidRPr="00BE4079" w:rsidRDefault="003625FE" w:rsidP="00BE4079">
            <w:pPr>
              <w:jc w:val="center"/>
              <w:rPr>
                <w:rFonts w:ascii="Arial" w:hAnsi="Arial" w:cs="Arial"/>
                <w:sz w:val="20"/>
                <w:szCs w:val="20"/>
              </w:rPr>
            </w:pPr>
            <w:r w:rsidRPr="00BE4079">
              <w:rPr>
                <w:rFonts w:ascii="Arial" w:hAnsi="Arial" w:cs="Arial"/>
                <w:sz w:val="20"/>
                <w:szCs w:val="20"/>
              </w:rPr>
              <w:t>9</w:t>
            </w:r>
          </w:p>
        </w:tc>
      </w:tr>
      <w:tr w:rsidR="003625FE" w:rsidRPr="00BE4079" w14:paraId="4CDC1D29" w14:textId="77777777" w:rsidTr="00B57D8F">
        <w:tc>
          <w:tcPr>
            <w:tcW w:w="959" w:type="dxa"/>
          </w:tcPr>
          <w:p w14:paraId="584EC833" w14:textId="77777777" w:rsidR="003625FE" w:rsidRPr="00BE4079" w:rsidRDefault="003625FE" w:rsidP="00BE4079">
            <w:pPr>
              <w:jc w:val="center"/>
              <w:rPr>
                <w:rFonts w:ascii="Arial" w:hAnsi="Arial" w:cs="Arial"/>
                <w:sz w:val="20"/>
                <w:szCs w:val="20"/>
              </w:rPr>
            </w:pPr>
            <w:r w:rsidRPr="00BE4079">
              <w:rPr>
                <w:rFonts w:ascii="Arial" w:hAnsi="Arial" w:cs="Arial"/>
                <w:sz w:val="20"/>
                <w:szCs w:val="20"/>
              </w:rPr>
              <w:t>12</w:t>
            </w:r>
          </w:p>
        </w:tc>
        <w:tc>
          <w:tcPr>
            <w:tcW w:w="3544" w:type="dxa"/>
          </w:tcPr>
          <w:p w14:paraId="6163234B" w14:textId="77777777" w:rsidR="003625FE" w:rsidRPr="00BE4079" w:rsidRDefault="003625FE" w:rsidP="00BE4079">
            <w:pPr>
              <w:jc w:val="both"/>
              <w:rPr>
                <w:rFonts w:ascii="Arial" w:hAnsi="Arial" w:cs="Arial"/>
                <w:sz w:val="20"/>
                <w:szCs w:val="20"/>
              </w:rPr>
            </w:pPr>
            <w:r w:rsidRPr="00BE4079">
              <w:rPr>
                <w:rFonts w:ascii="Arial" w:hAnsi="Arial" w:cs="Arial"/>
                <w:sz w:val="20"/>
                <w:szCs w:val="20"/>
              </w:rPr>
              <w:t>Carlos Raymundo Toledo</w:t>
            </w:r>
          </w:p>
        </w:tc>
        <w:tc>
          <w:tcPr>
            <w:tcW w:w="2268" w:type="dxa"/>
          </w:tcPr>
          <w:p w14:paraId="334DDB20" w14:textId="77777777" w:rsidR="003625FE" w:rsidRPr="00BE4079" w:rsidRDefault="003625FE" w:rsidP="00BE4079">
            <w:pPr>
              <w:jc w:val="center"/>
              <w:rPr>
                <w:rFonts w:ascii="Arial" w:hAnsi="Arial" w:cs="Arial"/>
                <w:sz w:val="20"/>
                <w:szCs w:val="20"/>
              </w:rPr>
            </w:pPr>
            <w:r w:rsidRPr="00BE4079">
              <w:rPr>
                <w:rFonts w:ascii="Arial" w:hAnsi="Arial" w:cs="Arial"/>
                <w:sz w:val="20"/>
                <w:szCs w:val="20"/>
              </w:rPr>
              <w:t>4</w:t>
            </w:r>
          </w:p>
        </w:tc>
      </w:tr>
      <w:tr w:rsidR="003625FE" w:rsidRPr="00BE4079" w14:paraId="5E316117" w14:textId="77777777" w:rsidTr="00B57D8F">
        <w:trPr>
          <w:trHeight w:val="134"/>
        </w:trPr>
        <w:tc>
          <w:tcPr>
            <w:tcW w:w="959" w:type="dxa"/>
          </w:tcPr>
          <w:p w14:paraId="33579320" w14:textId="77777777" w:rsidR="003625FE" w:rsidRPr="00BE4079" w:rsidRDefault="003625FE" w:rsidP="00BE4079">
            <w:pPr>
              <w:jc w:val="center"/>
              <w:rPr>
                <w:rFonts w:ascii="Arial" w:hAnsi="Arial" w:cs="Arial"/>
                <w:sz w:val="20"/>
                <w:szCs w:val="20"/>
              </w:rPr>
            </w:pPr>
            <w:r w:rsidRPr="00BE4079">
              <w:rPr>
                <w:rFonts w:ascii="Arial" w:hAnsi="Arial" w:cs="Arial"/>
                <w:sz w:val="20"/>
                <w:szCs w:val="20"/>
              </w:rPr>
              <w:t>13</w:t>
            </w:r>
          </w:p>
        </w:tc>
        <w:tc>
          <w:tcPr>
            <w:tcW w:w="3544" w:type="dxa"/>
          </w:tcPr>
          <w:p w14:paraId="41B3F550" w14:textId="77777777" w:rsidR="003625FE" w:rsidRPr="00BE4079" w:rsidRDefault="003625FE" w:rsidP="00BE4079">
            <w:pPr>
              <w:jc w:val="both"/>
              <w:rPr>
                <w:rFonts w:ascii="Arial" w:hAnsi="Arial" w:cs="Arial"/>
                <w:sz w:val="20"/>
                <w:szCs w:val="20"/>
              </w:rPr>
            </w:pPr>
            <w:r w:rsidRPr="00BE4079">
              <w:rPr>
                <w:rFonts w:ascii="Arial" w:hAnsi="Arial" w:cs="Arial"/>
                <w:sz w:val="20"/>
                <w:szCs w:val="20"/>
              </w:rPr>
              <w:t>Edson Gutiérrez López</w:t>
            </w:r>
          </w:p>
        </w:tc>
        <w:tc>
          <w:tcPr>
            <w:tcW w:w="2268" w:type="dxa"/>
          </w:tcPr>
          <w:p w14:paraId="2FD6CADE" w14:textId="77777777" w:rsidR="003625FE" w:rsidRPr="00BE4079" w:rsidRDefault="003625FE" w:rsidP="00BE4079">
            <w:pPr>
              <w:jc w:val="center"/>
              <w:rPr>
                <w:rFonts w:ascii="Arial" w:hAnsi="Arial" w:cs="Arial"/>
                <w:sz w:val="20"/>
                <w:szCs w:val="20"/>
              </w:rPr>
            </w:pPr>
            <w:r w:rsidRPr="00BE4079">
              <w:rPr>
                <w:rFonts w:ascii="Arial" w:hAnsi="Arial" w:cs="Arial"/>
                <w:sz w:val="20"/>
                <w:szCs w:val="20"/>
              </w:rPr>
              <w:t>2</w:t>
            </w:r>
          </w:p>
        </w:tc>
      </w:tr>
    </w:tbl>
    <w:p w14:paraId="2766A345" w14:textId="77777777" w:rsidR="003625FE" w:rsidRPr="00BE4079" w:rsidRDefault="003625FE" w:rsidP="00BE4079">
      <w:pPr>
        <w:spacing w:after="0" w:line="240" w:lineRule="auto"/>
        <w:jc w:val="both"/>
        <w:rPr>
          <w:rFonts w:ascii="Arial" w:hAnsi="Arial" w:cs="Arial"/>
          <w:sz w:val="24"/>
          <w:szCs w:val="24"/>
        </w:rPr>
      </w:pPr>
    </w:p>
    <w:p w14:paraId="279267D5" w14:textId="77777777" w:rsidR="003625FE" w:rsidRPr="00BE4079" w:rsidRDefault="003625FE" w:rsidP="00BE4079">
      <w:pPr>
        <w:spacing w:after="0" w:line="240" w:lineRule="auto"/>
        <w:jc w:val="both"/>
        <w:rPr>
          <w:rFonts w:ascii="Arial" w:hAnsi="Arial" w:cs="Arial"/>
          <w:sz w:val="24"/>
          <w:szCs w:val="24"/>
        </w:rPr>
      </w:pPr>
    </w:p>
    <w:p w14:paraId="36A62115" w14:textId="77777777" w:rsidR="003625FE" w:rsidRPr="00BE4079" w:rsidRDefault="003625FE" w:rsidP="00BE4079">
      <w:pPr>
        <w:pStyle w:val="Prrafodelista"/>
        <w:numPr>
          <w:ilvl w:val="0"/>
          <w:numId w:val="5"/>
        </w:numPr>
        <w:spacing w:after="0" w:line="240" w:lineRule="auto"/>
        <w:jc w:val="both"/>
        <w:rPr>
          <w:rFonts w:ascii="Arial" w:hAnsi="Arial" w:cs="Arial"/>
          <w:sz w:val="24"/>
          <w:szCs w:val="24"/>
        </w:rPr>
      </w:pPr>
      <w:r w:rsidRPr="00BE4079">
        <w:rPr>
          <w:rFonts w:ascii="Arial" w:hAnsi="Arial" w:cs="Arial"/>
          <w:sz w:val="24"/>
          <w:szCs w:val="24"/>
        </w:rPr>
        <w:t xml:space="preserve">De la revisión de la anterior lista se puede desprender </w:t>
      </w:r>
      <w:proofErr w:type="gramStart"/>
      <w:r w:rsidRPr="00BE4079">
        <w:rPr>
          <w:rFonts w:ascii="Arial" w:hAnsi="Arial" w:cs="Arial"/>
          <w:sz w:val="24"/>
          <w:szCs w:val="24"/>
        </w:rPr>
        <w:t>que</w:t>
      </w:r>
      <w:proofErr w:type="gramEnd"/>
      <w:r w:rsidRPr="00BE4079">
        <w:rPr>
          <w:rFonts w:ascii="Arial" w:hAnsi="Arial" w:cs="Arial"/>
          <w:sz w:val="24"/>
          <w:szCs w:val="24"/>
        </w:rPr>
        <w:t xml:space="preserve"> con base en la votación recibida en la Asamblea Estatal, el actor ocupó el sexto lugar, mientras que en los cinco lugares anteriores se encuentran tres hombres y dos mujeres.  </w:t>
      </w:r>
    </w:p>
    <w:p w14:paraId="1E500024" w14:textId="77777777" w:rsidR="003625FE" w:rsidRPr="00BE4079" w:rsidRDefault="003625FE" w:rsidP="00BE4079">
      <w:pPr>
        <w:spacing w:after="0" w:line="240" w:lineRule="auto"/>
        <w:jc w:val="both"/>
        <w:rPr>
          <w:rFonts w:ascii="Arial" w:hAnsi="Arial" w:cs="Arial"/>
          <w:sz w:val="24"/>
          <w:szCs w:val="24"/>
        </w:rPr>
      </w:pPr>
    </w:p>
    <w:p w14:paraId="7E2232ED" w14:textId="77777777" w:rsidR="003625FE" w:rsidRPr="00BE4079" w:rsidRDefault="003625FE" w:rsidP="00BE4079">
      <w:pPr>
        <w:pStyle w:val="Prrafodelista"/>
        <w:numPr>
          <w:ilvl w:val="0"/>
          <w:numId w:val="5"/>
        </w:numPr>
        <w:spacing w:after="0" w:line="240" w:lineRule="auto"/>
        <w:jc w:val="both"/>
        <w:rPr>
          <w:rFonts w:ascii="Arial" w:hAnsi="Arial" w:cs="Arial"/>
          <w:sz w:val="24"/>
          <w:szCs w:val="24"/>
        </w:rPr>
      </w:pPr>
      <w:r w:rsidRPr="00BE4079">
        <w:rPr>
          <w:rFonts w:ascii="Arial" w:hAnsi="Arial" w:cs="Arial"/>
          <w:sz w:val="24"/>
          <w:szCs w:val="24"/>
        </w:rPr>
        <w:t>El veintinueve de marzo del año en curso, se celebró la XXII Asamblea Nacional Ordinaria del Partido Acción Nacional, en la que se ratificó a los Consejeros Nacionales electos en las correspondientes Asambleas Estatales, estando integrada la lista correspondiente al Estado de Chiapas, de la siguiente manera:</w:t>
      </w:r>
    </w:p>
    <w:p w14:paraId="0108A3BD" w14:textId="77777777" w:rsidR="003625FE" w:rsidRPr="00BE4079" w:rsidRDefault="003625FE" w:rsidP="00BE4079">
      <w:pPr>
        <w:spacing w:after="0" w:line="24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959"/>
        <w:gridCol w:w="3544"/>
      </w:tblGrid>
      <w:tr w:rsidR="003625FE" w:rsidRPr="00BE4079" w14:paraId="74807DC2" w14:textId="77777777" w:rsidTr="00B57D8F">
        <w:trPr>
          <w:jc w:val="center"/>
        </w:trPr>
        <w:tc>
          <w:tcPr>
            <w:tcW w:w="959" w:type="dxa"/>
          </w:tcPr>
          <w:p w14:paraId="437E4408" w14:textId="77777777" w:rsidR="003625FE" w:rsidRPr="00BE4079" w:rsidRDefault="003625FE" w:rsidP="00BE4079">
            <w:pPr>
              <w:jc w:val="center"/>
              <w:rPr>
                <w:rFonts w:ascii="Arial" w:hAnsi="Arial" w:cs="Arial"/>
                <w:b/>
                <w:sz w:val="20"/>
                <w:szCs w:val="20"/>
              </w:rPr>
            </w:pPr>
            <w:r w:rsidRPr="00BE4079">
              <w:rPr>
                <w:rFonts w:ascii="Arial" w:hAnsi="Arial" w:cs="Arial"/>
                <w:b/>
                <w:sz w:val="20"/>
                <w:szCs w:val="20"/>
              </w:rPr>
              <w:t>No.</w:t>
            </w:r>
          </w:p>
        </w:tc>
        <w:tc>
          <w:tcPr>
            <w:tcW w:w="3544" w:type="dxa"/>
          </w:tcPr>
          <w:p w14:paraId="5E04AD7D" w14:textId="77777777" w:rsidR="003625FE" w:rsidRPr="00BE4079" w:rsidRDefault="003625FE" w:rsidP="00BE4079">
            <w:pPr>
              <w:jc w:val="center"/>
              <w:rPr>
                <w:rFonts w:ascii="Arial" w:hAnsi="Arial" w:cs="Arial"/>
                <w:b/>
                <w:sz w:val="20"/>
                <w:szCs w:val="20"/>
              </w:rPr>
            </w:pPr>
            <w:r w:rsidRPr="00BE4079">
              <w:rPr>
                <w:rFonts w:ascii="Arial" w:hAnsi="Arial" w:cs="Arial"/>
                <w:b/>
                <w:sz w:val="20"/>
                <w:szCs w:val="20"/>
              </w:rPr>
              <w:t>Nombre</w:t>
            </w:r>
          </w:p>
        </w:tc>
      </w:tr>
      <w:tr w:rsidR="003625FE" w:rsidRPr="00BE4079" w14:paraId="7C491CB1" w14:textId="77777777" w:rsidTr="00B57D8F">
        <w:trPr>
          <w:jc w:val="center"/>
        </w:trPr>
        <w:tc>
          <w:tcPr>
            <w:tcW w:w="959" w:type="dxa"/>
          </w:tcPr>
          <w:p w14:paraId="00656428" w14:textId="77777777" w:rsidR="003625FE" w:rsidRPr="00BE4079" w:rsidRDefault="003625FE" w:rsidP="00BE4079">
            <w:pPr>
              <w:jc w:val="center"/>
              <w:rPr>
                <w:rFonts w:ascii="Arial" w:hAnsi="Arial" w:cs="Arial"/>
                <w:sz w:val="20"/>
                <w:szCs w:val="20"/>
              </w:rPr>
            </w:pPr>
            <w:r w:rsidRPr="00BE4079">
              <w:rPr>
                <w:rFonts w:ascii="Arial" w:hAnsi="Arial" w:cs="Arial"/>
                <w:sz w:val="20"/>
                <w:szCs w:val="20"/>
              </w:rPr>
              <w:t>1</w:t>
            </w:r>
          </w:p>
        </w:tc>
        <w:tc>
          <w:tcPr>
            <w:tcW w:w="3544" w:type="dxa"/>
          </w:tcPr>
          <w:p w14:paraId="4CBFFC91" w14:textId="77777777" w:rsidR="003625FE" w:rsidRPr="00BE4079" w:rsidRDefault="003625FE" w:rsidP="00BE4079">
            <w:pPr>
              <w:jc w:val="both"/>
              <w:rPr>
                <w:rFonts w:ascii="Arial" w:hAnsi="Arial" w:cs="Arial"/>
                <w:sz w:val="20"/>
                <w:szCs w:val="20"/>
              </w:rPr>
            </w:pPr>
            <w:r w:rsidRPr="00BE4079">
              <w:rPr>
                <w:rFonts w:ascii="Arial" w:hAnsi="Arial" w:cs="Arial"/>
                <w:sz w:val="20"/>
                <w:szCs w:val="20"/>
              </w:rPr>
              <w:t>Carlos Alberto Palomeque Archila</w:t>
            </w:r>
          </w:p>
        </w:tc>
      </w:tr>
      <w:tr w:rsidR="003625FE" w:rsidRPr="00BE4079" w14:paraId="6E6C4EB6" w14:textId="77777777" w:rsidTr="00B57D8F">
        <w:trPr>
          <w:jc w:val="center"/>
        </w:trPr>
        <w:tc>
          <w:tcPr>
            <w:tcW w:w="959" w:type="dxa"/>
          </w:tcPr>
          <w:p w14:paraId="1BDEAE9C" w14:textId="77777777" w:rsidR="003625FE" w:rsidRPr="00BE4079" w:rsidRDefault="003625FE" w:rsidP="00BE4079">
            <w:pPr>
              <w:jc w:val="center"/>
              <w:rPr>
                <w:rFonts w:ascii="Arial" w:hAnsi="Arial" w:cs="Arial"/>
                <w:sz w:val="20"/>
                <w:szCs w:val="20"/>
              </w:rPr>
            </w:pPr>
            <w:r w:rsidRPr="00BE4079">
              <w:rPr>
                <w:rFonts w:ascii="Arial" w:hAnsi="Arial" w:cs="Arial"/>
                <w:sz w:val="20"/>
                <w:szCs w:val="20"/>
              </w:rPr>
              <w:t>2</w:t>
            </w:r>
          </w:p>
        </w:tc>
        <w:tc>
          <w:tcPr>
            <w:tcW w:w="3544" w:type="dxa"/>
          </w:tcPr>
          <w:p w14:paraId="48DD5756" w14:textId="77777777" w:rsidR="003625FE" w:rsidRPr="00BE4079" w:rsidRDefault="003625FE" w:rsidP="00BE4079">
            <w:pPr>
              <w:jc w:val="both"/>
              <w:rPr>
                <w:rFonts w:ascii="Arial" w:hAnsi="Arial" w:cs="Arial"/>
                <w:sz w:val="20"/>
                <w:szCs w:val="20"/>
              </w:rPr>
            </w:pPr>
            <w:r w:rsidRPr="00BE4079">
              <w:rPr>
                <w:rFonts w:ascii="Arial" w:hAnsi="Arial" w:cs="Arial"/>
                <w:sz w:val="20"/>
                <w:szCs w:val="20"/>
              </w:rPr>
              <w:t>Ana Deisy Ley Mendoza</w:t>
            </w:r>
          </w:p>
        </w:tc>
      </w:tr>
      <w:tr w:rsidR="003625FE" w:rsidRPr="00BE4079" w14:paraId="1C2A128A" w14:textId="77777777" w:rsidTr="00B57D8F">
        <w:trPr>
          <w:jc w:val="center"/>
        </w:trPr>
        <w:tc>
          <w:tcPr>
            <w:tcW w:w="959" w:type="dxa"/>
          </w:tcPr>
          <w:p w14:paraId="4C149F77" w14:textId="77777777" w:rsidR="003625FE" w:rsidRPr="00BE4079" w:rsidRDefault="003625FE" w:rsidP="00BE4079">
            <w:pPr>
              <w:jc w:val="center"/>
              <w:rPr>
                <w:rFonts w:ascii="Arial" w:hAnsi="Arial" w:cs="Arial"/>
                <w:sz w:val="20"/>
                <w:szCs w:val="20"/>
              </w:rPr>
            </w:pPr>
            <w:r w:rsidRPr="00BE4079">
              <w:rPr>
                <w:rFonts w:ascii="Arial" w:hAnsi="Arial" w:cs="Arial"/>
                <w:sz w:val="20"/>
                <w:szCs w:val="20"/>
              </w:rPr>
              <w:t>3</w:t>
            </w:r>
          </w:p>
        </w:tc>
        <w:tc>
          <w:tcPr>
            <w:tcW w:w="3544" w:type="dxa"/>
          </w:tcPr>
          <w:p w14:paraId="4E36821B" w14:textId="77777777" w:rsidR="003625FE" w:rsidRPr="00BE4079" w:rsidRDefault="003625FE" w:rsidP="00BE4079">
            <w:pPr>
              <w:jc w:val="both"/>
              <w:rPr>
                <w:rFonts w:ascii="Arial" w:hAnsi="Arial" w:cs="Arial"/>
                <w:sz w:val="20"/>
                <w:szCs w:val="20"/>
              </w:rPr>
            </w:pPr>
            <w:r w:rsidRPr="00BE4079">
              <w:rPr>
                <w:rFonts w:ascii="Arial" w:hAnsi="Arial" w:cs="Arial"/>
                <w:sz w:val="20"/>
                <w:szCs w:val="20"/>
              </w:rPr>
              <w:t>Modesto Sánchez Torres</w:t>
            </w:r>
          </w:p>
        </w:tc>
      </w:tr>
      <w:tr w:rsidR="003625FE" w:rsidRPr="00BE4079" w14:paraId="6860B65B" w14:textId="77777777" w:rsidTr="00B57D8F">
        <w:trPr>
          <w:jc w:val="center"/>
        </w:trPr>
        <w:tc>
          <w:tcPr>
            <w:tcW w:w="959" w:type="dxa"/>
          </w:tcPr>
          <w:p w14:paraId="1515EB9D" w14:textId="77777777" w:rsidR="003625FE" w:rsidRPr="00BE4079" w:rsidRDefault="003625FE" w:rsidP="00BE4079">
            <w:pPr>
              <w:jc w:val="center"/>
              <w:rPr>
                <w:rFonts w:ascii="Arial" w:hAnsi="Arial" w:cs="Arial"/>
                <w:sz w:val="20"/>
                <w:szCs w:val="20"/>
              </w:rPr>
            </w:pPr>
            <w:r w:rsidRPr="00BE4079">
              <w:rPr>
                <w:rFonts w:ascii="Arial" w:hAnsi="Arial" w:cs="Arial"/>
                <w:sz w:val="20"/>
                <w:szCs w:val="20"/>
              </w:rPr>
              <w:t>4</w:t>
            </w:r>
          </w:p>
        </w:tc>
        <w:tc>
          <w:tcPr>
            <w:tcW w:w="3544" w:type="dxa"/>
          </w:tcPr>
          <w:p w14:paraId="04FC9159" w14:textId="77777777" w:rsidR="003625FE" w:rsidRPr="00BE4079" w:rsidRDefault="003625FE" w:rsidP="00BE4079">
            <w:pPr>
              <w:jc w:val="both"/>
              <w:rPr>
                <w:rFonts w:ascii="Arial" w:hAnsi="Arial" w:cs="Arial"/>
                <w:sz w:val="20"/>
                <w:szCs w:val="20"/>
              </w:rPr>
            </w:pPr>
            <w:r w:rsidRPr="00BE4079">
              <w:rPr>
                <w:rFonts w:ascii="Arial" w:hAnsi="Arial" w:cs="Arial"/>
                <w:sz w:val="20"/>
                <w:szCs w:val="20"/>
              </w:rPr>
              <w:t>Ada Luisa Velázquez Hernández</w:t>
            </w:r>
          </w:p>
        </w:tc>
      </w:tr>
      <w:tr w:rsidR="003625FE" w:rsidRPr="00BE4079" w14:paraId="3BB5A46D" w14:textId="77777777" w:rsidTr="00B57D8F">
        <w:trPr>
          <w:jc w:val="center"/>
        </w:trPr>
        <w:tc>
          <w:tcPr>
            <w:tcW w:w="959" w:type="dxa"/>
          </w:tcPr>
          <w:p w14:paraId="6140B5A5" w14:textId="77777777" w:rsidR="003625FE" w:rsidRPr="00BE4079" w:rsidRDefault="003625FE" w:rsidP="00BE4079">
            <w:pPr>
              <w:jc w:val="center"/>
              <w:rPr>
                <w:rFonts w:ascii="Arial" w:hAnsi="Arial" w:cs="Arial"/>
                <w:sz w:val="20"/>
                <w:szCs w:val="20"/>
              </w:rPr>
            </w:pPr>
            <w:r w:rsidRPr="00BE4079">
              <w:rPr>
                <w:rFonts w:ascii="Arial" w:hAnsi="Arial" w:cs="Arial"/>
                <w:sz w:val="20"/>
                <w:szCs w:val="20"/>
              </w:rPr>
              <w:lastRenderedPageBreak/>
              <w:t>5</w:t>
            </w:r>
          </w:p>
        </w:tc>
        <w:tc>
          <w:tcPr>
            <w:tcW w:w="3544" w:type="dxa"/>
          </w:tcPr>
          <w:p w14:paraId="0A856D10" w14:textId="77777777" w:rsidR="003625FE" w:rsidRPr="00BE4079" w:rsidRDefault="003625FE" w:rsidP="00BE4079">
            <w:pPr>
              <w:jc w:val="both"/>
              <w:rPr>
                <w:rFonts w:ascii="Arial" w:hAnsi="Arial" w:cs="Arial"/>
                <w:sz w:val="20"/>
                <w:szCs w:val="20"/>
              </w:rPr>
            </w:pPr>
            <w:r w:rsidRPr="00BE4079">
              <w:rPr>
                <w:rFonts w:ascii="Arial" w:hAnsi="Arial" w:cs="Arial"/>
                <w:sz w:val="20"/>
                <w:szCs w:val="20"/>
              </w:rPr>
              <w:t xml:space="preserve">Miguel Ángel </w:t>
            </w:r>
            <w:proofErr w:type="spellStart"/>
            <w:r w:rsidRPr="00BE4079">
              <w:rPr>
                <w:rFonts w:ascii="Arial" w:hAnsi="Arial" w:cs="Arial"/>
                <w:sz w:val="20"/>
                <w:szCs w:val="20"/>
              </w:rPr>
              <w:t>Chavez</w:t>
            </w:r>
            <w:proofErr w:type="spellEnd"/>
            <w:r w:rsidRPr="00BE4079">
              <w:rPr>
                <w:rFonts w:ascii="Arial" w:hAnsi="Arial" w:cs="Arial"/>
                <w:sz w:val="20"/>
                <w:szCs w:val="20"/>
              </w:rPr>
              <w:t xml:space="preserve"> Nava</w:t>
            </w:r>
          </w:p>
        </w:tc>
      </w:tr>
      <w:tr w:rsidR="003625FE" w:rsidRPr="00BE4079" w14:paraId="7CDB9188" w14:textId="77777777" w:rsidTr="00B57D8F">
        <w:trPr>
          <w:jc w:val="center"/>
        </w:trPr>
        <w:tc>
          <w:tcPr>
            <w:tcW w:w="959" w:type="dxa"/>
          </w:tcPr>
          <w:p w14:paraId="4271CA7B" w14:textId="77777777" w:rsidR="003625FE" w:rsidRPr="00BE4079" w:rsidRDefault="003625FE" w:rsidP="00BE4079">
            <w:pPr>
              <w:jc w:val="center"/>
              <w:rPr>
                <w:rFonts w:ascii="Arial" w:hAnsi="Arial" w:cs="Arial"/>
                <w:sz w:val="20"/>
                <w:szCs w:val="20"/>
              </w:rPr>
            </w:pPr>
            <w:r w:rsidRPr="00BE4079">
              <w:rPr>
                <w:rFonts w:ascii="Arial" w:hAnsi="Arial" w:cs="Arial"/>
                <w:sz w:val="20"/>
                <w:szCs w:val="20"/>
              </w:rPr>
              <w:t>6</w:t>
            </w:r>
          </w:p>
        </w:tc>
        <w:tc>
          <w:tcPr>
            <w:tcW w:w="3544" w:type="dxa"/>
          </w:tcPr>
          <w:p w14:paraId="2271A534" w14:textId="77777777" w:rsidR="003625FE" w:rsidRPr="00BE4079" w:rsidRDefault="003625FE" w:rsidP="00BE4079">
            <w:pPr>
              <w:jc w:val="both"/>
              <w:rPr>
                <w:rFonts w:ascii="Arial" w:hAnsi="Arial" w:cs="Arial"/>
                <w:sz w:val="20"/>
                <w:szCs w:val="20"/>
              </w:rPr>
            </w:pPr>
            <w:r w:rsidRPr="00BE4079">
              <w:rPr>
                <w:rFonts w:ascii="Arial" w:hAnsi="Arial" w:cs="Arial"/>
                <w:sz w:val="20"/>
                <w:szCs w:val="20"/>
              </w:rPr>
              <w:t>Gloria Trinidad Luna Ruiz</w:t>
            </w:r>
          </w:p>
        </w:tc>
      </w:tr>
    </w:tbl>
    <w:p w14:paraId="0E6AFFDA" w14:textId="77777777" w:rsidR="003625FE" w:rsidRPr="00BE4079" w:rsidRDefault="003625FE" w:rsidP="00BE4079">
      <w:pPr>
        <w:spacing w:after="0" w:line="240" w:lineRule="auto"/>
        <w:jc w:val="both"/>
        <w:rPr>
          <w:rFonts w:ascii="Arial" w:hAnsi="Arial" w:cs="Arial"/>
          <w:sz w:val="24"/>
          <w:szCs w:val="24"/>
        </w:rPr>
      </w:pPr>
    </w:p>
    <w:p w14:paraId="39E601F9" w14:textId="77777777" w:rsidR="003625FE" w:rsidRPr="00BE4079" w:rsidRDefault="003625FE" w:rsidP="00BE4079">
      <w:pPr>
        <w:pStyle w:val="Prrafodelista"/>
        <w:numPr>
          <w:ilvl w:val="0"/>
          <w:numId w:val="6"/>
        </w:numPr>
        <w:spacing w:after="0" w:line="240" w:lineRule="auto"/>
        <w:jc w:val="both"/>
        <w:rPr>
          <w:rFonts w:ascii="Arial" w:hAnsi="Arial" w:cs="Arial"/>
          <w:sz w:val="24"/>
          <w:szCs w:val="24"/>
        </w:rPr>
      </w:pPr>
      <w:r w:rsidRPr="00BE4079">
        <w:rPr>
          <w:rFonts w:ascii="Arial" w:hAnsi="Arial" w:cs="Arial"/>
          <w:sz w:val="24"/>
          <w:szCs w:val="24"/>
        </w:rPr>
        <w:t>El mismo veintinueve de marzo, el actor presentó un escrito de inconformidad por la exclusión de su nombre de la lista de Consejeros Nacionales del Partido Acción Nacional por el Estado de Chiapas.</w:t>
      </w:r>
    </w:p>
    <w:p w14:paraId="47E674A4" w14:textId="77777777" w:rsidR="003625FE" w:rsidRPr="00BE4079" w:rsidRDefault="003625FE" w:rsidP="00BE4079">
      <w:pPr>
        <w:spacing w:after="0" w:line="240" w:lineRule="auto"/>
        <w:jc w:val="both"/>
        <w:rPr>
          <w:rFonts w:ascii="Arial" w:hAnsi="Arial" w:cs="Arial"/>
          <w:sz w:val="24"/>
          <w:szCs w:val="24"/>
        </w:rPr>
      </w:pPr>
    </w:p>
    <w:p w14:paraId="6F15807B" w14:textId="77777777" w:rsidR="003625FE" w:rsidRPr="00BE4079" w:rsidRDefault="003625FE" w:rsidP="00BE4079">
      <w:pPr>
        <w:pStyle w:val="Prrafodelista"/>
        <w:numPr>
          <w:ilvl w:val="0"/>
          <w:numId w:val="6"/>
        </w:numPr>
        <w:spacing w:after="0" w:line="240" w:lineRule="auto"/>
        <w:jc w:val="both"/>
        <w:rPr>
          <w:rFonts w:ascii="Arial" w:hAnsi="Arial" w:cs="Arial"/>
          <w:sz w:val="24"/>
          <w:szCs w:val="24"/>
        </w:rPr>
      </w:pPr>
      <w:r w:rsidRPr="00BE4079">
        <w:rPr>
          <w:rFonts w:ascii="Arial" w:hAnsi="Arial" w:cs="Arial"/>
          <w:sz w:val="24"/>
          <w:szCs w:val="24"/>
        </w:rPr>
        <w:t xml:space="preserve">El tres de abril del año en curso, la </w:t>
      </w:r>
      <w:proofErr w:type="gramStart"/>
      <w:r w:rsidRPr="00BE4079">
        <w:rPr>
          <w:rFonts w:ascii="Arial" w:hAnsi="Arial" w:cs="Arial"/>
          <w:sz w:val="24"/>
          <w:szCs w:val="24"/>
        </w:rPr>
        <w:t>Presidenta</w:t>
      </w:r>
      <w:proofErr w:type="gramEnd"/>
      <w:r w:rsidRPr="00BE4079">
        <w:rPr>
          <w:rFonts w:ascii="Arial" w:hAnsi="Arial" w:cs="Arial"/>
          <w:sz w:val="24"/>
          <w:szCs w:val="24"/>
        </w:rPr>
        <w:t xml:space="preserve"> del Comité Ejecutivo Nacional del Partido Acción Nacional, a través del escrito identificado con el número SG/130/2014, dictó providencias relacionadas con el escrito de inconformidad presentado por el actor, en las que declaró infundado los agravios y en consecuencia confirmó la ratificación del Consejo Nacional 2014-2016, realizada por la XXII Asamblea Nacional Ordinaria.</w:t>
      </w:r>
    </w:p>
    <w:p w14:paraId="26EEE4C6" w14:textId="77777777" w:rsidR="003625FE" w:rsidRPr="00BE4079" w:rsidRDefault="003625FE" w:rsidP="00BE4079">
      <w:pPr>
        <w:spacing w:after="0" w:line="240" w:lineRule="auto"/>
        <w:jc w:val="both"/>
        <w:rPr>
          <w:rFonts w:ascii="Arial" w:hAnsi="Arial" w:cs="Arial"/>
          <w:sz w:val="24"/>
          <w:szCs w:val="24"/>
        </w:rPr>
      </w:pPr>
    </w:p>
    <w:p w14:paraId="35CB3D99" w14:textId="77777777" w:rsidR="003625FE" w:rsidRPr="00BE4079" w:rsidRDefault="003625FE" w:rsidP="00BE4079">
      <w:pPr>
        <w:pStyle w:val="Prrafodelista"/>
        <w:numPr>
          <w:ilvl w:val="0"/>
          <w:numId w:val="6"/>
        </w:numPr>
        <w:spacing w:after="0" w:line="240" w:lineRule="auto"/>
        <w:jc w:val="both"/>
        <w:rPr>
          <w:rFonts w:ascii="Arial" w:hAnsi="Arial" w:cs="Arial"/>
          <w:sz w:val="24"/>
          <w:szCs w:val="24"/>
        </w:rPr>
      </w:pPr>
      <w:r w:rsidRPr="00BE4079">
        <w:rPr>
          <w:rFonts w:ascii="Arial" w:hAnsi="Arial" w:cs="Arial"/>
          <w:sz w:val="24"/>
          <w:szCs w:val="24"/>
        </w:rPr>
        <w:t>En sesión siete de abril del presente año, el Comité Ejecutivo del Partido Acción Nacional aprobó el acuerdo impugnado en el presente juicio, identificado con el número CEN/SG/025/2014, mediante el cual, entre otras cuestiones, ratificó la resolución SG/130/2014, precisada en el párrafo anterior.</w:t>
      </w:r>
    </w:p>
    <w:p w14:paraId="5106DCDD" w14:textId="77777777" w:rsidR="003625FE" w:rsidRPr="00BE4079" w:rsidRDefault="003625FE" w:rsidP="00BE4079">
      <w:pPr>
        <w:spacing w:after="0" w:line="240" w:lineRule="auto"/>
        <w:jc w:val="both"/>
        <w:rPr>
          <w:rFonts w:ascii="Arial" w:hAnsi="Arial" w:cs="Arial"/>
          <w:sz w:val="24"/>
          <w:szCs w:val="24"/>
        </w:rPr>
      </w:pPr>
    </w:p>
    <w:p w14:paraId="0F53F2AA" w14:textId="77777777" w:rsidR="003625FE" w:rsidRPr="00BE4079" w:rsidRDefault="003625FE" w:rsidP="00BE4079">
      <w:pPr>
        <w:spacing w:after="0" w:line="240" w:lineRule="auto"/>
        <w:jc w:val="both"/>
        <w:rPr>
          <w:rFonts w:ascii="Arial" w:hAnsi="Arial" w:cs="Arial"/>
          <w:sz w:val="24"/>
          <w:szCs w:val="24"/>
        </w:rPr>
      </w:pPr>
      <w:r w:rsidRPr="00BE4079">
        <w:rPr>
          <w:rFonts w:ascii="Arial" w:hAnsi="Arial" w:cs="Arial"/>
          <w:sz w:val="24"/>
          <w:szCs w:val="24"/>
        </w:rPr>
        <w:t>Una vez hechas las anteriores precisiones, esta Sala Superior considera que, en primer lugar, se debe establecer si el criterio adoptado por los órganos partidistas para determinar el número de Consejeros Nacionales que de cada género debían ser designados, para cumplir con las disposiciones estatutarias, y que los llevaron a ajustar la lista que arrojó la votación emitida en la Asamblea Estatal de Chiapas, fue el correcto o, si como lo afirma el actor, no se ajustaron a lo establecido por artículo 27, párrafo 1, número III, inciso b) de los Estatutos, en el sentido de que “las fracciones se redondean de acuerdo a la unidad más próxima”, toda vez que los agravios del actor deben de ser analizados a través de esta definición.</w:t>
      </w:r>
    </w:p>
    <w:p w14:paraId="22911836" w14:textId="77777777" w:rsidR="003625FE" w:rsidRPr="00BE4079" w:rsidRDefault="003625FE" w:rsidP="00BE4079">
      <w:pPr>
        <w:spacing w:after="0" w:line="240" w:lineRule="auto"/>
        <w:jc w:val="both"/>
        <w:rPr>
          <w:rFonts w:ascii="Arial" w:hAnsi="Arial" w:cs="Arial"/>
          <w:sz w:val="24"/>
          <w:szCs w:val="24"/>
        </w:rPr>
      </w:pPr>
    </w:p>
    <w:p w14:paraId="335A88CA" w14:textId="77777777" w:rsidR="003625FE" w:rsidRPr="00BE4079" w:rsidRDefault="003625FE" w:rsidP="00BE4079">
      <w:pPr>
        <w:spacing w:after="0" w:line="240" w:lineRule="auto"/>
        <w:jc w:val="both"/>
        <w:rPr>
          <w:rFonts w:ascii="Arial" w:hAnsi="Arial" w:cs="Arial"/>
          <w:sz w:val="24"/>
          <w:szCs w:val="24"/>
        </w:rPr>
      </w:pPr>
      <w:r w:rsidRPr="00BE4079">
        <w:rPr>
          <w:rFonts w:ascii="Arial" w:hAnsi="Arial" w:cs="Arial"/>
          <w:sz w:val="24"/>
          <w:szCs w:val="24"/>
        </w:rPr>
        <w:t>A juicio de esta Sala Superior no le asiste la razón al actor, con base en las siguientes consideraciones.</w:t>
      </w:r>
    </w:p>
    <w:p w14:paraId="333E7790" w14:textId="77777777" w:rsidR="003625FE" w:rsidRPr="00BE4079" w:rsidRDefault="003625FE" w:rsidP="00BE4079">
      <w:pPr>
        <w:spacing w:after="0" w:line="240" w:lineRule="auto"/>
        <w:jc w:val="both"/>
        <w:rPr>
          <w:rFonts w:ascii="Arial" w:hAnsi="Arial" w:cs="Arial"/>
          <w:sz w:val="24"/>
          <w:szCs w:val="24"/>
        </w:rPr>
      </w:pPr>
    </w:p>
    <w:p w14:paraId="7E7DA268" w14:textId="77777777" w:rsidR="003625FE" w:rsidRPr="00BE4079" w:rsidRDefault="003625FE" w:rsidP="00BE4079">
      <w:pPr>
        <w:spacing w:after="0" w:line="240" w:lineRule="auto"/>
        <w:jc w:val="both"/>
        <w:rPr>
          <w:rFonts w:ascii="Arial" w:hAnsi="Arial" w:cs="Arial"/>
          <w:sz w:val="24"/>
          <w:szCs w:val="24"/>
        </w:rPr>
      </w:pPr>
      <w:r w:rsidRPr="00BE4079">
        <w:rPr>
          <w:rFonts w:ascii="Arial" w:hAnsi="Arial" w:cs="Arial"/>
          <w:sz w:val="24"/>
          <w:szCs w:val="24"/>
        </w:rPr>
        <w:t>En primer término, debe tomarse</w:t>
      </w:r>
      <w:r w:rsidRPr="00BE4079">
        <w:rPr>
          <w:rFonts w:ascii="Arial" w:hAnsi="Arial" w:cs="Arial"/>
          <w:b/>
          <w:sz w:val="24"/>
          <w:szCs w:val="24"/>
        </w:rPr>
        <w:t xml:space="preserve"> </w:t>
      </w:r>
      <w:r w:rsidRPr="00BE4079">
        <w:rPr>
          <w:rFonts w:ascii="Arial" w:hAnsi="Arial" w:cs="Arial"/>
          <w:sz w:val="24"/>
          <w:szCs w:val="24"/>
        </w:rPr>
        <w:t xml:space="preserve">en cuenta que el número de Consejeros Nacionales del Partido Acción Nacional que corresponden al Estado de Chiapas es de </w:t>
      </w:r>
      <w:r w:rsidRPr="00BE4079">
        <w:rPr>
          <w:rFonts w:ascii="Arial" w:hAnsi="Arial" w:cs="Arial"/>
          <w:b/>
          <w:sz w:val="24"/>
          <w:szCs w:val="24"/>
        </w:rPr>
        <w:t>seis</w:t>
      </w:r>
      <w:r w:rsidRPr="00BE4079">
        <w:rPr>
          <w:rFonts w:ascii="Arial" w:hAnsi="Arial" w:cs="Arial"/>
          <w:sz w:val="24"/>
          <w:szCs w:val="24"/>
        </w:rPr>
        <w:t xml:space="preserve">, y de estos, con fundamento en los artículos 25 de los Estatutos Generales, 31 del Reglamento de los órganos Estatales y Municipales, así como el numeral 49 de la Convocatoria de mérito, cuando menos el cuarenta por ciento (40%) deben ser de distinto género, tal y como ha quedado precisado en los párrafos precedentes, por lo que en una interpretación sistemática y funcional de los preceptos antes precisados, no resulta atendible lo alegado por el ahora actor, toda vez que, de proceder en los términos planteados por el impetrante, implicaría que no se estuviera cumpliendo con las disposiciones relativas a garantizar una representación mínima de un género, frente al otro, es decir, se estaría inaplicando la normativa </w:t>
      </w:r>
      <w:proofErr w:type="spellStart"/>
      <w:r w:rsidRPr="00BE4079">
        <w:rPr>
          <w:rFonts w:ascii="Arial" w:hAnsi="Arial" w:cs="Arial"/>
          <w:sz w:val="24"/>
          <w:szCs w:val="24"/>
        </w:rPr>
        <w:t>intrapartidaria</w:t>
      </w:r>
      <w:proofErr w:type="spellEnd"/>
      <w:r w:rsidRPr="00BE4079">
        <w:rPr>
          <w:rFonts w:ascii="Arial" w:hAnsi="Arial" w:cs="Arial"/>
          <w:sz w:val="24"/>
          <w:szCs w:val="24"/>
        </w:rPr>
        <w:t xml:space="preserve"> antes señalada.</w:t>
      </w:r>
    </w:p>
    <w:p w14:paraId="34CC5A7B" w14:textId="77777777" w:rsidR="003625FE" w:rsidRPr="00BE4079" w:rsidRDefault="003625FE" w:rsidP="00BE4079">
      <w:pPr>
        <w:spacing w:after="0" w:line="240" w:lineRule="auto"/>
        <w:jc w:val="both"/>
        <w:rPr>
          <w:rFonts w:ascii="Arial" w:hAnsi="Arial" w:cs="Arial"/>
          <w:sz w:val="24"/>
          <w:szCs w:val="24"/>
        </w:rPr>
      </w:pPr>
    </w:p>
    <w:p w14:paraId="1EB7ED56" w14:textId="77777777" w:rsidR="003625FE" w:rsidRPr="00BE4079" w:rsidRDefault="003625FE" w:rsidP="00BE4079">
      <w:pPr>
        <w:spacing w:after="0" w:line="240" w:lineRule="auto"/>
        <w:jc w:val="both"/>
        <w:rPr>
          <w:rFonts w:ascii="Arial" w:hAnsi="Arial" w:cs="Arial"/>
          <w:sz w:val="24"/>
          <w:szCs w:val="24"/>
        </w:rPr>
      </w:pPr>
      <w:r w:rsidRPr="00BE4079">
        <w:rPr>
          <w:rFonts w:ascii="Arial" w:hAnsi="Arial" w:cs="Arial"/>
          <w:sz w:val="24"/>
          <w:szCs w:val="24"/>
        </w:rPr>
        <w:lastRenderedPageBreak/>
        <w:t xml:space="preserve">Esto es, de los seis consejeros que debían elegirse por el Estado de Chiapas, no podría sostenerse válidamente que </w:t>
      </w:r>
      <w:r w:rsidRPr="00BE4079">
        <w:rPr>
          <w:rFonts w:ascii="Arial" w:hAnsi="Arial" w:cs="Arial"/>
          <w:b/>
          <w:sz w:val="24"/>
          <w:szCs w:val="24"/>
        </w:rPr>
        <w:t xml:space="preserve">cuatro </w:t>
      </w:r>
      <w:r w:rsidRPr="00BE4079">
        <w:rPr>
          <w:rFonts w:ascii="Arial" w:hAnsi="Arial" w:cs="Arial"/>
          <w:sz w:val="24"/>
          <w:szCs w:val="24"/>
        </w:rPr>
        <w:t xml:space="preserve">fueran de un género y </w:t>
      </w:r>
      <w:r w:rsidRPr="00BE4079">
        <w:rPr>
          <w:rFonts w:ascii="Arial" w:hAnsi="Arial" w:cs="Arial"/>
          <w:b/>
          <w:sz w:val="24"/>
          <w:szCs w:val="24"/>
        </w:rPr>
        <w:t>dos</w:t>
      </w:r>
      <w:r w:rsidRPr="00BE4079">
        <w:rPr>
          <w:rFonts w:ascii="Arial" w:hAnsi="Arial" w:cs="Arial"/>
          <w:sz w:val="24"/>
          <w:szCs w:val="24"/>
        </w:rPr>
        <w:t xml:space="preserve"> de otro, pues ello implicaría que un género, en el presente caso el masculino, contara con el sesenta y seis punto sesenta y seis por ciento (66.66%) de la representación, al ser cuatro de seis consejeros, en tanto que el otro, el género femenino, sólo tuviera el treinta y tres punto treinta y tres por ciento (33.33%), porcentaje este último que clara y evidentemente no cumple con lo previsto en los artículos 25, párrafo 1, inciso l), de los Estatutos Generales, así como 31 del Reglamento de los Órganos Estatales y Municipales, pues la cantidad antes precisada se encuentra por debajo del mínimo establecido, como representación de un género frente al otro, que es del cuarenta por ciento (40%).</w:t>
      </w:r>
    </w:p>
    <w:p w14:paraId="1118CF1E" w14:textId="77777777" w:rsidR="003625FE" w:rsidRPr="00BE4079" w:rsidRDefault="003625FE" w:rsidP="00BE4079">
      <w:pPr>
        <w:spacing w:after="0" w:line="240" w:lineRule="auto"/>
        <w:jc w:val="both"/>
        <w:rPr>
          <w:rFonts w:ascii="Arial" w:hAnsi="Arial" w:cs="Arial"/>
          <w:sz w:val="24"/>
          <w:szCs w:val="24"/>
        </w:rPr>
      </w:pPr>
    </w:p>
    <w:p w14:paraId="7FCE6153" w14:textId="77777777" w:rsidR="003625FE" w:rsidRPr="00BE4079" w:rsidRDefault="003625FE" w:rsidP="00BE4079">
      <w:pPr>
        <w:spacing w:after="0" w:line="240" w:lineRule="auto"/>
        <w:jc w:val="both"/>
        <w:rPr>
          <w:rFonts w:ascii="Arial" w:hAnsi="Arial" w:cs="Arial"/>
          <w:sz w:val="24"/>
          <w:szCs w:val="24"/>
        </w:rPr>
      </w:pPr>
      <w:r w:rsidRPr="00BE4079">
        <w:rPr>
          <w:rFonts w:ascii="Arial" w:hAnsi="Arial" w:cs="Arial"/>
          <w:sz w:val="24"/>
          <w:szCs w:val="24"/>
        </w:rPr>
        <w:t>En este sentido, cabe advertir que la interpretación armónica de las disposiciones antes precisadas, permite concluir que, en el presente caso, no puede aplicarse manera literal lo dispuesto, en el artículo 27, párrafo 1, número III, inciso b), de los Estatutos Generales del Partido Acción Nacional, como lo propone el actor, pues resulta evidente que, para determinar el número entero de Consejeros Nacionales que habrán de proponerse de cada género, debe estarse a lo establecido por los artículos 25 de los Estatutos Generales y 31 del Reglamento de Órganos Estatales y Municipales, en los que claramente se establece que no podrán ser menos del cuarenta por ciento (40%) de un género, y evidentemente en ningún caso más del sesenta por ciento (60%) del otro género.</w:t>
      </w:r>
    </w:p>
    <w:p w14:paraId="2B78AC88" w14:textId="77777777" w:rsidR="003625FE" w:rsidRPr="00BE4079" w:rsidRDefault="003625FE" w:rsidP="00BE4079">
      <w:pPr>
        <w:spacing w:after="0" w:line="240" w:lineRule="auto"/>
        <w:jc w:val="both"/>
        <w:rPr>
          <w:rFonts w:ascii="Arial" w:hAnsi="Arial" w:cs="Arial"/>
          <w:sz w:val="24"/>
          <w:szCs w:val="24"/>
        </w:rPr>
      </w:pPr>
    </w:p>
    <w:p w14:paraId="4F7FAF27" w14:textId="77777777" w:rsidR="003625FE" w:rsidRPr="00BE4079" w:rsidRDefault="003625FE" w:rsidP="00BE4079">
      <w:pPr>
        <w:spacing w:after="0" w:line="240" w:lineRule="auto"/>
        <w:jc w:val="both"/>
        <w:rPr>
          <w:rFonts w:ascii="Arial" w:hAnsi="Arial" w:cs="Arial"/>
          <w:sz w:val="24"/>
          <w:szCs w:val="24"/>
        </w:rPr>
      </w:pPr>
      <w:r w:rsidRPr="00BE4079">
        <w:rPr>
          <w:rFonts w:ascii="Arial" w:hAnsi="Arial" w:cs="Arial"/>
          <w:sz w:val="24"/>
          <w:szCs w:val="24"/>
        </w:rPr>
        <w:t xml:space="preserve">En este sentido, se insiste, si se atendiera la interpretación del actor, y se considerara que las fracciones de tres punto seis (3.6) y dos punto cuatro (2.4) deben ajustarse a la unidad más próxima, y por lo tanto el número de Consejeros Nacionales de un mismo género podría ser de hasta cuatro, mientras que del género distinto se podrían designar solamente dos, como se ha evidenciado previamente, implicaría una  violación a las reglas establecidas en los citados artículos </w:t>
      </w:r>
      <w:proofErr w:type="spellStart"/>
      <w:r w:rsidRPr="00BE4079">
        <w:rPr>
          <w:rFonts w:ascii="Arial" w:hAnsi="Arial" w:cs="Arial"/>
          <w:sz w:val="24"/>
          <w:szCs w:val="24"/>
        </w:rPr>
        <w:t>intrapartidarios</w:t>
      </w:r>
      <w:proofErr w:type="spellEnd"/>
      <w:r w:rsidRPr="00BE4079">
        <w:rPr>
          <w:rFonts w:ascii="Arial" w:hAnsi="Arial" w:cs="Arial"/>
          <w:sz w:val="24"/>
          <w:szCs w:val="24"/>
        </w:rPr>
        <w:t>.</w:t>
      </w:r>
    </w:p>
    <w:p w14:paraId="706F4B86" w14:textId="77777777" w:rsidR="003625FE" w:rsidRPr="00BE4079" w:rsidRDefault="003625FE" w:rsidP="00BE4079">
      <w:pPr>
        <w:spacing w:after="0" w:line="240" w:lineRule="auto"/>
        <w:jc w:val="both"/>
        <w:rPr>
          <w:rFonts w:ascii="Arial" w:hAnsi="Arial" w:cs="Arial"/>
          <w:sz w:val="24"/>
          <w:szCs w:val="24"/>
        </w:rPr>
      </w:pPr>
    </w:p>
    <w:p w14:paraId="78B14425" w14:textId="77777777" w:rsidR="003625FE" w:rsidRPr="00BE4079" w:rsidRDefault="003625FE" w:rsidP="00BE4079">
      <w:pPr>
        <w:spacing w:after="0" w:line="240" w:lineRule="auto"/>
        <w:jc w:val="both"/>
        <w:rPr>
          <w:rFonts w:ascii="Arial" w:hAnsi="Arial" w:cs="Arial"/>
          <w:sz w:val="24"/>
          <w:szCs w:val="24"/>
        </w:rPr>
      </w:pPr>
      <w:r w:rsidRPr="00BE4079">
        <w:rPr>
          <w:rFonts w:ascii="Arial" w:hAnsi="Arial" w:cs="Arial"/>
          <w:sz w:val="24"/>
          <w:szCs w:val="24"/>
        </w:rPr>
        <w:t>Lo anterior, pues es claro que en ese supuesto, el porcentaje de Consejeros Nacionales elegidos en una Asamblea Estatal de un mismo género sería mayor al límite máximo determinado por el Partido Acción Nacional, pues cuatro de seis consejeros equivale al sesenta y seis punto sesenta y seis por ciento (66.66%), lo que es un porcentaje superior al límite máximo previsto en la norma, mientras que el otro género al contar con dos lugares de seis posibles, tendría una representación del treinta y tres punto treinta y tres por ciento (33.33%),, esto es por abajo del límite mínimo.</w:t>
      </w:r>
    </w:p>
    <w:p w14:paraId="43903202" w14:textId="77777777" w:rsidR="003625FE" w:rsidRPr="00BE4079" w:rsidRDefault="003625FE" w:rsidP="00BE4079">
      <w:pPr>
        <w:spacing w:after="0" w:line="240" w:lineRule="auto"/>
        <w:jc w:val="both"/>
        <w:rPr>
          <w:rFonts w:ascii="Arial" w:hAnsi="Arial" w:cs="Arial"/>
          <w:sz w:val="24"/>
          <w:szCs w:val="24"/>
        </w:rPr>
      </w:pPr>
    </w:p>
    <w:p w14:paraId="0DDB463B" w14:textId="77777777" w:rsidR="003625FE" w:rsidRPr="00BE4079" w:rsidRDefault="003625FE" w:rsidP="00BE4079">
      <w:pPr>
        <w:spacing w:after="0" w:line="240" w:lineRule="auto"/>
        <w:jc w:val="both"/>
        <w:rPr>
          <w:rFonts w:ascii="Arial" w:hAnsi="Arial" w:cs="Arial"/>
          <w:bCs/>
          <w:sz w:val="24"/>
          <w:szCs w:val="24"/>
        </w:rPr>
      </w:pPr>
      <w:r w:rsidRPr="00BE4079">
        <w:rPr>
          <w:rFonts w:ascii="Arial" w:hAnsi="Arial" w:cs="Arial"/>
          <w:sz w:val="24"/>
          <w:szCs w:val="24"/>
        </w:rPr>
        <w:t xml:space="preserve">Al respecto, esta Sala Superior estima pertinente señalar que, lo dispuesto en los artículos 25 de los Estatutos Generales y 31 del Reglamento de Órganos Estatales y Municipales, que fueron establecidos por la XVII Asamblea Nacional Extraordinaria del Partido Acción Nacional en ejercicio de su autodeterminación, constituyen lo que se ha denominado como </w:t>
      </w:r>
      <w:r w:rsidRPr="00BE4079">
        <w:rPr>
          <w:rFonts w:ascii="Arial" w:hAnsi="Arial" w:cs="Arial"/>
          <w:b/>
          <w:sz w:val="24"/>
          <w:szCs w:val="24"/>
        </w:rPr>
        <w:t>acciones afirmativas</w:t>
      </w:r>
      <w:r w:rsidRPr="00BE4079">
        <w:rPr>
          <w:rFonts w:ascii="Arial" w:hAnsi="Arial" w:cs="Arial"/>
          <w:sz w:val="24"/>
          <w:szCs w:val="24"/>
        </w:rPr>
        <w:t xml:space="preserve">, y que consisten en aquellas </w:t>
      </w:r>
      <w:r w:rsidRPr="00BE4079">
        <w:rPr>
          <w:rFonts w:ascii="Arial" w:hAnsi="Arial" w:cs="Arial"/>
          <w:bCs/>
          <w:sz w:val="24"/>
          <w:szCs w:val="24"/>
        </w:rPr>
        <w:t xml:space="preserve">acciones a través de las cuales se establece una preferencia o distinción a favor de un grupo que se encuentra en una situación de desventaja en el ejercicio </w:t>
      </w:r>
      <w:r w:rsidRPr="00BE4079">
        <w:rPr>
          <w:rFonts w:ascii="Arial" w:hAnsi="Arial" w:cs="Arial"/>
          <w:bCs/>
          <w:sz w:val="24"/>
          <w:szCs w:val="24"/>
        </w:rPr>
        <w:lastRenderedPageBreak/>
        <w:t>de sus derechos con el objetivo de revertir y compensar esa situación para alcanzar una igualdad sustancial.</w:t>
      </w:r>
    </w:p>
    <w:p w14:paraId="3021EE32" w14:textId="77777777" w:rsidR="003625FE" w:rsidRPr="00BE4079" w:rsidRDefault="003625FE" w:rsidP="00BE4079">
      <w:pPr>
        <w:spacing w:after="0" w:line="240" w:lineRule="auto"/>
        <w:jc w:val="both"/>
        <w:rPr>
          <w:rFonts w:ascii="Arial" w:hAnsi="Arial" w:cs="Arial"/>
          <w:bCs/>
          <w:sz w:val="24"/>
          <w:szCs w:val="24"/>
        </w:rPr>
      </w:pPr>
    </w:p>
    <w:p w14:paraId="20BBC6D0" w14:textId="77777777" w:rsidR="003625FE" w:rsidRPr="00BE4079" w:rsidRDefault="003625FE" w:rsidP="00BE4079">
      <w:pPr>
        <w:spacing w:after="0" w:line="240" w:lineRule="auto"/>
        <w:jc w:val="both"/>
        <w:rPr>
          <w:rFonts w:ascii="Arial" w:hAnsi="Arial" w:cs="Arial"/>
          <w:bCs/>
          <w:sz w:val="24"/>
          <w:szCs w:val="24"/>
        </w:rPr>
      </w:pPr>
      <w:r w:rsidRPr="00BE4079">
        <w:rPr>
          <w:rFonts w:ascii="Arial" w:hAnsi="Arial" w:cs="Arial"/>
          <w:bCs/>
          <w:sz w:val="24"/>
          <w:szCs w:val="24"/>
        </w:rPr>
        <w:t>Sobre las acciones afirmativas, cabe advertir que, aun cuando no existe un concepto universalmente aceptado de las mismas, ya que cada autor, dependiendo del punto de vista desde el cual hace su análisis, enfatiza algunas características y omite otras, acentuando alguno de sus elementos y adjudicándole una función específica</w:t>
      </w:r>
      <w:r w:rsidRPr="00BE4079">
        <w:rPr>
          <w:rFonts w:ascii="Arial" w:hAnsi="Arial" w:cs="Arial"/>
          <w:bCs/>
          <w:sz w:val="24"/>
          <w:szCs w:val="24"/>
          <w:vertAlign w:val="superscript"/>
        </w:rPr>
        <w:footnoteReference w:id="1"/>
      </w:r>
      <w:r w:rsidRPr="00BE4079">
        <w:rPr>
          <w:rFonts w:ascii="Arial" w:hAnsi="Arial" w:cs="Arial"/>
          <w:bCs/>
          <w:sz w:val="24"/>
          <w:szCs w:val="24"/>
        </w:rPr>
        <w:t xml:space="preserve">. No </w:t>
      </w:r>
      <w:proofErr w:type="gramStart"/>
      <w:r w:rsidRPr="00BE4079">
        <w:rPr>
          <w:rFonts w:ascii="Arial" w:hAnsi="Arial" w:cs="Arial"/>
          <w:bCs/>
          <w:sz w:val="24"/>
          <w:szCs w:val="24"/>
        </w:rPr>
        <w:t>obstante</w:t>
      </w:r>
      <w:proofErr w:type="gramEnd"/>
      <w:r w:rsidRPr="00BE4079">
        <w:rPr>
          <w:rFonts w:ascii="Arial" w:hAnsi="Arial" w:cs="Arial"/>
          <w:bCs/>
          <w:sz w:val="24"/>
          <w:szCs w:val="24"/>
        </w:rPr>
        <w:t xml:space="preserve"> la pluralidad de enfoques y definiciones, es posible destacar los elementos fundamentales que integran el concepto de la acción afirmativa. </w:t>
      </w:r>
    </w:p>
    <w:p w14:paraId="5EC6DA73" w14:textId="77777777" w:rsidR="003625FE" w:rsidRPr="00BE4079" w:rsidRDefault="003625FE" w:rsidP="00BE4079">
      <w:pPr>
        <w:spacing w:after="0" w:line="240" w:lineRule="auto"/>
        <w:jc w:val="both"/>
        <w:rPr>
          <w:rFonts w:ascii="Arial" w:hAnsi="Arial" w:cs="Arial"/>
          <w:bCs/>
          <w:sz w:val="24"/>
          <w:szCs w:val="24"/>
        </w:rPr>
      </w:pPr>
    </w:p>
    <w:p w14:paraId="0DB75329" w14:textId="77777777" w:rsidR="003625FE" w:rsidRPr="00BE4079" w:rsidRDefault="003625FE" w:rsidP="00BE4079">
      <w:pPr>
        <w:spacing w:after="0" w:line="240" w:lineRule="auto"/>
        <w:jc w:val="both"/>
        <w:rPr>
          <w:rFonts w:ascii="Arial" w:hAnsi="Arial" w:cs="Arial"/>
          <w:b/>
          <w:bCs/>
          <w:sz w:val="24"/>
          <w:szCs w:val="24"/>
        </w:rPr>
      </w:pPr>
      <w:r w:rsidRPr="00BE4079">
        <w:rPr>
          <w:rFonts w:ascii="Arial" w:hAnsi="Arial" w:cs="Arial"/>
          <w:b/>
          <w:bCs/>
          <w:sz w:val="24"/>
          <w:szCs w:val="24"/>
        </w:rPr>
        <w:t>Objetivos y fines</w:t>
      </w:r>
    </w:p>
    <w:p w14:paraId="4CFDF627" w14:textId="77777777" w:rsidR="003625FE" w:rsidRPr="00BE4079" w:rsidRDefault="003625FE" w:rsidP="00BE4079">
      <w:pPr>
        <w:spacing w:after="0" w:line="240" w:lineRule="auto"/>
        <w:jc w:val="both"/>
        <w:rPr>
          <w:rFonts w:ascii="Arial" w:hAnsi="Arial" w:cs="Arial"/>
          <w:b/>
          <w:bCs/>
          <w:sz w:val="24"/>
          <w:szCs w:val="24"/>
        </w:rPr>
      </w:pPr>
    </w:p>
    <w:p w14:paraId="45D92117" w14:textId="77777777" w:rsidR="003625FE" w:rsidRPr="00BE4079" w:rsidRDefault="003625FE" w:rsidP="00BE4079">
      <w:pPr>
        <w:spacing w:after="0" w:line="240" w:lineRule="auto"/>
        <w:jc w:val="both"/>
        <w:rPr>
          <w:rFonts w:ascii="Arial" w:hAnsi="Arial" w:cs="Arial"/>
          <w:bCs/>
          <w:sz w:val="24"/>
          <w:szCs w:val="24"/>
        </w:rPr>
      </w:pPr>
      <w:r w:rsidRPr="00BE4079">
        <w:rPr>
          <w:rFonts w:ascii="Arial" w:hAnsi="Arial" w:cs="Arial"/>
          <w:b/>
          <w:bCs/>
          <w:sz w:val="24"/>
          <w:szCs w:val="24"/>
        </w:rPr>
        <w:t xml:space="preserve">a. Fines particulares. </w:t>
      </w:r>
      <w:r w:rsidRPr="00BE4079">
        <w:rPr>
          <w:rFonts w:ascii="Arial" w:hAnsi="Arial" w:cs="Arial"/>
          <w:bCs/>
          <w:sz w:val="24"/>
          <w:szCs w:val="24"/>
        </w:rPr>
        <w:t xml:space="preserve">Entre los fines particulares de las acciones afirmativas, se pueden distinguir tres tipos: </w:t>
      </w:r>
    </w:p>
    <w:p w14:paraId="35D750EA" w14:textId="77777777" w:rsidR="003625FE" w:rsidRPr="00BE4079" w:rsidRDefault="003625FE" w:rsidP="00BE4079">
      <w:pPr>
        <w:spacing w:after="0" w:line="240" w:lineRule="auto"/>
        <w:jc w:val="both"/>
        <w:rPr>
          <w:rFonts w:ascii="Arial" w:hAnsi="Arial" w:cs="Arial"/>
          <w:b/>
          <w:bCs/>
          <w:sz w:val="24"/>
          <w:szCs w:val="24"/>
        </w:rPr>
      </w:pPr>
    </w:p>
    <w:p w14:paraId="2047E785" w14:textId="77777777" w:rsidR="003625FE" w:rsidRPr="00BE4079" w:rsidRDefault="003625FE" w:rsidP="00BE4079">
      <w:pPr>
        <w:spacing w:after="0" w:line="240" w:lineRule="auto"/>
        <w:jc w:val="both"/>
        <w:rPr>
          <w:rFonts w:ascii="Arial" w:hAnsi="Arial" w:cs="Arial"/>
          <w:bCs/>
          <w:sz w:val="24"/>
          <w:szCs w:val="24"/>
        </w:rPr>
      </w:pPr>
      <w:r w:rsidRPr="00BE4079">
        <w:rPr>
          <w:rFonts w:ascii="Arial" w:hAnsi="Arial" w:cs="Arial"/>
          <w:b/>
          <w:bCs/>
          <w:sz w:val="24"/>
          <w:szCs w:val="24"/>
        </w:rPr>
        <w:t>1º.</w:t>
      </w:r>
      <w:r w:rsidRPr="00BE4079">
        <w:rPr>
          <w:rFonts w:ascii="Arial" w:hAnsi="Arial" w:cs="Arial"/>
          <w:bCs/>
          <w:sz w:val="24"/>
          <w:szCs w:val="24"/>
        </w:rPr>
        <w:t xml:space="preserve"> </w:t>
      </w:r>
      <w:r w:rsidRPr="00BE4079">
        <w:rPr>
          <w:rFonts w:ascii="Arial" w:hAnsi="Arial" w:cs="Arial"/>
          <w:bCs/>
          <w:i/>
          <w:sz w:val="24"/>
          <w:szCs w:val="24"/>
        </w:rPr>
        <w:t>Compensar o remediar una situación de injusticia o discriminación del pasado</w:t>
      </w:r>
      <w:r w:rsidRPr="00BE4079">
        <w:rPr>
          <w:rFonts w:ascii="Arial" w:hAnsi="Arial" w:cs="Arial"/>
          <w:bCs/>
          <w:sz w:val="24"/>
          <w:szCs w:val="24"/>
        </w:rPr>
        <w:t xml:space="preserve"> </w:t>
      </w:r>
    </w:p>
    <w:p w14:paraId="018989E0" w14:textId="77777777" w:rsidR="003625FE" w:rsidRPr="00BE4079" w:rsidRDefault="003625FE" w:rsidP="00BE4079">
      <w:pPr>
        <w:spacing w:after="0" w:line="240" w:lineRule="auto"/>
        <w:jc w:val="both"/>
        <w:rPr>
          <w:rFonts w:ascii="Arial" w:hAnsi="Arial" w:cs="Arial"/>
          <w:bCs/>
          <w:sz w:val="24"/>
          <w:szCs w:val="24"/>
        </w:rPr>
      </w:pPr>
    </w:p>
    <w:p w14:paraId="147AFE77" w14:textId="77777777" w:rsidR="003625FE" w:rsidRPr="00BE4079" w:rsidRDefault="003625FE" w:rsidP="00BE4079">
      <w:pPr>
        <w:spacing w:after="0" w:line="240" w:lineRule="auto"/>
        <w:jc w:val="both"/>
        <w:rPr>
          <w:rFonts w:ascii="Arial" w:hAnsi="Arial" w:cs="Arial"/>
          <w:bCs/>
          <w:sz w:val="24"/>
          <w:szCs w:val="24"/>
        </w:rPr>
      </w:pPr>
      <w:r w:rsidRPr="00BE4079">
        <w:rPr>
          <w:rFonts w:ascii="Arial" w:hAnsi="Arial" w:cs="Arial"/>
          <w:bCs/>
          <w:sz w:val="24"/>
          <w:szCs w:val="24"/>
        </w:rPr>
        <w:t xml:space="preserve">Este fin es el que más se identifica con las acciones afirmativas, pues la necesidad de remediar y terminar con la grave situación de discriminación y falta de oportunidades que viven algunos grupos </w:t>
      </w:r>
      <w:proofErr w:type="gramStart"/>
      <w:r w:rsidRPr="00BE4079">
        <w:rPr>
          <w:rFonts w:ascii="Arial" w:hAnsi="Arial" w:cs="Arial"/>
          <w:bCs/>
          <w:sz w:val="24"/>
          <w:szCs w:val="24"/>
        </w:rPr>
        <w:t>humanos,</w:t>
      </w:r>
      <w:proofErr w:type="gramEnd"/>
      <w:r w:rsidRPr="00BE4079">
        <w:rPr>
          <w:rFonts w:ascii="Arial" w:hAnsi="Arial" w:cs="Arial"/>
          <w:bCs/>
          <w:sz w:val="24"/>
          <w:szCs w:val="24"/>
        </w:rPr>
        <w:t xml:space="preserve"> motivó sus orígenes y sigue motivando su implementación en la actualidad. </w:t>
      </w:r>
    </w:p>
    <w:p w14:paraId="4D80D586" w14:textId="77777777" w:rsidR="003625FE" w:rsidRPr="00BE4079" w:rsidRDefault="003625FE" w:rsidP="00BE4079">
      <w:pPr>
        <w:spacing w:after="0" w:line="240" w:lineRule="auto"/>
        <w:jc w:val="both"/>
        <w:rPr>
          <w:rFonts w:ascii="Arial" w:hAnsi="Arial" w:cs="Arial"/>
          <w:bCs/>
          <w:sz w:val="24"/>
          <w:szCs w:val="24"/>
        </w:rPr>
      </w:pPr>
    </w:p>
    <w:p w14:paraId="628C6728" w14:textId="77777777" w:rsidR="003625FE" w:rsidRPr="00BE4079" w:rsidRDefault="003625FE" w:rsidP="00BE4079">
      <w:pPr>
        <w:spacing w:after="0" w:line="240" w:lineRule="auto"/>
        <w:jc w:val="both"/>
        <w:rPr>
          <w:rFonts w:ascii="Arial" w:hAnsi="Arial" w:cs="Arial"/>
          <w:bCs/>
          <w:sz w:val="24"/>
          <w:szCs w:val="24"/>
        </w:rPr>
      </w:pPr>
      <w:r w:rsidRPr="00BE4079">
        <w:rPr>
          <w:rFonts w:ascii="Arial" w:hAnsi="Arial" w:cs="Arial"/>
          <w:bCs/>
          <w:sz w:val="24"/>
          <w:szCs w:val="24"/>
        </w:rPr>
        <w:t xml:space="preserve">Por una parte, se trata de poner fin a la situación de desventaja en la que viven ciertos grupos de personas, mediante la remoción de los obstáculos que históricamente impedían su desarrollo, abriendo así nuevas oportunidades y facilitando el ejercicio de sus derechos; </w:t>
      </w:r>
      <w:proofErr w:type="gramStart"/>
      <w:r w:rsidRPr="00BE4079">
        <w:rPr>
          <w:rFonts w:ascii="Arial" w:hAnsi="Arial" w:cs="Arial"/>
          <w:bCs/>
          <w:sz w:val="24"/>
          <w:szCs w:val="24"/>
        </w:rPr>
        <w:t>y</w:t>
      </w:r>
      <w:proofErr w:type="gramEnd"/>
      <w:r w:rsidRPr="00BE4079">
        <w:rPr>
          <w:rFonts w:ascii="Arial" w:hAnsi="Arial" w:cs="Arial"/>
          <w:bCs/>
          <w:sz w:val="24"/>
          <w:szCs w:val="24"/>
        </w:rPr>
        <w:t xml:space="preserve"> por otra parte, busca compensar la situación de injusticia que en el pasado y, en ocasiones, de manera sistemática sufrió un determinado grupo de personas. </w:t>
      </w:r>
    </w:p>
    <w:p w14:paraId="3F5E5A39" w14:textId="77777777" w:rsidR="003625FE" w:rsidRPr="00BE4079" w:rsidRDefault="003625FE" w:rsidP="00BE4079">
      <w:pPr>
        <w:spacing w:after="0" w:line="240" w:lineRule="auto"/>
        <w:jc w:val="both"/>
        <w:rPr>
          <w:rFonts w:ascii="Arial" w:hAnsi="Arial" w:cs="Arial"/>
          <w:bCs/>
          <w:sz w:val="24"/>
          <w:szCs w:val="24"/>
        </w:rPr>
      </w:pPr>
    </w:p>
    <w:p w14:paraId="21B81DBE" w14:textId="77777777" w:rsidR="003625FE" w:rsidRPr="00BE4079" w:rsidRDefault="003625FE" w:rsidP="00BE4079">
      <w:pPr>
        <w:spacing w:after="0" w:line="240" w:lineRule="auto"/>
        <w:jc w:val="both"/>
        <w:rPr>
          <w:rFonts w:ascii="Arial" w:hAnsi="Arial" w:cs="Arial"/>
          <w:bCs/>
          <w:sz w:val="24"/>
          <w:szCs w:val="24"/>
        </w:rPr>
      </w:pPr>
      <w:r w:rsidRPr="00BE4079">
        <w:rPr>
          <w:rFonts w:ascii="Arial" w:hAnsi="Arial" w:cs="Arial"/>
          <w:bCs/>
          <w:sz w:val="24"/>
          <w:szCs w:val="24"/>
        </w:rPr>
        <w:t xml:space="preserve">Este fin de naturaleza compensatoria adquiere mayor relevancia en las acciones afirmativas dirigidas a grupos raciales, religiosos o étnicos minoritarios que habían sido oprimidos, explotados o simplemente relegados por el grupo mayoritario. </w:t>
      </w:r>
    </w:p>
    <w:p w14:paraId="2F59BE1E" w14:textId="77777777" w:rsidR="003625FE" w:rsidRPr="00BE4079" w:rsidRDefault="003625FE" w:rsidP="00BE4079">
      <w:pPr>
        <w:spacing w:after="0" w:line="240" w:lineRule="auto"/>
        <w:jc w:val="both"/>
        <w:rPr>
          <w:rFonts w:ascii="Arial" w:hAnsi="Arial" w:cs="Arial"/>
          <w:bCs/>
          <w:sz w:val="24"/>
          <w:szCs w:val="24"/>
        </w:rPr>
      </w:pPr>
    </w:p>
    <w:p w14:paraId="20DF524D" w14:textId="77777777" w:rsidR="003625FE" w:rsidRPr="00BE4079" w:rsidRDefault="003625FE" w:rsidP="00BE4079">
      <w:pPr>
        <w:spacing w:after="0" w:line="240" w:lineRule="auto"/>
        <w:jc w:val="both"/>
        <w:rPr>
          <w:rFonts w:ascii="Arial" w:hAnsi="Arial" w:cs="Arial"/>
          <w:bCs/>
          <w:sz w:val="24"/>
          <w:szCs w:val="24"/>
        </w:rPr>
      </w:pPr>
      <w:r w:rsidRPr="00BE4079">
        <w:rPr>
          <w:rFonts w:ascii="Arial" w:hAnsi="Arial" w:cs="Arial"/>
          <w:bCs/>
          <w:sz w:val="24"/>
          <w:szCs w:val="24"/>
        </w:rPr>
        <w:t>En este caso las acciones afirmativas toman la forma y el sentido de la justicia conmutativa, tal y como la describe Aristóteles, pues su objetivo es compensar una desigualdad de hecho. La desproporción injustificable que existe entre las oportunidades de unos frente a las de los otros justifica el que a los primeros se les preste un trato desigual.</w:t>
      </w:r>
    </w:p>
    <w:p w14:paraId="32651FCD" w14:textId="77777777" w:rsidR="003625FE" w:rsidRPr="00BE4079" w:rsidRDefault="003625FE" w:rsidP="00BE4079">
      <w:pPr>
        <w:spacing w:after="0" w:line="240" w:lineRule="auto"/>
        <w:jc w:val="both"/>
        <w:rPr>
          <w:rFonts w:ascii="Arial" w:hAnsi="Arial" w:cs="Arial"/>
          <w:bCs/>
          <w:sz w:val="24"/>
          <w:szCs w:val="24"/>
        </w:rPr>
      </w:pPr>
    </w:p>
    <w:p w14:paraId="6C81CE6A" w14:textId="77777777" w:rsidR="003625FE" w:rsidRPr="00BE4079" w:rsidRDefault="003625FE" w:rsidP="00BE4079">
      <w:pPr>
        <w:spacing w:after="0" w:line="240" w:lineRule="auto"/>
        <w:jc w:val="both"/>
        <w:rPr>
          <w:rFonts w:ascii="Arial" w:hAnsi="Arial" w:cs="Arial"/>
          <w:bCs/>
          <w:i/>
          <w:sz w:val="24"/>
          <w:szCs w:val="24"/>
        </w:rPr>
      </w:pPr>
      <w:r w:rsidRPr="00BE4079">
        <w:rPr>
          <w:rFonts w:ascii="Arial" w:hAnsi="Arial" w:cs="Arial"/>
          <w:b/>
          <w:bCs/>
          <w:sz w:val="24"/>
          <w:szCs w:val="24"/>
        </w:rPr>
        <w:lastRenderedPageBreak/>
        <w:t xml:space="preserve">2º. </w:t>
      </w:r>
      <w:r w:rsidRPr="00BE4079">
        <w:rPr>
          <w:rFonts w:ascii="Arial" w:hAnsi="Arial" w:cs="Arial"/>
          <w:bCs/>
          <w:i/>
          <w:sz w:val="24"/>
          <w:szCs w:val="24"/>
        </w:rPr>
        <w:t xml:space="preserve">La realización de una determinada función social </w:t>
      </w:r>
    </w:p>
    <w:p w14:paraId="4AD8BBA2" w14:textId="77777777" w:rsidR="003625FE" w:rsidRPr="00BE4079" w:rsidRDefault="003625FE" w:rsidP="00BE4079">
      <w:pPr>
        <w:spacing w:after="0" w:line="240" w:lineRule="auto"/>
        <w:jc w:val="both"/>
        <w:rPr>
          <w:rFonts w:ascii="Arial" w:hAnsi="Arial" w:cs="Arial"/>
          <w:bCs/>
          <w:i/>
          <w:sz w:val="24"/>
          <w:szCs w:val="24"/>
        </w:rPr>
      </w:pPr>
    </w:p>
    <w:p w14:paraId="77A30AE4" w14:textId="77777777" w:rsidR="003625FE" w:rsidRPr="00BE4079" w:rsidRDefault="003625FE" w:rsidP="00BE4079">
      <w:pPr>
        <w:spacing w:after="0" w:line="240" w:lineRule="auto"/>
        <w:jc w:val="both"/>
        <w:rPr>
          <w:rFonts w:ascii="Arial" w:hAnsi="Arial" w:cs="Arial"/>
          <w:bCs/>
          <w:sz w:val="24"/>
          <w:szCs w:val="24"/>
        </w:rPr>
      </w:pPr>
      <w:r w:rsidRPr="00BE4079">
        <w:rPr>
          <w:rFonts w:ascii="Arial" w:hAnsi="Arial" w:cs="Arial"/>
          <w:bCs/>
          <w:sz w:val="24"/>
          <w:szCs w:val="24"/>
        </w:rPr>
        <w:t xml:space="preserve">Con este propósito, se abre un amplio espectro de posibilidades respecto de la función social que se pretende alcanzar con las acciones afirmativas; el contexto social específico en el cual se implementen y las necesidades particulares de la sociedad serán determinantes para ello. </w:t>
      </w:r>
    </w:p>
    <w:p w14:paraId="44E5D340" w14:textId="77777777" w:rsidR="003625FE" w:rsidRPr="00BE4079" w:rsidRDefault="003625FE" w:rsidP="00BE4079">
      <w:pPr>
        <w:spacing w:after="0" w:line="240" w:lineRule="auto"/>
        <w:jc w:val="both"/>
        <w:rPr>
          <w:rFonts w:ascii="Arial" w:hAnsi="Arial" w:cs="Arial"/>
          <w:bCs/>
          <w:sz w:val="24"/>
          <w:szCs w:val="24"/>
        </w:rPr>
      </w:pPr>
    </w:p>
    <w:p w14:paraId="3FE612FF" w14:textId="77777777" w:rsidR="003625FE" w:rsidRPr="00BE4079" w:rsidRDefault="003625FE" w:rsidP="00BE4079">
      <w:pPr>
        <w:spacing w:after="0" w:line="240" w:lineRule="auto"/>
        <w:jc w:val="both"/>
        <w:rPr>
          <w:rFonts w:ascii="Arial" w:hAnsi="Arial" w:cs="Arial"/>
          <w:bCs/>
          <w:sz w:val="24"/>
          <w:szCs w:val="24"/>
        </w:rPr>
      </w:pPr>
      <w:r w:rsidRPr="00BE4079">
        <w:rPr>
          <w:rFonts w:ascii="Arial" w:hAnsi="Arial" w:cs="Arial"/>
          <w:bCs/>
          <w:sz w:val="24"/>
          <w:szCs w:val="24"/>
        </w:rPr>
        <w:t>A través de las acciones positivas se pueden buscar fines tan diversos como: integrar a un grupo humano en el sector productivo de la economía, incrementar la diversidad racial o religiosa en los campos educativos o laborales, combatir la desigualdad social y económica entre los sectores de la población, beneficiar una región cuyo crecimiento económico ha sido muy escaso, fomentar la igualdad de género etc.</w:t>
      </w:r>
    </w:p>
    <w:p w14:paraId="787384D1" w14:textId="77777777" w:rsidR="003625FE" w:rsidRPr="00BE4079" w:rsidRDefault="003625FE" w:rsidP="00BE4079">
      <w:pPr>
        <w:spacing w:after="0" w:line="240" w:lineRule="auto"/>
        <w:jc w:val="both"/>
        <w:rPr>
          <w:rFonts w:ascii="Arial" w:hAnsi="Arial" w:cs="Arial"/>
          <w:bCs/>
          <w:sz w:val="24"/>
          <w:szCs w:val="24"/>
        </w:rPr>
      </w:pPr>
    </w:p>
    <w:p w14:paraId="02BB515F" w14:textId="77777777" w:rsidR="003625FE" w:rsidRPr="00BE4079" w:rsidRDefault="003625FE" w:rsidP="00BE4079">
      <w:pPr>
        <w:spacing w:after="0" w:line="240" w:lineRule="auto"/>
        <w:jc w:val="both"/>
        <w:rPr>
          <w:rFonts w:ascii="Arial" w:hAnsi="Arial" w:cs="Arial"/>
          <w:bCs/>
          <w:i/>
          <w:sz w:val="24"/>
          <w:szCs w:val="24"/>
        </w:rPr>
      </w:pPr>
      <w:r w:rsidRPr="00BE4079">
        <w:rPr>
          <w:rFonts w:ascii="Arial" w:hAnsi="Arial" w:cs="Arial"/>
          <w:b/>
          <w:bCs/>
          <w:sz w:val="24"/>
          <w:szCs w:val="24"/>
        </w:rPr>
        <w:t xml:space="preserve">3º. </w:t>
      </w:r>
      <w:r w:rsidRPr="00BE4079">
        <w:rPr>
          <w:rFonts w:ascii="Arial" w:hAnsi="Arial" w:cs="Arial"/>
          <w:bCs/>
          <w:i/>
          <w:sz w:val="24"/>
          <w:szCs w:val="24"/>
        </w:rPr>
        <w:t>Alcanzar una representación o un nivel de participación más equilibrada entre los grupos humanos</w:t>
      </w:r>
    </w:p>
    <w:p w14:paraId="672D5E56" w14:textId="77777777" w:rsidR="003625FE" w:rsidRPr="00BE4079" w:rsidRDefault="003625FE" w:rsidP="00BE4079">
      <w:pPr>
        <w:spacing w:after="0" w:line="240" w:lineRule="auto"/>
        <w:jc w:val="both"/>
        <w:rPr>
          <w:rFonts w:ascii="Arial" w:hAnsi="Arial" w:cs="Arial"/>
          <w:bCs/>
          <w:i/>
          <w:sz w:val="24"/>
          <w:szCs w:val="24"/>
        </w:rPr>
      </w:pPr>
    </w:p>
    <w:p w14:paraId="5288E541" w14:textId="77777777" w:rsidR="003625FE" w:rsidRPr="00BE4079" w:rsidRDefault="003625FE" w:rsidP="00BE4079">
      <w:pPr>
        <w:spacing w:after="0" w:line="240" w:lineRule="auto"/>
        <w:jc w:val="both"/>
        <w:rPr>
          <w:rFonts w:ascii="Arial" w:hAnsi="Arial" w:cs="Arial"/>
          <w:bCs/>
          <w:sz w:val="24"/>
          <w:szCs w:val="24"/>
        </w:rPr>
      </w:pPr>
      <w:r w:rsidRPr="00BE4079">
        <w:rPr>
          <w:rFonts w:ascii="Arial" w:hAnsi="Arial" w:cs="Arial"/>
          <w:bCs/>
          <w:sz w:val="24"/>
          <w:szCs w:val="24"/>
        </w:rPr>
        <w:t xml:space="preserve">Con este enfoque, la categoría de compensación a grupos históricamente discriminados se sustituye por la de compensación a grupos históricamente </w:t>
      </w:r>
      <w:proofErr w:type="spellStart"/>
      <w:proofErr w:type="gramStart"/>
      <w:r w:rsidRPr="00BE4079">
        <w:rPr>
          <w:rFonts w:ascii="Arial" w:hAnsi="Arial" w:cs="Arial"/>
          <w:bCs/>
          <w:sz w:val="24"/>
          <w:szCs w:val="24"/>
        </w:rPr>
        <w:t>sub-representados</w:t>
      </w:r>
      <w:proofErr w:type="spellEnd"/>
      <w:proofErr w:type="gramEnd"/>
      <w:r w:rsidRPr="00BE4079">
        <w:rPr>
          <w:rFonts w:ascii="Arial" w:hAnsi="Arial" w:cs="Arial"/>
          <w:bCs/>
          <w:sz w:val="24"/>
          <w:szCs w:val="24"/>
        </w:rPr>
        <w:t>.</w:t>
      </w:r>
    </w:p>
    <w:p w14:paraId="68CFE18D" w14:textId="77777777" w:rsidR="003625FE" w:rsidRPr="00BE4079" w:rsidRDefault="003625FE" w:rsidP="00BE4079">
      <w:pPr>
        <w:spacing w:after="0" w:line="240" w:lineRule="auto"/>
        <w:jc w:val="both"/>
        <w:rPr>
          <w:rFonts w:ascii="Arial" w:hAnsi="Arial" w:cs="Arial"/>
          <w:bCs/>
          <w:sz w:val="24"/>
          <w:szCs w:val="24"/>
        </w:rPr>
      </w:pPr>
    </w:p>
    <w:p w14:paraId="0A0CD07E" w14:textId="77777777" w:rsidR="003625FE" w:rsidRPr="00BE4079" w:rsidRDefault="003625FE" w:rsidP="00BE4079">
      <w:pPr>
        <w:spacing w:after="0" w:line="240" w:lineRule="auto"/>
        <w:jc w:val="both"/>
        <w:rPr>
          <w:rFonts w:ascii="Arial" w:hAnsi="Arial" w:cs="Arial"/>
          <w:bCs/>
          <w:sz w:val="24"/>
          <w:szCs w:val="24"/>
        </w:rPr>
      </w:pPr>
      <w:r w:rsidRPr="00BE4079">
        <w:rPr>
          <w:rFonts w:ascii="Arial" w:hAnsi="Arial" w:cs="Arial"/>
          <w:bCs/>
          <w:sz w:val="24"/>
          <w:szCs w:val="24"/>
        </w:rPr>
        <w:t xml:space="preserve">El caso paradigmático es el de las acciones afirmativas a favor de las mujeres, y de manera más específica el de las cuotas electorales en su favor. No es que una de las causas de la </w:t>
      </w:r>
      <w:proofErr w:type="spellStart"/>
      <w:proofErr w:type="gramStart"/>
      <w:r w:rsidRPr="00BE4079">
        <w:rPr>
          <w:rFonts w:ascii="Arial" w:hAnsi="Arial" w:cs="Arial"/>
          <w:bCs/>
          <w:sz w:val="24"/>
          <w:szCs w:val="24"/>
        </w:rPr>
        <w:t>sub-representación</w:t>
      </w:r>
      <w:proofErr w:type="spellEnd"/>
      <w:proofErr w:type="gramEnd"/>
      <w:r w:rsidRPr="00BE4079">
        <w:rPr>
          <w:rFonts w:ascii="Arial" w:hAnsi="Arial" w:cs="Arial"/>
          <w:bCs/>
          <w:sz w:val="24"/>
          <w:szCs w:val="24"/>
        </w:rPr>
        <w:t xml:space="preserve"> de las mujeres en las distintas esferas de la vida pública no sea la discriminación, sólo que desde esta perspectiva, lo prioritario no es compensar o resarcir un mal infringido en el pasado, sino que con la vista puesta en el futuro, se busca que los grupos humanos se encuentren en una situación de mayor equidad en la toma de las decisiones que afectan a todos.</w:t>
      </w:r>
    </w:p>
    <w:p w14:paraId="28A72553" w14:textId="77777777" w:rsidR="003625FE" w:rsidRPr="00BE4079" w:rsidRDefault="003625FE" w:rsidP="00BE4079">
      <w:pPr>
        <w:spacing w:after="0" w:line="240" w:lineRule="auto"/>
        <w:jc w:val="both"/>
        <w:rPr>
          <w:rFonts w:ascii="Arial" w:hAnsi="Arial" w:cs="Arial"/>
          <w:bCs/>
          <w:sz w:val="24"/>
          <w:szCs w:val="24"/>
        </w:rPr>
      </w:pPr>
    </w:p>
    <w:p w14:paraId="2F4FB9CB" w14:textId="77777777" w:rsidR="003625FE" w:rsidRPr="00BE4079" w:rsidRDefault="003625FE" w:rsidP="00BE4079">
      <w:pPr>
        <w:spacing w:after="0" w:line="240" w:lineRule="auto"/>
        <w:jc w:val="both"/>
        <w:rPr>
          <w:rFonts w:ascii="Arial" w:hAnsi="Arial" w:cs="Arial"/>
          <w:bCs/>
          <w:sz w:val="24"/>
          <w:szCs w:val="24"/>
        </w:rPr>
      </w:pPr>
      <w:r w:rsidRPr="00BE4079">
        <w:rPr>
          <w:rFonts w:ascii="Arial" w:hAnsi="Arial" w:cs="Arial"/>
          <w:bCs/>
          <w:sz w:val="24"/>
          <w:szCs w:val="24"/>
        </w:rPr>
        <w:t>Promover una representación equitativa entre los grupos implica el ir más allá de una igualdad en el punto de partida para apostar por una igualdad en el punto de llegada o en las metas que se buscan realizar. Pues no sólo se está asegurando que todos los miembros de la sociedad tengan las mismas oportunidades en la búsqueda por los puestos sociales estratégicos, sino que, además, a través de una serie de acciones, se asegura que algunos de los miembros de los diferentes grupos ocupen dichos puestos, no con el fin de beneficiar directamente a las personas individualmente, sino para que el grupo al que pertenecen alcance una representación proporcional.</w:t>
      </w:r>
    </w:p>
    <w:p w14:paraId="20977604" w14:textId="77777777" w:rsidR="003625FE" w:rsidRPr="00BE4079" w:rsidRDefault="003625FE" w:rsidP="00BE4079">
      <w:pPr>
        <w:spacing w:after="0" w:line="240" w:lineRule="auto"/>
        <w:jc w:val="both"/>
        <w:rPr>
          <w:rFonts w:ascii="Arial" w:hAnsi="Arial" w:cs="Arial"/>
          <w:bCs/>
          <w:sz w:val="24"/>
          <w:szCs w:val="24"/>
        </w:rPr>
      </w:pPr>
    </w:p>
    <w:p w14:paraId="6D97460D" w14:textId="77777777" w:rsidR="003625FE" w:rsidRPr="00BE4079" w:rsidRDefault="003625FE" w:rsidP="00BE4079">
      <w:pPr>
        <w:spacing w:after="0" w:line="240" w:lineRule="auto"/>
        <w:jc w:val="both"/>
        <w:rPr>
          <w:rFonts w:ascii="Arial" w:hAnsi="Arial" w:cs="Arial"/>
          <w:bCs/>
          <w:sz w:val="24"/>
          <w:szCs w:val="24"/>
        </w:rPr>
      </w:pPr>
      <w:r w:rsidRPr="00BE4079">
        <w:rPr>
          <w:rFonts w:ascii="Arial" w:hAnsi="Arial" w:cs="Arial"/>
          <w:b/>
          <w:bCs/>
          <w:sz w:val="24"/>
          <w:szCs w:val="24"/>
        </w:rPr>
        <w:t xml:space="preserve">b. Objetivo o fin último. </w:t>
      </w:r>
      <w:r w:rsidRPr="00BE4079">
        <w:rPr>
          <w:rFonts w:ascii="Arial" w:hAnsi="Arial" w:cs="Arial"/>
          <w:bCs/>
          <w:sz w:val="24"/>
          <w:szCs w:val="24"/>
        </w:rPr>
        <w:t>Las acciones afirmativas buscan como objetivo o fin último promover una igualdad sustancial entre los miembros de la sociedad y los grupos a los cuales pertenecen. La mejor manera de representar este ideal es a través del principio de la universalidad de derechos, es decir, de la exigencia ética de que todos los hombres y mujeres, sin distinción, gocen de los mismos derechos fundamentales.</w:t>
      </w:r>
    </w:p>
    <w:p w14:paraId="5F674F51" w14:textId="77777777" w:rsidR="003625FE" w:rsidRPr="00BE4079" w:rsidRDefault="003625FE" w:rsidP="00BE4079">
      <w:pPr>
        <w:spacing w:after="0" w:line="240" w:lineRule="auto"/>
        <w:jc w:val="both"/>
        <w:rPr>
          <w:rFonts w:ascii="Arial" w:hAnsi="Arial" w:cs="Arial"/>
          <w:bCs/>
          <w:sz w:val="24"/>
          <w:szCs w:val="24"/>
        </w:rPr>
      </w:pPr>
    </w:p>
    <w:p w14:paraId="195AB42A" w14:textId="77777777" w:rsidR="003625FE" w:rsidRPr="00BE4079" w:rsidRDefault="003625FE" w:rsidP="00BE4079">
      <w:pPr>
        <w:spacing w:after="0" w:line="240" w:lineRule="auto"/>
        <w:jc w:val="both"/>
        <w:rPr>
          <w:rFonts w:ascii="Arial" w:hAnsi="Arial" w:cs="Arial"/>
          <w:bCs/>
          <w:sz w:val="24"/>
          <w:szCs w:val="24"/>
        </w:rPr>
      </w:pPr>
      <w:r w:rsidRPr="00BE4079">
        <w:rPr>
          <w:rFonts w:ascii="Arial" w:hAnsi="Arial" w:cs="Arial"/>
          <w:bCs/>
          <w:sz w:val="24"/>
          <w:szCs w:val="24"/>
        </w:rPr>
        <w:lastRenderedPageBreak/>
        <w:t xml:space="preserve">La igualdad sustancial no se ciñe a que todos deben ser tratados de la misma manera, sino que, por una parte, dota de contenido a la exigencia de la igualdad mediante el establecimiento de ciertas condiciones mínimas (materiales o espirituales) que todos deben de tener para partir de un mismo punto de arranque y, por otra parte, es plenamente sabedora de las desigualdades de hecho que existen e intenta remediarlas con el fin de que todos y cada uno de los seres humanos puedan alcanzar las condiciones mínimas necesarias para desplegar sus atributos y capacidades. </w:t>
      </w:r>
    </w:p>
    <w:p w14:paraId="47BE6BA6" w14:textId="77777777" w:rsidR="003625FE" w:rsidRPr="00BE4079" w:rsidRDefault="003625FE" w:rsidP="00BE4079">
      <w:pPr>
        <w:spacing w:after="0" w:line="240" w:lineRule="auto"/>
        <w:jc w:val="both"/>
        <w:rPr>
          <w:rFonts w:ascii="Arial" w:hAnsi="Arial" w:cs="Arial"/>
          <w:bCs/>
          <w:sz w:val="24"/>
          <w:szCs w:val="24"/>
        </w:rPr>
      </w:pPr>
    </w:p>
    <w:p w14:paraId="6F34A894" w14:textId="77777777" w:rsidR="003625FE" w:rsidRPr="00BE4079" w:rsidRDefault="003625FE" w:rsidP="00BE4079">
      <w:pPr>
        <w:spacing w:after="0" w:line="240" w:lineRule="auto"/>
        <w:jc w:val="both"/>
        <w:rPr>
          <w:rFonts w:ascii="Arial" w:hAnsi="Arial" w:cs="Arial"/>
          <w:bCs/>
          <w:sz w:val="24"/>
          <w:szCs w:val="24"/>
        </w:rPr>
      </w:pPr>
      <w:r w:rsidRPr="00BE4079">
        <w:rPr>
          <w:rFonts w:ascii="Arial" w:hAnsi="Arial" w:cs="Arial"/>
          <w:bCs/>
          <w:sz w:val="24"/>
          <w:szCs w:val="24"/>
        </w:rPr>
        <w:t xml:space="preserve">En este sentido, la igualdad sustancial no se logra con la simple declaración formal de la igualdad de todos ante la ley (bajo la cual se permiten las enormes desigualdades de hecho que existen entre las personas), ni tampoco busca imponer un sistema social en que todos sean exactamente iguales en todo. Sólo propone que todos cuenten con las condiciones necesarias para desplegar su propia personalidad y desarrollo. </w:t>
      </w:r>
    </w:p>
    <w:p w14:paraId="52341779" w14:textId="77777777" w:rsidR="003625FE" w:rsidRPr="00BE4079" w:rsidRDefault="003625FE" w:rsidP="00BE4079">
      <w:pPr>
        <w:spacing w:after="0" w:line="240" w:lineRule="auto"/>
        <w:jc w:val="both"/>
        <w:rPr>
          <w:rFonts w:ascii="Arial" w:hAnsi="Arial" w:cs="Arial"/>
          <w:bCs/>
          <w:sz w:val="24"/>
          <w:szCs w:val="24"/>
        </w:rPr>
      </w:pPr>
    </w:p>
    <w:p w14:paraId="33755167" w14:textId="77777777" w:rsidR="003625FE" w:rsidRPr="00BE4079" w:rsidRDefault="003625FE" w:rsidP="00BE4079">
      <w:pPr>
        <w:spacing w:after="0" w:line="240" w:lineRule="auto"/>
        <w:jc w:val="both"/>
        <w:rPr>
          <w:rFonts w:ascii="Arial" w:hAnsi="Arial" w:cs="Arial"/>
          <w:b/>
          <w:bCs/>
          <w:sz w:val="24"/>
          <w:szCs w:val="24"/>
        </w:rPr>
      </w:pPr>
      <w:r w:rsidRPr="00BE4079">
        <w:rPr>
          <w:rFonts w:ascii="Arial" w:hAnsi="Arial" w:cs="Arial"/>
          <w:b/>
          <w:bCs/>
          <w:sz w:val="24"/>
          <w:szCs w:val="24"/>
        </w:rPr>
        <w:t>c.2.</w:t>
      </w:r>
      <w:r w:rsidRPr="00BE4079">
        <w:rPr>
          <w:rFonts w:ascii="Arial" w:hAnsi="Arial" w:cs="Arial"/>
          <w:bCs/>
          <w:sz w:val="24"/>
          <w:szCs w:val="24"/>
        </w:rPr>
        <w:t xml:space="preserve"> </w:t>
      </w:r>
      <w:r w:rsidRPr="00BE4079">
        <w:rPr>
          <w:rFonts w:ascii="Arial" w:hAnsi="Arial" w:cs="Arial"/>
          <w:b/>
          <w:bCs/>
          <w:sz w:val="24"/>
          <w:szCs w:val="24"/>
        </w:rPr>
        <w:t>Sujetos o grupos humanos que se pretenden beneficiar</w:t>
      </w:r>
    </w:p>
    <w:p w14:paraId="36C0AB18" w14:textId="77777777" w:rsidR="003625FE" w:rsidRPr="00BE4079" w:rsidRDefault="003625FE" w:rsidP="00BE4079">
      <w:pPr>
        <w:spacing w:after="0" w:line="240" w:lineRule="auto"/>
        <w:jc w:val="both"/>
        <w:rPr>
          <w:rFonts w:ascii="Arial" w:hAnsi="Arial" w:cs="Arial"/>
          <w:bCs/>
          <w:sz w:val="24"/>
          <w:szCs w:val="24"/>
        </w:rPr>
      </w:pPr>
    </w:p>
    <w:p w14:paraId="187086EC" w14:textId="77777777" w:rsidR="003625FE" w:rsidRPr="00BE4079" w:rsidRDefault="003625FE" w:rsidP="00BE4079">
      <w:pPr>
        <w:spacing w:after="0" w:line="240" w:lineRule="auto"/>
        <w:jc w:val="both"/>
        <w:rPr>
          <w:rFonts w:ascii="Arial" w:hAnsi="Arial" w:cs="Arial"/>
          <w:bCs/>
          <w:sz w:val="24"/>
          <w:szCs w:val="24"/>
        </w:rPr>
      </w:pPr>
      <w:r w:rsidRPr="00BE4079">
        <w:rPr>
          <w:rFonts w:ascii="Arial" w:hAnsi="Arial" w:cs="Arial"/>
          <w:bCs/>
          <w:sz w:val="24"/>
          <w:szCs w:val="24"/>
        </w:rPr>
        <w:t xml:space="preserve">En principio la acción afirmativa se dirige a los grupos en situación de vulnerabilidad, es decir, aquellos grupos que debido al contexto social en el que se encuentran insertos carecen de las mismas posibilidades que el resto de los grupos para ejercer sus derechos fundamentales. Debido a ello, se encuentran en una situación de desventaja que se traduce en una situación de mayor vulnerabilidad ante el fenómeno de la discriminación. </w:t>
      </w:r>
    </w:p>
    <w:p w14:paraId="2FF4BEFD" w14:textId="77777777" w:rsidR="003625FE" w:rsidRPr="00BE4079" w:rsidRDefault="003625FE" w:rsidP="00BE4079">
      <w:pPr>
        <w:spacing w:after="0" w:line="240" w:lineRule="auto"/>
        <w:jc w:val="both"/>
        <w:rPr>
          <w:rFonts w:ascii="Arial" w:hAnsi="Arial" w:cs="Arial"/>
          <w:bCs/>
          <w:sz w:val="24"/>
          <w:szCs w:val="24"/>
        </w:rPr>
      </w:pPr>
    </w:p>
    <w:p w14:paraId="5B4FACAD" w14:textId="77777777" w:rsidR="003625FE" w:rsidRPr="00BE4079" w:rsidRDefault="003625FE" w:rsidP="00BE4079">
      <w:pPr>
        <w:spacing w:after="0" w:line="240" w:lineRule="auto"/>
        <w:jc w:val="both"/>
        <w:rPr>
          <w:rFonts w:ascii="Arial" w:hAnsi="Arial" w:cs="Arial"/>
          <w:bCs/>
          <w:sz w:val="24"/>
          <w:szCs w:val="24"/>
        </w:rPr>
      </w:pPr>
      <w:r w:rsidRPr="00BE4079">
        <w:rPr>
          <w:rFonts w:ascii="Arial" w:hAnsi="Arial" w:cs="Arial"/>
          <w:bCs/>
          <w:sz w:val="24"/>
          <w:szCs w:val="24"/>
        </w:rPr>
        <w:t xml:space="preserve">Así pues, las acciones afirmativas se dirigen a los grupos de personas que se sitúan en un contexto de discriminación específico, </w:t>
      </w:r>
      <w:proofErr w:type="gramStart"/>
      <w:r w:rsidRPr="00BE4079">
        <w:rPr>
          <w:rFonts w:ascii="Arial" w:hAnsi="Arial" w:cs="Arial"/>
          <w:bCs/>
          <w:sz w:val="24"/>
          <w:szCs w:val="24"/>
        </w:rPr>
        <w:t>en relación a</w:t>
      </w:r>
      <w:proofErr w:type="gramEnd"/>
      <w:r w:rsidRPr="00BE4079">
        <w:rPr>
          <w:rFonts w:ascii="Arial" w:hAnsi="Arial" w:cs="Arial"/>
          <w:bCs/>
          <w:sz w:val="24"/>
          <w:szCs w:val="24"/>
        </w:rPr>
        <w:t xml:space="preserve"> alguno o algunos de sus derechos.</w:t>
      </w:r>
    </w:p>
    <w:p w14:paraId="1AA04E9A" w14:textId="77777777" w:rsidR="003625FE" w:rsidRPr="00BE4079" w:rsidRDefault="003625FE" w:rsidP="00BE4079">
      <w:pPr>
        <w:spacing w:after="0" w:line="240" w:lineRule="auto"/>
        <w:jc w:val="both"/>
        <w:rPr>
          <w:rFonts w:ascii="Arial" w:hAnsi="Arial" w:cs="Arial"/>
          <w:bCs/>
          <w:sz w:val="24"/>
          <w:szCs w:val="24"/>
        </w:rPr>
      </w:pPr>
    </w:p>
    <w:p w14:paraId="12F4370D" w14:textId="77777777" w:rsidR="003625FE" w:rsidRPr="00BE4079" w:rsidRDefault="003625FE" w:rsidP="00BE4079">
      <w:pPr>
        <w:spacing w:after="0" w:line="240" w:lineRule="auto"/>
        <w:jc w:val="both"/>
        <w:rPr>
          <w:rFonts w:ascii="Arial" w:hAnsi="Arial" w:cs="Arial"/>
          <w:bCs/>
          <w:sz w:val="24"/>
          <w:szCs w:val="24"/>
        </w:rPr>
      </w:pPr>
      <w:r w:rsidRPr="00BE4079">
        <w:rPr>
          <w:rFonts w:ascii="Arial" w:hAnsi="Arial" w:cs="Arial"/>
          <w:bCs/>
          <w:sz w:val="24"/>
          <w:szCs w:val="24"/>
        </w:rPr>
        <w:t>Un aspecto que resulta conveniente destacar es que, aunque a través de las acciones afirmativas se benefician individuos concretos, realmente el beneficio que se busca es a los grupos humanos en cuanto tales, ya sea mediante la compensación de una situación de discriminación sufrida en el pasado o mediante la promoción de una representación más equilibrada en los diferentes ámbitos sociales. En este sentido, los criterios que toman las acciones afirmativas para elegir los grupos a los cuales se dirigen, se identifican plenamente con las causas por las cuales una diferencia de trato se considera discriminatoria, es decir, la raza, la religión, el sexo, el origen económico y social, etc.</w:t>
      </w:r>
    </w:p>
    <w:p w14:paraId="3DF09DAD" w14:textId="77777777" w:rsidR="003625FE" w:rsidRPr="00BE4079" w:rsidRDefault="003625FE" w:rsidP="00BE4079">
      <w:pPr>
        <w:spacing w:after="0" w:line="240" w:lineRule="auto"/>
        <w:jc w:val="both"/>
        <w:rPr>
          <w:rFonts w:ascii="Arial" w:hAnsi="Arial" w:cs="Arial"/>
          <w:bCs/>
          <w:sz w:val="24"/>
          <w:szCs w:val="24"/>
        </w:rPr>
      </w:pPr>
    </w:p>
    <w:p w14:paraId="52DDD947" w14:textId="77777777" w:rsidR="003625FE" w:rsidRPr="00BE4079" w:rsidRDefault="003625FE" w:rsidP="00BE4079">
      <w:pPr>
        <w:spacing w:after="0" w:line="240" w:lineRule="auto"/>
        <w:jc w:val="both"/>
        <w:rPr>
          <w:rFonts w:ascii="Arial" w:hAnsi="Arial" w:cs="Arial"/>
          <w:bCs/>
          <w:sz w:val="24"/>
          <w:szCs w:val="24"/>
        </w:rPr>
      </w:pPr>
      <w:r w:rsidRPr="00BE4079">
        <w:rPr>
          <w:rFonts w:ascii="Arial" w:hAnsi="Arial" w:cs="Arial"/>
          <w:b/>
          <w:bCs/>
          <w:sz w:val="24"/>
          <w:szCs w:val="24"/>
        </w:rPr>
        <w:t>c.3.</w:t>
      </w:r>
      <w:r w:rsidRPr="00BE4079">
        <w:rPr>
          <w:rFonts w:ascii="Arial" w:hAnsi="Arial" w:cs="Arial"/>
          <w:bCs/>
          <w:sz w:val="24"/>
          <w:szCs w:val="24"/>
        </w:rPr>
        <w:t xml:space="preserve"> </w:t>
      </w:r>
      <w:r w:rsidRPr="00BE4079">
        <w:rPr>
          <w:rFonts w:ascii="Arial" w:hAnsi="Arial" w:cs="Arial"/>
          <w:b/>
          <w:bCs/>
          <w:sz w:val="24"/>
          <w:szCs w:val="24"/>
        </w:rPr>
        <w:t>Entidades que las promueven o implementan</w:t>
      </w:r>
    </w:p>
    <w:p w14:paraId="23E5540F" w14:textId="77777777" w:rsidR="003625FE" w:rsidRPr="00BE4079" w:rsidRDefault="003625FE" w:rsidP="00BE4079">
      <w:pPr>
        <w:spacing w:after="0" w:line="240" w:lineRule="auto"/>
        <w:jc w:val="both"/>
        <w:rPr>
          <w:rFonts w:ascii="Arial" w:hAnsi="Arial" w:cs="Arial"/>
          <w:bCs/>
          <w:sz w:val="24"/>
          <w:szCs w:val="24"/>
        </w:rPr>
      </w:pPr>
    </w:p>
    <w:p w14:paraId="2FD68011" w14:textId="77777777" w:rsidR="003625FE" w:rsidRPr="00BE4079" w:rsidRDefault="003625FE" w:rsidP="00BE4079">
      <w:pPr>
        <w:spacing w:after="0" w:line="240" w:lineRule="auto"/>
        <w:jc w:val="both"/>
        <w:rPr>
          <w:rFonts w:ascii="Arial" w:hAnsi="Arial" w:cs="Arial"/>
          <w:bCs/>
          <w:sz w:val="24"/>
          <w:szCs w:val="24"/>
        </w:rPr>
      </w:pPr>
      <w:r w:rsidRPr="00BE4079">
        <w:rPr>
          <w:rFonts w:ascii="Arial" w:hAnsi="Arial" w:cs="Arial"/>
          <w:bCs/>
          <w:sz w:val="24"/>
          <w:szCs w:val="24"/>
        </w:rPr>
        <w:t xml:space="preserve">Los Estados son los primeros responsables de promover acciones afirmativas, pero no son los únicos. También </w:t>
      </w:r>
      <w:proofErr w:type="gramStart"/>
      <w:r w:rsidRPr="00BE4079">
        <w:rPr>
          <w:rFonts w:ascii="Arial" w:hAnsi="Arial" w:cs="Arial"/>
          <w:bCs/>
          <w:sz w:val="24"/>
          <w:szCs w:val="24"/>
        </w:rPr>
        <w:t>un conjunto importante de entidades del sector privado se caracterizan</w:t>
      </w:r>
      <w:proofErr w:type="gramEnd"/>
      <w:r w:rsidRPr="00BE4079">
        <w:rPr>
          <w:rFonts w:ascii="Arial" w:hAnsi="Arial" w:cs="Arial"/>
          <w:bCs/>
          <w:sz w:val="24"/>
          <w:szCs w:val="24"/>
        </w:rPr>
        <w:t xml:space="preserve"> en hacer un esfuerzo importante de promoción de la igualdad sustancial a través de acciones afirmativas. </w:t>
      </w:r>
    </w:p>
    <w:p w14:paraId="52FBE3FE" w14:textId="77777777" w:rsidR="003625FE" w:rsidRPr="00BE4079" w:rsidRDefault="003625FE" w:rsidP="00BE4079">
      <w:pPr>
        <w:spacing w:after="0" w:line="240" w:lineRule="auto"/>
        <w:jc w:val="both"/>
        <w:rPr>
          <w:rFonts w:ascii="Arial" w:hAnsi="Arial" w:cs="Arial"/>
          <w:bCs/>
          <w:sz w:val="24"/>
          <w:szCs w:val="24"/>
        </w:rPr>
      </w:pPr>
    </w:p>
    <w:p w14:paraId="24665C9E" w14:textId="77777777" w:rsidR="003625FE" w:rsidRPr="00BE4079" w:rsidRDefault="003625FE" w:rsidP="00BE4079">
      <w:pPr>
        <w:spacing w:after="0" w:line="240" w:lineRule="auto"/>
        <w:jc w:val="both"/>
        <w:rPr>
          <w:rFonts w:ascii="Arial" w:hAnsi="Arial" w:cs="Arial"/>
          <w:bCs/>
          <w:sz w:val="24"/>
          <w:szCs w:val="24"/>
        </w:rPr>
      </w:pPr>
      <w:r w:rsidRPr="00BE4079">
        <w:rPr>
          <w:rFonts w:ascii="Arial" w:hAnsi="Arial" w:cs="Arial"/>
          <w:bCs/>
          <w:sz w:val="24"/>
          <w:szCs w:val="24"/>
        </w:rPr>
        <w:lastRenderedPageBreak/>
        <w:t xml:space="preserve">Tradicionalmente y siguiendo la experiencia de los Estados Unidos, en un principio, los gobiernos centrales o federales tuvieron la iniciativa de implementar este tipo de medidas, de manera directa, mediante el establecimiento de acciones tales como: integración en su estructura burocrática de miembros de grupos </w:t>
      </w:r>
      <w:proofErr w:type="spellStart"/>
      <w:r w:rsidRPr="00BE4079">
        <w:rPr>
          <w:rFonts w:ascii="Arial" w:hAnsi="Arial" w:cs="Arial"/>
          <w:bCs/>
          <w:sz w:val="24"/>
          <w:szCs w:val="24"/>
        </w:rPr>
        <w:t>sub-representados</w:t>
      </w:r>
      <w:proofErr w:type="spellEnd"/>
      <w:r w:rsidRPr="00BE4079">
        <w:rPr>
          <w:rFonts w:ascii="Arial" w:hAnsi="Arial" w:cs="Arial"/>
          <w:bCs/>
          <w:sz w:val="24"/>
          <w:szCs w:val="24"/>
        </w:rPr>
        <w:t xml:space="preserve">, ayudas directas para mejorar las condiciones de vida de los grupos en situación de vulnerabilidad y acceso de los miembros de estos grupos a los servicios públicos como la educación, la salud o el transporte. </w:t>
      </w:r>
    </w:p>
    <w:p w14:paraId="05FBEEF8" w14:textId="77777777" w:rsidR="003625FE" w:rsidRPr="00BE4079" w:rsidRDefault="003625FE" w:rsidP="00BE4079">
      <w:pPr>
        <w:spacing w:after="0" w:line="240" w:lineRule="auto"/>
        <w:jc w:val="both"/>
        <w:rPr>
          <w:rFonts w:ascii="Arial" w:hAnsi="Arial" w:cs="Arial"/>
          <w:bCs/>
          <w:sz w:val="24"/>
          <w:szCs w:val="24"/>
        </w:rPr>
      </w:pPr>
    </w:p>
    <w:p w14:paraId="2D0B6434" w14:textId="77777777" w:rsidR="003625FE" w:rsidRPr="00BE4079" w:rsidRDefault="003625FE" w:rsidP="00BE4079">
      <w:pPr>
        <w:spacing w:after="0" w:line="240" w:lineRule="auto"/>
        <w:jc w:val="both"/>
        <w:rPr>
          <w:rFonts w:ascii="Arial" w:hAnsi="Arial" w:cs="Arial"/>
          <w:bCs/>
          <w:sz w:val="24"/>
          <w:szCs w:val="24"/>
        </w:rPr>
      </w:pPr>
      <w:r w:rsidRPr="00BE4079">
        <w:rPr>
          <w:rFonts w:ascii="Arial" w:hAnsi="Arial" w:cs="Arial"/>
          <w:bCs/>
          <w:sz w:val="24"/>
          <w:szCs w:val="24"/>
        </w:rPr>
        <w:t xml:space="preserve">Pronto las autoridades se percataron de que la incidencia de estas acciones no era tan extensa como las necesidades lo requerían por lo que se acudió al apoyo de los particulares para su implementación en ámbitos estratégicos como el trabajo, la educación y la política. </w:t>
      </w:r>
    </w:p>
    <w:p w14:paraId="290FFD01" w14:textId="77777777" w:rsidR="003625FE" w:rsidRPr="00BE4079" w:rsidRDefault="003625FE" w:rsidP="00BE4079">
      <w:pPr>
        <w:spacing w:after="0" w:line="240" w:lineRule="auto"/>
        <w:jc w:val="both"/>
        <w:rPr>
          <w:rFonts w:ascii="Arial" w:hAnsi="Arial" w:cs="Arial"/>
          <w:bCs/>
          <w:sz w:val="24"/>
          <w:szCs w:val="24"/>
        </w:rPr>
      </w:pPr>
    </w:p>
    <w:p w14:paraId="6569C83B" w14:textId="77777777" w:rsidR="003625FE" w:rsidRPr="00BE4079" w:rsidRDefault="003625FE" w:rsidP="00BE4079">
      <w:pPr>
        <w:spacing w:after="0" w:line="240" w:lineRule="auto"/>
        <w:jc w:val="both"/>
        <w:rPr>
          <w:rFonts w:ascii="Arial" w:hAnsi="Arial" w:cs="Arial"/>
          <w:bCs/>
          <w:sz w:val="24"/>
          <w:szCs w:val="24"/>
        </w:rPr>
      </w:pPr>
      <w:r w:rsidRPr="00BE4079">
        <w:rPr>
          <w:rFonts w:ascii="Arial" w:hAnsi="Arial" w:cs="Arial"/>
          <w:bCs/>
          <w:sz w:val="24"/>
          <w:szCs w:val="24"/>
        </w:rPr>
        <w:t xml:space="preserve">Así comenzaron a reproducirse una serie de esquemas mixtos de implementación de acciones positivas, mediante los cuales el Estado concede algún tipo de beneficio, tales como subsidios, exenciones fiscales, concesiones o certificaciones a aquellas entidades privadas que aplican una política de acciones en favor de </w:t>
      </w:r>
      <w:proofErr w:type="gramStart"/>
      <w:r w:rsidRPr="00BE4079">
        <w:rPr>
          <w:rFonts w:ascii="Arial" w:hAnsi="Arial" w:cs="Arial"/>
          <w:bCs/>
          <w:sz w:val="24"/>
          <w:szCs w:val="24"/>
        </w:rPr>
        <w:t>los  grupos</w:t>
      </w:r>
      <w:proofErr w:type="gramEnd"/>
      <w:r w:rsidRPr="00BE4079">
        <w:rPr>
          <w:rFonts w:ascii="Arial" w:hAnsi="Arial" w:cs="Arial"/>
          <w:bCs/>
          <w:sz w:val="24"/>
          <w:szCs w:val="24"/>
        </w:rPr>
        <w:t xml:space="preserve"> que padecen discriminación. </w:t>
      </w:r>
    </w:p>
    <w:p w14:paraId="26337A78" w14:textId="77777777" w:rsidR="003625FE" w:rsidRPr="00BE4079" w:rsidRDefault="003625FE" w:rsidP="00BE4079">
      <w:pPr>
        <w:spacing w:after="0" w:line="240" w:lineRule="auto"/>
        <w:jc w:val="both"/>
        <w:rPr>
          <w:rFonts w:ascii="Arial" w:hAnsi="Arial" w:cs="Arial"/>
          <w:bCs/>
          <w:sz w:val="24"/>
          <w:szCs w:val="24"/>
        </w:rPr>
      </w:pPr>
    </w:p>
    <w:p w14:paraId="1FEE0AD0" w14:textId="77777777" w:rsidR="003625FE" w:rsidRPr="00BE4079" w:rsidRDefault="003625FE" w:rsidP="00BE4079">
      <w:pPr>
        <w:spacing w:after="0" w:line="240" w:lineRule="auto"/>
        <w:jc w:val="both"/>
        <w:rPr>
          <w:rFonts w:ascii="Arial" w:hAnsi="Arial" w:cs="Arial"/>
          <w:bCs/>
          <w:sz w:val="24"/>
          <w:szCs w:val="24"/>
        </w:rPr>
      </w:pPr>
      <w:r w:rsidRPr="00BE4079">
        <w:rPr>
          <w:rFonts w:ascii="Arial" w:hAnsi="Arial" w:cs="Arial"/>
          <w:bCs/>
          <w:sz w:val="24"/>
          <w:szCs w:val="24"/>
        </w:rPr>
        <w:t xml:space="preserve">Más allá de la presión que a través de diversas fórmulas puedan hacer los Estados para que los particulares asuman su responsabilidad en la promoción de una igualdad material, ciertas entidades privadas como empresas, sindicatos, universidades y partidos políticos han implementado, en ocasiones de manera progresista, distintas modalidades acciones positivas. </w:t>
      </w:r>
    </w:p>
    <w:p w14:paraId="0A219067" w14:textId="77777777" w:rsidR="003625FE" w:rsidRPr="00BE4079" w:rsidRDefault="003625FE" w:rsidP="00BE4079">
      <w:pPr>
        <w:spacing w:after="0" w:line="240" w:lineRule="auto"/>
        <w:jc w:val="both"/>
        <w:rPr>
          <w:rFonts w:ascii="Arial" w:hAnsi="Arial" w:cs="Arial"/>
          <w:bCs/>
          <w:sz w:val="24"/>
          <w:szCs w:val="24"/>
        </w:rPr>
      </w:pPr>
    </w:p>
    <w:p w14:paraId="44AD73CB" w14:textId="77777777" w:rsidR="003625FE" w:rsidRPr="00BE4079" w:rsidRDefault="003625FE" w:rsidP="00BE4079">
      <w:pPr>
        <w:spacing w:after="0" w:line="240" w:lineRule="auto"/>
        <w:jc w:val="both"/>
        <w:rPr>
          <w:rFonts w:ascii="Arial" w:hAnsi="Arial" w:cs="Arial"/>
          <w:bCs/>
          <w:sz w:val="24"/>
          <w:szCs w:val="24"/>
        </w:rPr>
      </w:pPr>
      <w:r w:rsidRPr="00BE4079">
        <w:rPr>
          <w:rFonts w:ascii="Arial" w:hAnsi="Arial" w:cs="Arial"/>
          <w:bCs/>
          <w:sz w:val="24"/>
          <w:szCs w:val="24"/>
        </w:rPr>
        <w:t>En este sentido, se pueden distinguir tres tipos de orígenes de las acciones afirmativas: las que promueve el Estado, las que promueve el Estado a través de los particulares y las que promueven los particulares por sí mismos. Todas ellas resultan complementarias entre sí, de manera que las tres son necesarias para abarcar los distintos ámbitos en los que la discriminación sigue presente.</w:t>
      </w:r>
    </w:p>
    <w:p w14:paraId="4D400B50" w14:textId="77777777" w:rsidR="003625FE" w:rsidRPr="00BE4079" w:rsidRDefault="003625FE" w:rsidP="00BE4079">
      <w:pPr>
        <w:spacing w:after="0" w:line="240" w:lineRule="auto"/>
        <w:jc w:val="both"/>
        <w:rPr>
          <w:rFonts w:ascii="Arial" w:hAnsi="Arial" w:cs="Arial"/>
          <w:bCs/>
          <w:sz w:val="24"/>
          <w:szCs w:val="24"/>
        </w:rPr>
      </w:pPr>
    </w:p>
    <w:p w14:paraId="2CFECA5D" w14:textId="77777777" w:rsidR="003625FE" w:rsidRPr="00BE4079" w:rsidRDefault="003625FE" w:rsidP="00BE4079">
      <w:pPr>
        <w:spacing w:after="0" w:line="240" w:lineRule="auto"/>
        <w:jc w:val="both"/>
        <w:rPr>
          <w:rFonts w:ascii="Arial" w:eastAsia="Times New Roman" w:hAnsi="Arial" w:cs="Arial"/>
          <w:b/>
          <w:bCs/>
          <w:sz w:val="24"/>
          <w:szCs w:val="24"/>
          <w:lang w:eastAsia="es-MX"/>
        </w:rPr>
      </w:pPr>
      <w:r w:rsidRPr="00BE4079">
        <w:rPr>
          <w:rFonts w:ascii="Arial" w:eastAsia="Times New Roman" w:hAnsi="Arial" w:cs="Arial"/>
          <w:b/>
          <w:bCs/>
          <w:sz w:val="24"/>
          <w:szCs w:val="24"/>
          <w:lang w:eastAsia="es-MX"/>
        </w:rPr>
        <w:t>c.4. Conducta específica exigible</w:t>
      </w:r>
    </w:p>
    <w:p w14:paraId="45A62482" w14:textId="77777777" w:rsidR="003625FE" w:rsidRPr="00BE4079" w:rsidRDefault="003625FE" w:rsidP="00BE4079">
      <w:pPr>
        <w:spacing w:after="0" w:line="240" w:lineRule="auto"/>
        <w:jc w:val="both"/>
        <w:rPr>
          <w:rFonts w:ascii="Arial" w:eastAsia="Times New Roman" w:hAnsi="Arial" w:cs="Arial"/>
          <w:b/>
          <w:bCs/>
          <w:sz w:val="24"/>
          <w:szCs w:val="24"/>
          <w:lang w:eastAsia="es-MX"/>
        </w:rPr>
      </w:pPr>
    </w:p>
    <w:p w14:paraId="11D35716" w14:textId="77777777" w:rsidR="003625FE" w:rsidRPr="00BE4079" w:rsidRDefault="003625FE" w:rsidP="00BE4079">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 xml:space="preserve">El último de los elementos que integran el concepto de acción afirmativa se refiere a su contenido normativo, es decir, a la conducta específica que se exige a través de ella. </w:t>
      </w:r>
    </w:p>
    <w:p w14:paraId="73C0A1E2" w14:textId="77777777" w:rsidR="003625FE" w:rsidRPr="00BE4079" w:rsidRDefault="003625FE" w:rsidP="00BE4079">
      <w:pPr>
        <w:spacing w:after="0" w:line="240" w:lineRule="auto"/>
        <w:jc w:val="both"/>
        <w:rPr>
          <w:rFonts w:ascii="Arial" w:eastAsia="Times New Roman" w:hAnsi="Arial" w:cs="Arial"/>
          <w:bCs/>
          <w:sz w:val="24"/>
          <w:szCs w:val="24"/>
          <w:lang w:eastAsia="es-MX"/>
        </w:rPr>
      </w:pPr>
    </w:p>
    <w:p w14:paraId="400F5276" w14:textId="77777777" w:rsidR="003625FE" w:rsidRPr="00BE4079" w:rsidRDefault="003625FE" w:rsidP="00BE4079">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Aunque parezca paradójico, aquello que caracteriza a las acciones afirmativas de otro tipo de figuras jurídicas que tienen como fin combatir la discriminación es precisamente el que el núcleo esencial de la conducta que exige es el de dar un trato preferencial a un determinado grupo de personas respecto del resto.</w:t>
      </w:r>
    </w:p>
    <w:p w14:paraId="26DB6058" w14:textId="77777777" w:rsidR="003625FE" w:rsidRPr="00BE4079" w:rsidRDefault="003625FE" w:rsidP="00BE4079">
      <w:pPr>
        <w:spacing w:after="0" w:line="240" w:lineRule="auto"/>
        <w:jc w:val="both"/>
        <w:rPr>
          <w:rFonts w:ascii="Arial" w:eastAsia="Times New Roman" w:hAnsi="Arial" w:cs="Arial"/>
          <w:bCs/>
          <w:sz w:val="24"/>
          <w:szCs w:val="24"/>
          <w:lang w:eastAsia="es-MX"/>
        </w:rPr>
      </w:pPr>
    </w:p>
    <w:p w14:paraId="490BE3E3" w14:textId="77777777" w:rsidR="003625FE" w:rsidRPr="00BE4079" w:rsidRDefault="003625FE" w:rsidP="00BE4079">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 xml:space="preserve">No cabe duda </w:t>
      </w:r>
      <w:proofErr w:type="gramStart"/>
      <w:r w:rsidRPr="00BE4079">
        <w:rPr>
          <w:rFonts w:ascii="Arial" w:eastAsia="Times New Roman" w:hAnsi="Arial" w:cs="Arial"/>
          <w:bCs/>
          <w:sz w:val="24"/>
          <w:szCs w:val="24"/>
          <w:lang w:eastAsia="es-MX"/>
        </w:rPr>
        <w:t>que</w:t>
      </w:r>
      <w:proofErr w:type="gramEnd"/>
      <w:r w:rsidRPr="00BE4079">
        <w:rPr>
          <w:rFonts w:ascii="Arial" w:eastAsia="Times New Roman" w:hAnsi="Arial" w:cs="Arial"/>
          <w:bCs/>
          <w:sz w:val="24"/>
          <w:szCs w:val="24"/>
          <w:lang w:eastAsia="es-MX"/>
        </w:rPr>
        <w:t xml:space="preserve"> el trato preferencial que exigen las acciones afirmativas beneficia a un grupo de personas y, de manera directa o indirecta, limita los beneficios o perjudica al resto de las personas, incluso no es de extrañar que como consecuencia colateral, los derechos de las personas de los grupos sobre los que no recaen las acciones afirmativas puedan quedar mermados e, incluso, anulados. </w:t>
      </w:r>
    </w:p>
    <w:p w14:paraId="68326616" w14:textId="77777777" w:rsidR="003625FE" w:rsidRPr="00BE4079" w:rsidRDefault="003625FE" w:rsidP="00BE4079">
      <w:pPr>
        <w:spacing w:after="0" w:line="240" w:lineRule="auto"/>
        <w:jc w:val="both"/>
        <w:rPr>
          <w:rFonts w:ascii="Arial" w:eastAsia="Times New Roman" w:hAnsi="Arial" w:cs="Arial"/>
          <w:bCs/>
          <w:sz w:val="24"/>
          <w:szCs w:val="24"/>
          <w:lang w:eastAsia="es-MX"/>
        </w:rPr>
      </w:pPr>
    </w:p>
    <w:p w14:paraId="70834609" w14:textId="77777777" w:rsidR="003625FE" w:rsidRPr="00BE4079" w:rsidRDefault="003625FE" w:rsidP="00BE4079">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 xml:space="preserve">Sin embargo, lo que distingue radicalmente el trato preferencial de las acciones afirmativas de la simple discriminación es que, a diferencia de ésta, las acciones afirmativas pretenden realizar la igualdad en el terreno de los hechos, por lo </w:t>
      </w:r>
      <w:proofErr w:type="gramStart"/>
      <w:r w:rsidRPr="00BE4079">
        <w:rPr>
          <w:rFonts w:ascii="Arial" w:eastAsia="Times New Roman" w:hAnsi="Arial" w:cs="Arial"/>
          <w:bCs/>
          <w:sz w:val="24"/>
          <w:szCs w:val="24"/>
          <w:lang w:eastAsia="es-MX"/>
        </w:rPr>
        <w:t>tanto</w:t>
      </w:r>
      <w:proofErr w:type="gramEnd"/>
      <w:r w:rsidRPr="00BE4079">
        <w:rPr>
          <w:rFonts w:ascii="Arial" w:eastAsia="Times New Roman" w:hAnsi="Arial" w:cs="Arial"/>
          <w:bCs/>
          <w:sz w:val="24"/>
          <w:szCs w:val="24"/>
          <w:lang w:eastAsia="es-MX"/>
        </w:rPr>
        <w:t xml:space="preserve"> es la consecución de la igualdad la que justifica –exige- el trato preferencial. </w:t>
      </w:r>
    </w:p>
    <w:p w14:paraId="7722C49F" w14:textId="77777777" w:rsidR="003625FE" w:rsidRPr="00BE4079" w:rsidRDefault="003625FE" w:rsidP="00BE4079">
      <w:pPr>
        <w:spacing w:after="0" w:line="240" w:lineRule="auto"/>
        <w:jc w:val="both"/>
        <w:rPr>
          <w:rFonts w:ascii="Arial" w:eastAsia="Times New Roman" w:hAnsi="Arial" w:cs="Arial"/>
          <w:bCs/>
          <w:sz w:val="24"/>
          <w:szCs w:val="24"/>
          <w:lang w:eastAsia="es-MX"/>
        </w:rPr>
      </w:pPr>
    </w:p>
    <w:p w14:paraId="0BDE039F" w14:textId="77777777" w:rsidR="003625FE" w:rsidRPr="00BE4079" w:rsidRDefault="003625FE" w:rsidP="00BE4079">
      <w:pPr>
        <w:spacing w:after="0" w:line="240" w:lineRule="auto"/>
        <w:jc w:val="both"/>
        <w:rPr>
          <w:rFonts w:ascii="Arial" w:eastAsia="Times New Roman" w:hAnsi="Arial" w:cs="Arial"/>
          <w:b/>
          <w:bCs/>
          <w:sz w:val="24"/>
          <w:szCs w:val="24"/>
          <w:lang w:eastAsia="es-MX"/>
        </w:rPr>
      </w:pPr>
      <w:r w:rsidRPr="00BE4079">
        <w:rPr>
          <w:rFonts w:ascii="Arial" w:eastAsia="Times New Roman" w:hAnsi="Arial" w:cs="Arial"/>
          <w:b/>
          <w:bCs/>
          <w:sz w:val="24"/>
          <w:szCs w:val="24"/>
          <w:lang w:eastAsia="es-MX"/>
        </w:rPr>
        <w:t>c.5. Modalidades de las Acciones Afirmativas</w:t>
      </w:r>
    </w:p>
    <w:p w14:paraId="5F3DA7FA" w14:textId="77777777" w:rsidR="003625FE" w:rsidRPr="00BE4079" w:rsidRDefault="003625FE" w:rsidP="00BE4079">
      <w:pPr>
        <w:spacing w:after="0" w:line="240" w:lineRule="auto"/>
        <w:jc w:val="both"/>
        <w:rPr>
          <w:rFonts w:ascii="Arial" w:eastAsia="Times New Roman" w:hAnsi="Arial" w:cs="Arial"/>
          <w:b/>
          <w:bCs/>
          <w:sz w:val="24"/>
          <w:szCs w:val="24"/>
          <w:lang w:eastAsia="es-MX"/>
        </w:rPr>
      </w:pPr>
    </w:p>
    <w:p w14:paraId="5B620B05" w14:textId="77777777" w:rsidR="003625FE" w:rsidRPr="00BE4079" w:rsidRDefault="003625FE" w:rsidP="00BE4079">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 xml:space="preserve">Con base precisamente en el núcleo normativo de las acciones afirmativas, consistente en tratar de manera preferente a los miembros de un grupo en relación con el resto de las personas, se pueden distinguir tres modalidades de acciones afirmativas. La diferencia entre éstas no es cualitativa, sino más bien cuantitativa y estiba en la magnitud de la preferencia o distinción que se establece, así como en el grado en que tal distinción repercute en el resto de las personas. </w:t>
      </w:r>
    </w:p>
    <w:p w14:paraId="5B4D998E" w14:textId="77777777" w:rsidR="003625FE" w:rsidRPr="00BE4079" w:rsidRDefault="003625FE" w:rsidP="00BE4079">
      <w:pPr>
        <w:spacing w:after="0" w:line="240" w:lineRule="auto"/>
        <w:jc w:val="both"/>
        <w:rPr>
          <w:rFonts w:ascii="Arial" w:eastAsia="Times New Roman" w:hAnsi="Arial" w:cs="Arial"/>
          <w:bCs/>
          <w:sz w:val="24"/>
          <w:szCs w:val="24"/>
          <w:lang w:eastAsia="es-MX"/>
        </w:rPr>
      </w:pPr>
    </w:p>
    <w:p w14:paraId="4B08B527" w14:textId="77777777" w:rsidR="003625FE" w:rsidRPr="00BE4079" w:rsidRDefault="003625FE" w:rsidP="00BE4079">
      <w:pPr>
        <w:spacing w:after="0" w:line="240" w:lineRule="auto"/>
        <w:jc w:val="both"/>
        <w:rPr>
          <w:rFonts w:ascii="Arial" w:eastAsia="Times New Roman" w:hAnsi="Arial" w:cs="Arial"/>
          <w:b/>
          <w:bCs/>
          <w:sz w:val="24"/>
          <w:szCs w:val="24"/>
          <w:lang w:eastAsia="es-MX"/>
        </w:rPr>
      </w:pPr>
      <w:r w:rsidRPr="00BE4079">
        <w:rPr>
          <w:rFonts w:ascii="Arial" w:eastAsia="Times New Roman" w:hAnsi="Arial" w:cs="Arial"/>
          <w:b/>
          <w:bCs/>
          <w:sz w:val="24"/>
          <w:szCs w:val="24"/>
          <w:lang w:eastAsia="es-MX"/>
        </w:rPr>
        <w:t>a. Acciones encaminadas a combatir el contexto de discriminación en el que se encuentran ciertos grupos humanos</w:t>
      </w:r>
    </w:p>
    <w:p w14:paraId="281A6778" w14:textId="77777777" w:rsidR="003625FE" w:rsidRPr="00BE4079" w:rsidRDefault="003625FE" w:rsidP="00BE4079">
      <w:pPr>
        <w:spacing w:after="0" w:line="240" w:lineRule="auto"/>
        <w:jc w:val="both"/>
        <w:rPr>
          <w:rFonts w:ascii="Arial" w:eastAsia="Times New Roman" w:hAnsi="Arial" w:cs="Arial"/>
          <w:b/>
          <w:bCs/>
          <w:sz w:val="24"/>
          <w:szCs w:val="24"/>
          <w:lang w:eastAsia="es-MX"/>
        </w:rPr>
      </w:pPr>
    </w:p>
    <w:p w14:paraId="18003951" w14:textId="77777777" w:rsidR="003625FE" w:rsidRPr="00BE4079" w:rsidRDefault="003625FE" w:rsidP="00BE4079">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Aquí, dicho concepto se toma en un sentido sumamente amplio, pues el trato preferencial por un grupo de persona es casi imperceptible en la medida en que las repercusiones que tiene en los derechos del resto de los ciudadanos están sumamente diluidas.</w:t>
      </w:r>
    </w:p>
    <w:p w14:paraId="5BA3A048" w14:textId="77777777" w:rsidR="003625FE" w:rsidRPr="00BE4079" w:rsidRDefault="003625FE" w:rsidP="00BE4079">
      <w:pPr>
        <w:spacing w:after="0" w:line="240" w:lineRule="auto"/>
        <w:jc w:val="both"/>
        <w:rPr>
          <w:rFonts w:ascii="Arial" w:eastAsia="Times New Roman" w:hAnsi="Arial" w:cs="Arial"/>
          <w:bCs/>
          <w:sz w:val="24"/>
          <w:szCs w:val="24"/>
          <w:lang w:eastAsia="es-MX"/>
        </w:rPr>
      </w:pPr>
    </w:p>
    <w:p w14:paraId="2F48CB6A" w14:textId="77777777" w:rsidR="003625FE" w:rsidRPr="00BE4079" w:rsidRDefault="003625FE" w:rsidP="00BE4079">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 xml:space="preserve">Los ejemplos pueden ser muchos y de naturaleza muy distinta, así entrarían dentro de </w:t>
      </w:r>
      <w:proofErr w:type="gramStart"/>
      <w:r w:rsidRPr="00BE4079">
        <w:rPr>
          <w:rFonts w:ascii="Arial" w:eastAsia="Times New Roman" w:hAnsi="Arial" w:cs="Arial"/>
          <w:bCs/>
          <w:sz w:val="24"/>
          <w:szCs w:val="24"/>
          <w:lang w:eastAsia="es-MX"/>
        </w:rPr>
        <w:t>ésta</w:t>
      </w:r>
      <w:proofErr w:type="gramEnd"/>
      <w:r w:rsidRPr="00BE4079">
        <w:rPr>
          <w:rFonts w:ascii="Arial" w:eastAsia="Times New Roman" w:hAnsi="Arial" w:cs="Arial"/>
          <w:bCs/>
          <w:sz w:val="24"/>
          <w:szCs w:val="24"/>
          <w:lang w:eastAsia="es-MX"/>
        </w:rPr>
        <w:t xml:space="preserve"> modalidad desde políticas de admisión en escuelas y colegios que fomenten la diversidad, subsidios o exoneración de impuestos a sectores menos favorecidos, hasta difundir campañas publicitarias para eliminar los estereotipos y prejuicios creados en torno a las personas con una orientación sexual distinta a la heterosexual. </w:t>
      </w:r>
    </w:p>
    <w:p w14:paraId="16B07282" w14:textId="77777777" w:rsidR="003625FE" w:rsidRPr="00BE4079" w:rsidRDefault="003625FE" w:rsidP="00BE4079">
      <w:pPr>
        <w:spacing w:after="0" w:line="240" w:lineRule="auto"/>
        <w:jc w:val="both"/>
        <w:rPr>
          <w:rFonts w:ascii="Arial" w:eastAsia="Times New Roman" w:hAnsi="Arial" w:cs="Arial"/>
          <w:bCs/>
          <w:sz w:val="24"/>
          <w:szCs w:val="24"/>
          <w:lang w:eastAsia="es-MX"/>
        </w:rPr>
      </w:pPr>
    </w:p>
    <w:p w14:paraId="0A25A645" w14:textId="77777777" w:rsidR="003625FE" w:rsidRPr="00BE4079" w:rsidRDefault="003625FE" w:rsidP="00BE4079">
      <w:pPr>
        <w:spacing w:after="0" w:line="240" w:lineRule="auto"/>
        <w:jc w:val="both"/>
        <w:rPr>
          <w:rFonts w:ascii="Arial" w:eastAsia="Times New Roman" w:hAnsi="Arial" w:cs="Arial"/>
          <w:b/>
          <w:bCs/>
          <w:sz w:val="24"/>
          <w:szCs w:val="24"/>
          <w:lang w:eastAsia="es-MX"/>
        </w:rPr>
      </w:pPr>
      <w:r w:rsidRPr="00BE4079">
        <w:rPr>
          <w:rFonts w:ascii="Arial" w:eastAsia="Times New Roman" w:hAnsi="Arial" w:cs="Arial"/>
          <w:b/>
          <w:bCs/>
          <w:sz w:val="24"/>
          <w:szCs w:val="24"/>
          <w:lang w:eastAsia="es-MX"/>
        </w:rPr>
        <w:t>b. Acciones afirmativas en sentido estricto</w:t>
      </w:r>
    </w:p>
    <w:p w14:paraId="61684BA7" w14:textId="77777777" w:rsidR="003625FE" w:rsidRPr="00BE4079" w:rsidRDefault="003625FE" w:rsidP="00BE4079">
      <w:pPr>
        <w:spacing w:after="0" w:line="240" w:lineRule="auto"/>
        <w:jc w:val="both"/>
        <w:rPr>
          <w:rFonts w:ascii="Arial" w:eastAsia="Times New Roman" w:hAnsi="Arial" w:cs="Arial"/>
          <w:bCs/>
          <w:sz w:val="24"/>
          <w:szCs w:val="24"/>
          <w:lang w:eastAsia="es-MX"/>
        </w:rPr>
      </w:pPr>
    </w:p>
    <w:p w14:paraId="792B3469" w14:textId="77777777" w:rsidR="003625FE" w:rsidRPr="00BE4079" w:rsidRDefault="003625FE" w:rsidP="00BE4079">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Es decir, aquellas acciones a través de las cuales se establece una preferencia o distinción a favor de un grupo que se encuentra en una situación de desventaja en el ejercicio de sus derechos con el objetivo de revertir y compensar esa situación para alcanzar una igualdad sustancial.</w:t>
      </w:r>
    </w:p>
    <w:p w14:paraId="09868BD2" w14:textId="77777777" w:rsidR="003625FE" w:rsidRPr="00BE4079" w:rsidRDefault="003625FE" w:rsidP="00BE4079">
      <w:pPr>
        <w:spacing w:after="0" w:line="240" w:lineRule="auto"/>
        <w:jc w:val="both"/>
        <w:rPr>
          <w:rFonts w:ascii="Arial" w:eastAsia="Times New Roman" w:hAnsi="Arial" w:cs="Arial"/>
          <w:bCs/>
          <w:sz w:val="24"/>
          <w:szCs w:val="24"/>
          <w:lang w:eastAsia="es-MX"/>
        </w:rPr>
      </w:pPr>
    </w:p>
    <w:p w14:paraId="09AEAB85" w14:textId="77777777" w:rsidR="003625FE" w:rsidRPr="00BE4079" w:rsidRDefault="003625FE" w:rsidP="00BE4079">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 xml:space="preserve">Una vez más los ejemplos pueden ser muchos y muy variados pudiendo ir desde la implementación de cursos de capacitación exclusivos para mujeres con el fin de que asuman puestos de responsabilidad en las empresas, hasta las becas estudiantiles con cupos para ciertos grupos sociales. </w:t>
      </w:r>
    </w:p>
    <w:p w14:paraId="0CF6B196" w14:textId="77777777" w:rsidR="003625FE" w:rsidRPr="00BE4079" w:rsidRDefault="003625FE" w:rsidP="00BE4079">
      <w:pPr>
        <w:spacing w:after="0" w:line="240" w:lineRule="auto"/>
        <w:jc w:val="both"/>
        <w:rPr>
          <w:rFonts w:ascii="Arial" w:eastAsia="Times New Roman" w:hAnsi="Arial" w:cs="Arial"/>
          <w:bCs/>
          <w:sz w:val="24"/>
          <w:szCs w:val="24"/>
          <w:lang w:eastAsia="es-MX"/>
        </w:rPr>
      </w:pPr>
    </w:p>
    <w:p w14:paraId="6F0777AB" w14:textId="77777777" w:rsidR="003625FE" w:rsidRPr="00BE4079" w:rsidRDefault="003625FE" w:rsidP="00BE4079">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 xml:space="preserve">Aquí la preferencia por un grupo es más perceptible y las repercusiones en los derechos de los demás un poco más claras. </w:t>
      </w:r>
    </w:p>
    <w:p w14:paraId="0C86D376" w14:textId="77777777" w:rsidR="003625FE" w:rsidRPr="00BE4079" w:rsidRDefault="003625FE" w:rsidP="00BE4079">
      <w:pPr>
        <w:spacing w:after="0" w:line="240" w:lineRule="auto"/>
        <w:jc w:val="both"/>
        <w:rPr>
          <w:rFonts w:ascii="Arial" w:eastAsia="Times New Roman" w:hAnsi="Arial" w:cs="Arial"/>
          <w:b/>
          <w:bCs/>
          <w:sz w:val="24"/>
          <w:szCs w:val="24"/>
          <w:lang w:eastAsia="es-MX"/>
        </w:rPr>
      </w:pPr>
    </w:p>
    <w:p w14:paraId="2B6AFE8E" w14:textId="77777777" w:rsidR="003625FE" w:rsidRPr="00BE4079" w:rsidRDefault="003625FE" w:rsidP="00BE4079">
      <w:pPr>
        <w:spacing w:after="0" w:line="240" w:lineRule="auto"/>
        <w:jc w:val="both"/>
        <w:rPr>
          <w:rFonts w:ascii="Arial" w:eastAsia="Times New Roman" w:hAnsi="Arial" w:cs="Arial"/>
          <w:b/>
          <w:bCs/>
          <w:sz w:val="24"/>
          <w:szCs w:val="24"/>
          <w:lang w:eastAsia="es-MX"/>
        </w:rPr>
      </w:pPr>
      <w:r w:rsidRPr="00BE4079">
        <w:rPr>
          <w:rFonts w:ascii="Arial" w:eastAsia="Times New Roman" w:hAnsi="Arial" w:cs="Arial"/>
          <w:b/>
          <w:bCs/>
          <w:sz w:val="24"/>
          <w:szCs w:val="24"/>
          <w:lang w:eastAsia="es-MX"/>
        </w:rPr>
        <w:t>c.6.</w:t>
      </w:r>
      <w:r w:rsidRPr="00BE4079">
        <w:rPr>
          <w:rFonts w:ascii="Arial" w:eastAsia="Times New Roman" w:hAnsi="Arial" w:cs="Arial"/>
          <w:bCs/>
          <w:sz w:val="24"/>
          <w:szCs w:val="24"/>
          <w:lang w:eastAsia="es-MX"/>
        </w:rPr>
        <w:t xml:space="preserve"> </w:t>
      </w:r>
      <w:r w:rsidRPr="00BE4079">
        <w:rPr>
          <w:rFonts w:ascii="Arial" w:eastAsia="Times New Roman" w:hAnsi="Arial" w:cs="Arial"/>
          <w:b/>
          <w:bCs/>
          <w:sz w:val="24"/>
          <w:szCs w:val="24"/>
          <w:lang w:eastAsia="es-MX"/>
        </w:rPr>
        <w:t>Las acciones afirmativas</w:t>
      </w:r>
    </w:p>
    <w:p w14:paraId="42B45944" w14:textId="77777777" w:rsidR="003625FE" w:rsidRPr="00BE4079" w:rsidRDefault="003625FE" w:rsidP="00BE4079">
      <w:pPr>
        <w:spacing w:after="0" w:line="240" w:lineRule="auto"/>
        <w:jc w:val="both"/>
        <w:rPr>
          <w:rFonts w:ascii="Arial" w:eastAsia="Times New Roman" w:hAnsi="Arial" w:cs="Arial"/>
          <w:bCs/>
          <w:sz w:val="24"/>
          <w:szCs w:val="24"/>
          <w:lang w:eastAsia="es-MX"/>
        </w:rPr>
      </w:pPr>
    </w:p>
    <w:p w14:paraId="1BD14AB7" w14:textId="77777777" w:rsidR="003625FE" w:rsidRPr="00BE4079" w:rsidRDefault="003625FE" w:rsidP="00BE4079">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lastRenderedPageBreak/>
        <w:t xml:space="preserve">Es en esta modalidad en la cual, la preferencia se torna claramente directa de un grupo frente a otro y los derechos de los demás llegan a limitarse claramente. </w:t>
      </w:r>
    </w:p>
    <w:p w14:paraId="472C0D1F" w14:textId="77777777" w:rsidR="003625FE" w:rsidRPr="00BE4079" w:rsidRDefault="003625FE" w:rsidP="00BE4079">
      <w:pPr>
        <w:spacing w:after="0" w:line="240" w:lineRule="auto"/>
        <w:jc w:val="both"/>
        <w:rPr>
          <w:rFonts w:ascii="Arial" w:eastAsia="Times New Roman" w:hAnsi="Arial" w:cs="Arial"/>
          <w:bCs/>
          <w:sz w:val="24"/>
          <w:szCs w:val="24"/>
          <w:lang w:eastAsia="es-MX"/>
        </w:rPr>
      </w:pPr>
    </w:p>
    <w:p w14:paraId="00003269" w14:textId="77777777" w:rsidR="003625FE" w:rsidRPr="00BE4079" w:rsidRDefault="003625FE" w:rsidP="00BE4079">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 xml:space="preserve">En ellas, la simple distinción para beneficiar a un grupo que se encuentra en desventaja puede ser considerada discriminación en tanto tiene como consecuencia la limitación de los derechos de los demás por motivos tales como la raza, el sexo, la religión etc. </w:t>
      </w:r>
    </w:p>
    <w:p w14:paraId="229A98F3" w14:textId="77777777" w:rsidR="003625FE" w:rsidRPr="00BE4079" w:rsidRDefault="003625FE" w:rsidP="00BE4079">
      <w:pPr>
        <w:spacing w:after="0" w:line="240" w:lineRule="auto"/>
        <w:jc w:val="both"/>
        <w:rPr>
          <w:rFonts w:ascii="Arial" w:eastAsia="Times New Roman" w:hAnsi="Arial" w:cs="Arial"/>
          <w:bCs/>
          <w:sz w:val="24"/>
          <w:szCs w:val="24"/>
          <w:lang w:eastAsia="es-MX"/>
        </w:rPr>
      </w:pPr>
    </w:p>
    <w:p w14:paraId="1FEA5B9A" w14:textId="77777777" w:rsidR="003625FE" w:rsidRPr="00BE4079" w:rsidRDefault="003625FE" w:rsidP="00BE4079">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 xml:space="preserve">No forzosamente lo es, pues en lugar de limitar los derechos de los desaventajados limita los derechos de los aventajados con el fin de conseguir una mayor igualdad de oportunidades entre ambos. </w:t>
      </w:r>
    </w:p>
    <w:p w14:paraId="7CC8E27B" w14:textId="77777777" w:rsidR="003625FE" w:rsidRPr="00BE4079" w:rsidRDefault="003625FE" w:rsidP="00BE4079">
      <w:pPr>
        <w:spacing w:after="0" w:line="240" w:lineRule="auto"/>
        <w:jc w:val="both"/>
        <w:rPr>
          <w:rFonts w:ascii="Arial" w:eastAsia="Times New Roman" w:hAnsi="Arial" w:cs="Arial"/>
          <w:bCs/>
          <w:sz w:val="24"/>
          <w:szCs w:val="24"/>
          <w:lang w:eastAsia="es-MX"/>
        </w:rPr>
      </w:pPr>
    </w:p>
    <w:p w14:paraId="41A58A16" w14:textId="77777777" w:rsidR="003625FE" w:rsidRPr="00BE4079" w:rsidRDefault="003625FE" w:rsidP="00BE4079">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 xml:space="preserve">La figura más conocida de las acciones afirmativas son las políticas de cuotas o cupos, es decir, establecer previamente que cierto número de personas tendrá acceso a ciertos bienes o posiciones estratégicas por el simple hecho de ser miembros de un determinado grupo que se encuentra en un contexto de discriminación. </w:t>
      </w:r>
    </w:p>
    <w:p w14:paraId="06AF3C25" w14:textId="77777777" w:rsidR="003625FE" w:rsidRPr="00BE4079" w:rsidRDefault="003625FE" w:rsidP="00BE4079">
      <w:pPr>
        <w:spacing w:after="0" w:line="240" w:lineRule="auto"/>
        <w:jc w:val="both"/>
        <w:rPr>
          <w:rFonts w:ascii="Arial" w:eastAsia="Times New Roman" w:hAnsi="Arial" w:cs="Arial"/>
          <w:bCs/>
          <w:sz w:val="24"/>
          <w:szCs w:val="24"/>
          <w:lang w:eastAsia="es-MX"/>
        </w:rPr>
      </w:pPr>
    </w:p>
    <w:p w14:paraId="0BA31C3B" w14:textId="77777777" w:rsidR="003625FE" w:rsidRPr="00BE4079" w:rsidRDefault="003625FE" w:rsidP="00BE4079">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 xml:space="preserve">Así, por ejemplo, que un determinado número de los puestos de mayor responsabilidad en una empresa tengan que ser ocupados por una persona que profesa una religión específica que estaba </w:t>
      </w:r>
      <w:proofErr w:type="spellStart"/>
      <w:r w:rsidRPr="00BE4079">
        <w:rPr>
          <w:rFonts w:ascii="Arial" w:eastAsia="Times New Roman" w:hAnsi="Arial" w:cs="Arial"/>
          <w:bCs/>
          <w:sz w:val="24"/>
          <w:szCs w:val="24"/>
          <w:lang w:eastAsia="es-MX"/>
        </w:rPr>
        <w:t>sub-representada</w:t>
      </w:r>
      <w:proofErr w:type="spellEnd"/>
      <w:r w:rsidRPr="00BE4079">
        <w:rPr>
          <w:rFonts w:ascii="Arial" w:eastAsia="Times New Roman" w:hAnsi="Arial" w:cs="Arial"/>
          <w:bCs/>
          <w:sz w:val="24"/>
          <w:szCs w:val="24"/>
          <w:lang w:eastAsia="es-MX"/>
        </w:rPr>
        <w:t>, el que las universidades tengan que reservar un número determinado de plaza para personas de escasos recursos o que pertenezcan a una minoría étnica o racial o, las más conocidas y aplicadas de todas, el que se establezca un mínimo porcentaje de representación del sexo menos representado en ámbitos de toma de decisiones, tales como el parlamento, los tribunales superiores de justicia o el gabinete integrado por los ministros o secretarios de estado.</w:t>
      </w:r>
    </w:p>
    <w:p w14:paraId="0B7EAD2C" w14:textId="77777777" w:rsidR="003625FE" w:rsidRPr="00BE4079" w:rsidRDefault="003625FE" w:rsidP="00BE4079">
      <w:pPr>
        <w:spacing w:after="0" w:line="240" w:lineRule="auto"/>
        <w:jc w:val="both"/>
        <w:rPr>
          <w:rFonts w:ascii="Arial" w:eastAsia="Times New Roman" w:hAnsi="Arial" w:cs="Arial"/>
          <w:bCs/>
          <w:sz w:val="24"/>
          <w:szCs w:val="24"/>
          <w:lang w:eastAsia="es-MX"/>
        </w:rPr>
      </w:pPr>
    </w:p>
    <w:p w14:paraId="15C62B22" w14:textId="77777777" w:rsidR="003625FE" w:rsidRPr="00BE4079" w:rsidRDefault="003625FE" w:rsidP="00BE4079">
      <w:pPr>
        <w:spacing w:after="0" w:line="240" w:lineRule="auto"/>
        <w:jc w:val="both"/>
        <w:rPr>
          <w:rFonts w:ascii="Arial" w:eastAsia="Times New Roman" w:hAnsi="Arial" w:cs="Arial"/>
          <w:b/>
          <w:bCs/>
          <w:sz w:val="24"/>
          <w:szCs w:val="24"/>
          <w:lang w:eastAsia="es-MX"/>
        </w:rPr>
      </w:pPr>
      <w:r w:rsidRPr="00BE4079">
        <w:rPr>
          <w:rFonts w:ascii="Arial" w:eastAsia="Times New Roman" w:hAnsi="Arial" w:cs="Arial"/>
          <w:b/>
          <w:bCs/>
          <w:sz w:val="24"/>
          <w:szCs w:val="24"/>
          <w:lang w:eastAsia="es-MX"/>
        </w:rPr>
        <w:t>c.7. Límites y precauciones de las acciones afirmativas</w:t>
      </w:r>
    </w:p>
    <w:p w14:paraId="6E716907" w14:textId="77777777" w:rsidR="003625FE" w:rsidRPr="00BE4079" w:rsidRDefault="003625FE" w:rsidP="00BE4079">
      <w:pPr>
        <w:spacing w:after="0" w:line="240" w:lineRule="auto"/>
        <w:jc w:val="both"/>
        <w:rPr>
          <w:rFonts w:ascii="Arial" w:eastAsia="Times New Roman" w:hAnsi="Arial" w:cs="Arial"/>
          <w:bCs/>
          <w:sz w:val="24"/>
          <w:szCs w:val="24"/>
          <w:lang w:eastAsia="es-MX"/>
        </w:rPr>
      </w:pPr>
    </w:p>
    <w:p w14:paraId="0FD71BCB" w14:textId="77777777" w:rsidR="003625FE" w:rsidRPr="00BE4079" w:rsidRDefault="003625FE" w:rsidP="00BE4079">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Las acciones afirmativas deben ser implementadas con gran precaución, es decir, que la prudencia debe desempeñar un papel central en su formulación y aplicación. Tres criterios resultan ser muy útiles para ello:</w:t>
      </w:r>
    </w:p>
    <w:p w14:paraId="4A52041A" w14:textId="77777777" w:rsidR="003625FE" w:rsidRPr="00BE4079" w:rsidRDefault="003625FE" w:rsidP="00BE4079">
      <w:pPr>
        <w:spacing w:after="0" w:line="240" w:lineRule="auto"/>
        <w:jc w:val="both"/>
        <w:rPr>
          <w:rFonts w:ascii="Arial" w:eastAsia="Times New Roman" w:hAnsi="Arial" w:cs="Arial"/>
          <w:bCs/>
          <w:sz w:val="24"/>
          <w:szCs w:val="24"/>
          <w:lang w:eastAsia="es-MX"/>
        </w:rPr>
      </w:pPr>
    </w:p>
    <w:p w14:paraId="47742C9E" w14:textId="77777777" w:rsidR="003625FE" w:rsidRPr="00BE4079" w:rsidRDefault="003625FE" w:rsidP="00BE4079">
      <w:pPr>
        <w:spacing w:after="0" w:line="240" w:lineRule="auto"/>
        <w:jc w:val="both"/>
        <w:rPr>
          <w:rFonts w:ascii="Arial" w:eastAsia="Times New Roman" w:hAnsi="Arial" w:cs="Arial"/>
          <w:b/>
          <w:bCs/>
          <w:sz w:val="24"/>
          <w:szCs w:val="24"/>
          <w:lang w:eastAsia="es-MX"/>
        </w:rPr>
      </w:pPr>
      <w:r w:rsidRPr="00BE4079">
        <w:rPr>
          <w:rFonts w:ascii="Arial" w:eastAsia="Times New Roman" w:hAnsi="Arial" w:cs="Arial"/>
          <w:b/>
          <w:bCs/>
          <w:sz w:val="24"/>
          <w:szCs w:val="24"/>
          <w:lang w:eastAsia="es-MX"/>
        </w:rPr>
        <w:t>a. Criterio de temporalidad</w:t>
      </w:r>
    </w:p>
    <w:p w14:paraId="4EE074B3" w14:textId="77777777" w:rsidR="003625FE" w:rsidRPr="00BE4079" w:rsidRDefault="003625FE" w:rsidP="00BE4079">
      <w:pPr>
        <w:spacing w:after="0" w:line="240" w:lineRule="auto"/>
        <w:jc w:val="both"/>
        <w:rPr>
          <w:rFonts w:ascii="Arial" w:eastAsia="Times New Roman" w:hAnsi="Arial" w:cs="Arial"/>
          <w:bCs/>
          <w:sz w:val="24"/>
          <w:szCs w:val="24"/>
          <w:lang w:eastAsia="es-MX"/>
        </w:rPr>
      </w:pPr>
    </w:p>
    <w:p w14:paraId="13E9E5ED" w14:textId="77777777" w:rsidR="003625FE" w:rsidRPr="00BE4079" w:rsidRDefault="003625FE" w:rsidP="00BE4079">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Las acciones afirmativas no pueden establecerse de manera indefinida. Por lo tanto, no debe considerarse que esas medidas resulten necesarias para siempre, aun cuando el sentido del término “temporal” pueda, de hecho, dar lugar a la aplicación de dichas medidas durante un período largo.</w:t>
      </w:r>
    </w:p>
    <w:p w14:paraId="0F2661FC" w14:textId="77777777" w:rsidR="003625FE" w:rsidRPr="00BE4079" w:rsidRDefault="003625FE" w:rsidP="00BE4079">
      <w:pPr>
        <w:spacing w:after="0" w:line="240" w:lineRule="auto"/>
        <w:jc w:val="both"/>
        <w:rPr>
          <w:rFonts w:ascii="Arial" w:eastAsia="Times New Roman" w:hAnsi="Arial" w:cs="Arial"/>
          <w:bCs/>
          <w:sz w:val="24"/>
          <w:szCs w:val="24"/>
          <w:lang w:eastAsia="es-MX"/>
        </w:rPr>
      </w:pPr>
    </w:p>
    <w:p w14:paraId="4E89AC74" w14:textId="77777777" w:rsidR="003625FE" w:rsidRPr="00BE4079" w:rsidRDefault="003625FE" w:rsidP="00BE4079">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 xml:space="preserve">La duración de una medida especial de carácter temporal se debe determinar teniendo en cuenta el resultado funcional que tiene a los fines de la solución de un problema concreto y no estableciendo un plazo determinado. Las medidas </w:t>
      </w:r>
      <w:r w:rsidRPr="00BE4079">
        <w:rPr>
          <w:rFonts w:ascii="Arial" w:eastAsia="Times New Roman" w:hAnsi="Arial" w:cs="Arial"/>
          <w:bCs/>
          <w:sz w:val="24"/>
          <w:szCs w:val="24"/>
          <w:lang w:eastAsia="es-MX"/>
        </w:rPr>
        <w:lastRenderedPageBreak/>
        <w:t>especiales de carácter temporal deben suspenderse cuando los resultados deseados se hayan alcanzado y se hayan mantenido durante un período de tiempo</w:t>
      </w:r>
      <w:r w:rsidRPr="00BE4079">
        <w:rPr>
          <w:rFonts w:ascii="Arial" w:eastAsia="Times New Roman" w:hAnsi="Arial" w:cs="Arial"/>
          <w:bCs/>
          <w:sz w:val="24"/>
          <w:szCs w:val="24"/>
          <w:vertAlign w:val="superscript"/>
          <w:lang w:eastAsia="es-MX"/>
        </w:rPr>
        <w:footnoteReference w:id="2"/>
      </w:r>
      <w:r w:rsidRPr="00BE4079">
        <w:rPr>
          <w:rFonts w:ascii="Arial" w:eastAsia="Times New Roman" w:hAnsi="Arial" w:cs="Arial"/>
          <w:bCs/>
          <w:sz w:val="24"/>
          <w:szCs w:val="24"/>
          <w:lang w:eastAsia="es-MX"/>
        </w:rPr>
        <w:t xml:space="preserve">. </w:t>
      </w:r>
    </w:p>
    <w:p w14:paraId="12A9C8EB" w14:textId="77777777" w:rsidR="003625FE" w:rsidRPr="00BE4079" w:rsidRDefault="003625FE" w:rsidP="00BE4079">
      <w:pPr>
        <w:spacing w:after="0" w:line="240" w:lineRule="auto"/>
        <w:jc w:val="both"/>
        <w:rPr>
          <w:rFonts w:ascii="Arial" w:eastAsia="Times New Roman" w:hAnsi="Arial" w:cs="Arial"/>
          <w:bCs/>
          <w:sz w:val="24"/>
          <w:szCs w:val="24"/>
          <w:lang w:eastAsia="es-MX"/>
        </w:rPr>
      </w:pPr>
    </w:p>
    <w:p w14:paraId="168D8CA1" w14:textId="77777777" w:rsidR="003625FE" w:rsidRPr="00BE4079" w:rsidRDefault="003625FE" w:rsidP="00BE4079">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 xml:space="preserve">Aunque dada la enorme desigualdad que existe en la práctica entre varios grupos parecería que ciertas situaciones jamás podrán ser revertidas, no por ello, se puede perder de vista que las acciones afirmativas son sólo un medio condicionado al fin que se propone. </w:t>
      </w:r>
    </w:p>
    <w:p w14:paraId="4F58CB3D" w14:textId="77777777" w:rsidR="003625FE" w:rsidRPr="00BE4079" w:rsidRDefault="003625FE" w:rsidP="00BE4079">
      <w:pPr>
        <w:spacing w:after="0" w:line="240" w:lineRule="auto"/>
        <w:jc w:val="both"/>
        <w:rPr>
          <w:rFonts w:ascii="Arial" w:eastAsia="Times New Roman" w:hAnsi="Arial" w:cs="Arial"/>
          <w:bCs/>
          <w:sz w:val="24"/>
          <w:szCs w:val="24"/>
          <w:lang w:eastAsia="es-MX"/>
        </w:rPr>
      </w:pPr>
    </w:p>
    <w:p w14:paraId="1C79B955" w14:textId="77777777" w:rsidR="003625FE" w:rsidRPr="00BE4079" w:rsidRDefault="003625FE" w:rsidP="00BE4079">
      <w:pPr>
        <w:spacing w:after="0" w:line="240" w:lineRule="auto"/>
        <w:jc w:val="both"/>
        <w:rPr>
          <w:rFonts w:ascii="Arial" w:eastAsia="Times New Roman" w:hAnsi="Arial" w:cs="Arial"/>
          <w:b/>
          <w:bCs/>
          <w:sz w:val="24"/>
          <w:szCs w:val="24"/>
          <w:lang w:eastAsia="es-MX"/>
        </w:rPr>
      </w:pPr>
      <w:r w:rsidRPr="00BE4079">
        <w:rPr>
          <w:rFonts w:ascii="Arial" w:eastAsia="Times New Roman" w:hAnsi="Arial" w:cs="Arial"/>
          <w:b/>
          <w:bCs/>
          <w:sz w:val="24"/>
          <w:szCs w:val="24"/>
          <w:lang w:eastAsia="es-MX"/>
        </w:rPr>
        <w:t>b. Criterio de proporcionalidad</w:t>
      </w:r>
    </w:p>
    <w:p w14:paraId="04C7A103" w14:textId="77777777" w:rsidR="003625FE" w:rsidRPr="00BE4079" w:rsidRDefault="003625FE" w:rsidP="00BE4079">
      <w:pPr>
        <w:spacing w:after="0" w:line="240" w:lineRule="auto"/>
        <w:jc w:val="both"/>
        <w:rPr>
          <w:rFonts w:ascii="Arial" w:eastAsia="Times New Roman" w:hAnsi="Arial" w:cs="Arial"/>
          <w:bCs/>
          <w:sz w:val="24"/>
          <w:szCs w:val="24"/>
          <w:lang w:eastAsia="es-MX"/>
        </w:rPr>
      </w:pPr>
    </w:p>
    <w:p w14:paraId="7978AD3A" w14:textId="77777777" w:rsidR="003625FE" w:rsidRPr="00BE4079" w:rsidRDefault="003625FE" w:rsidP="00BE4079">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 xml:space="preserve">El segundo criterio es el de proporcionalidad y tiene que ver con la relación equilibrada que tiene que existir entre las medidas que se implementan con la acción afirmativa y los resultados que se pretenden conseguir. </w:t>
      </w:r>
    </w:p>
    <w:p w14:paraId="259A92AB" w14:textId="77777777" w:rsidR="003625FE" w:rsidRPr="00BE4079" w:rsidRDefault="003625FE" w:rsidP="00BE4079">
      <w:pPr>
        <w:spacing w:after="0" w:line="240" w:lineRule="auto"/>
        <w:jc w:val="both"/>
        <w:rPr>
          <w:rFonts w:ascii="Arial" w:eastAsia="Times New Roman" w:hAnsi="Arial" w:cs="Arial"/>
          <w:bCs/>
          <w:sz w:val="24"/>
          <w:szCs w:val="24"/>
          <w:lang w:eastAsia="es-MX"/>
        </w:rPr>
      </w:pPr>
    </w:p>
    <w:p w14:paraId="35F962B1" w14:textId="77777777" w:rsidR="003625FE" w:rsidRPr="00BE4079" w:rsidRDefault="003625FE" w:rsidP="00BE4079">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 xml:space="preserve">Lo primero es que los resultados sean realmente viables, es decir, que realmente a través de dichas acciones se consigan los resultados pretendidos y segundo, que los resultados producidos no sean contraproducentes o que no generen mayor desigualdad e injusticia que la que se pretende eliminar. </w:t>
      </w:r>
    </w:p>
    <w:p w14:paraId="3B4BFF76" w14:textId="77777777" w:rsidR="003625FE" w:rsidRPr="00BE4079" w:rsidRDefault="003625FE" w:rsidP="00BE4079">
      <w:pPr>
        <w:spacing w:after="0" w:line="240" w:lineRule="auto"/>
        <w:jc w:val="both"/>
        <w:rPr>
          <w:rFonts w:ascii="Arial" w:eastAsia="Times New Roman" w:hAnsi="Arial" w:cs="Arial"/>
          <w:bCs/>
          <w:sz w:val="24"/>
          <w:szCs w:val="24"/>
          <w:lang w:eastAsia="es-MX"/>
        </w:rPr>
      </w:pPr>
    </w:p>
    <w:p w14:paraId="6D941F91" w14:textId="77777777" w:rsidR="003625FE" w:rsidRPr="00BE4079" w:rsidRDefault="003625FE" w:rsidP="00BE4079">
      <w:pPr>
        <w:spacing w:after="0" w:line="240" w:lineRule="auto"/>
        <w:jc w:val="both"/>
        <w:rPr>
          <w:rFonts w:ascii="Arial" w:eastAsia="Times New Roman" w:hAnsi="Arial" w:cs="Arial"/>
          <w:b/>
          <w:bCs/>
          <w:sz w:val="24"/>
          <w:szCs w:val="24"/>
          <w:lang w:eastAsia="es-MX"/>
        </w:rPr>
      </w:pPr>
      <w:r w:rsidRPr="00BE4079">
        <w:rPr>
          <w:rFonts w:ascii="Arial" w:eastAsia="Times New Roman" w:hAnsi="Arial" w:cs="Arial"/>
          <w:b/>
          <w:bCs/>
          <w:sz w:val="24"/>
          <w:szCs w:val="24"/>
          <w:lang w:eastAsia="es-MX"/>
        </w:rPr>
        <w:t>c. El interés apremiante</w:t>
      </w:r>
    </w:p>
    <w:p w14:paraId="668BE560" w14:textId="77777777" w:rsidR="003625FE" w:rsidRPr="00BE4079" w:rsidRDefault="003625FE" w:rsidP="00BE4079">
      <w:pPr>
        <w:spacing w:after="0" w:line="240" w:lineRule="auto"/>
        <w:jc w:val="both"/>
        <w:rPr>
          <w:rFonts w:ascii="Arial" w:eastAsia="Times New Roman" w:hAnsi="Arial" w:cs="Arial"/>
          <w:bCs/>
          <w:sz w:val="24"/>
          <w:szCs w:val="24"/>
          <w:lang w:eastAsia="es-MX"/>
        </w:rPr>
      </w:pPr>
    </w:p>
    <w:p w14:paraId="1FEB7CB4" w14:textId="77777777" w:rsidR="003625FE" w:rsidRPr="00BE4079" w:rsidRDefault="003625FE" w:rsidP="00BE4079">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Por medio de este criterio se establece que toda acción afirmativa debe responder a un interés realmente importante para la colectividad, que se genere a partir de una seria injusticia que resulte detestable para la gran mayoría de los miembros de la sociedad.</w:t>
      </w:r>
    </w:p>
    <w:p w14:paraId="281BBD4A" w14:textId="77777777" w:rsidR="003625FE" w:rsidRPr="00BE4079" w:rsidRDefault="003625FE" w:rsidP="00BE4079">
      <w:pPr>
        <w:spacing w:after="0" w:line="240" w:lineRule="auto"/>
        <w:jc w:val="both"/>
        <w:rPr>
          <w:rFonts w:ascii="Arial" w:eastAsia="Times New Roman" w:hAnsi="Arial" w:cs="Arial"/>
          <w:bCs/>
          <w:sz w:val="24"/>
          <w:szCs w:val="24"/>
          <w:lang w:eastAsia="es-MX"/>
        </w:rPr>
      </w:pPr>
    </w:p>
    <w:p w14:paraId="4B3986B1" w14:textId="77777777" w:rsidR="003625FE" w:rsidRPr="00BE4079" w:rsidRDefault="003625FE" w:rsidP="00BE4079">
      <w:pPr>
        <w:spacing w:after="0" w:line="240" w:lineRule="auto"/>
        <w:jc w:val="both"/>
        <w:rPr>
          <w:rFonts w:ascii="Arial" w:eastAsia="Times New Roman" w:hAnsi="Arial" w:cs="Arial"/>
          <w:b/>
          <w:bCs/>
          <w:i/>
          <w:sz w:val="24"/>
          <w:szCs w:val="24"/>
          <w:lang w:eastAsia="es-MX"/>
        </w:rPr>
      </w:pPr>
      <w:r w:rsidRPr="00BE4079">
        <w:rPr>
          <w:rFonts w:ascii="Arial" w:eastAsia="Times New Roman" w:hAnsi="Arial" w:cs="Arial"/>
          <w:b/>
          <w:bCs/>
          <w:i/>
          <w:sz w:val="24"/>
          <w:szCs w:val="24"/>
          <w:lang w:eastAsia="es-MX"/>
        </w:rPr>
        <w:t>d) El reconocimiento de las acciones afirmativas</w:t>
      </w:r>
    </w:p>
    <w:p w14:paraId="78F100B9" w14:textId="77777777" w:rsidR="003625FE" w:rsidRPr="00BE4079" w:rsidRDefault="003625FE" w:rsidP="00BE4079">
      <w:pPr>
        <w:spacing w:after="0" w:line="240" w:lineRule="auto"/>
        <w:jc w:val="both"/>
        <w:rPr>
          <w:rFonts w:ascii="Arial" w:eastAsia="Times New Roman" w:hAnsi="Arial" w:cs="Arial"/>
          <w:bCs/>
          <w:sz w:val="24"/>
          <w:szCs w:val="24"/>
          <w:lang w:eastAsia="es-MX"/>
        </w:rPr>
      </w:pPr>
    </w:p>
    <w:p w14:paraId="50B5C3E6" w14:textId="77777777" w:rsidR="003625FE" w:rsidRPr="00BE4079" w:rsidRDefault="003625FE" w:rsidP="00BE4079">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La Convención sobre la Eliminación de Todas las Formas de Discriminación contra la Mujer (</w:t>
      </w:r>
      <w:r w:rsidRPr="00BE4079">
        <w:rPr>
          <w:rFonts w:ascii="Arial" w:eastAsia="Times New Roman" w:hAnsi="Arial" w:cs="Arial"/>
          <w:bCs/>
          <w:i/>
          <w:sz w:val="24"/>
          <w:szCs w:val="24"/>
          <w:lang w:eastAsia="es-MX"/>
        </w:rPr>
        <w:t>CEDAW por sus siglas en inglés</w:t>
      </w:r>
      <w:r w:rsidRPr="00BE4079">
        <w:rPr>
          <w:rFonts w:ascii="Arial" w:eastAsia="Times New Roman" w:hAnsi="Arial" w:cs="Arial"/>
          <w:bCs/>
          <w:sz w:val="24"/>
          <w:szCs w:val="24"/>
          <w:lang w:eastAsia="es-MX"/>
        </w:rPr>
        <w:t>), misma que entró en vigor (tanto en el ámbito internacional) como para el Estado mexicano, el tres de septiembre de mil novecientos ochenta, previa su ratificación el veintitrés de marzo previo y su promulgación en el Diario Oficial el doce de mayo del mismo año, establece en lo conducente, lo siguiente:</w:t>
      </w:r>
    </w:p>
    <w:p w14:paraId="682930C9" w14:textId="77777777" w:rsidR="003625FE" w:rsidRPr="00BD12BA" w:rsidRDefault="003625FE" w:rsidP="003625FE">
      <w:pPr>
        <w:spacing w:after="0" w:line="360" w:lineRule="auto"/>
        <w:jc w:val="both"/>
        <w:rPr>
          <w:rFonts w:ascii="Arial" w:eastAsia="Times New Roman" w:hAnsi="Arial" w:cs="Arial"/>
          <w:bCs/>
          <w:sz w:val="28"/>
          <w:szCs w:val="28"/>
          <w:lang w:eastAsia="es-MX"/>
        </w:rPr>
      </w:pPr>
    </w:p>
    <w:p w14:paraId="0F416DE2" w14:textId="77777777" w:rsidR="003625FE" w:rsidRPr="00E66FDD" w:rsidRDefault="003625FE" w:rsidP="003625FE">
      <w:pPr>
        <w:spacing w:after="0" w:line="240" w:lineRule="auto"/>
        <w:ind w:left="567" w:right="567"/>
        <w:jc w:val="both"/>
        <w:rPr>
          <w:rFonts w:ascii="Arial" w:eastAsia="Times New Roman" w:hAnsi="Arial" w:cs="Arial"/>
          <w:b/>
          <w:bCs/>
          <w:sz w:val="20"/>
          <w:szCs w:val="20"/>
          <w:lang w:eastAsia="es-MX"/>
        </w:rPr>
      </w:pPr>
      <w:r w:rsidRPr="00E66FDD">
        <w:rPr>
          <w:rFonts w:ascii="Arial" w:eastAsia="Times New Roman" w:hAnsi="Arial" w:cs="Arial"/>
          <w:b/>
          <w:bCs/>
          <w:sz w:val="20"/>
          <w:szCs w:val="20"/>
          <w:lang w:eastAsia="es-MX"/>
        </w:rPr>
        <w:t>Artículo 1</w:t>
      </w:r>
    </w:p>
    <w:p w14:paraId="5C2128ED" w14:textId="77777777" w:rsidR="003625FE" w:rsidRPr="00E66FDD" w:rsidRDefault="003625FE" w:rsidP="003625FE">
      <w:pPr>
        <w:spacing w:after="0" w:line="240" w:lineRule="auto"/>
        <w:ind w:left="567" w:right="567"/>
        <w:jc w:val="both"/>
        <w:rPr>
          <w:rFonts w:ascii="Arial" w:eastAsia="Times New Roman" w:hAnsi="Arial" w:cs="Arial"/>
          <w:bCs/>
          <w:sz w:val="20"/>
          <w:szCs w:val="20"/>
          <w:lang w:eastAsia="es-MX"/>
        </w:rPr>
      </w:pPr>
    </w:p>
    <w:p w14:paraId="7F2C0447" w14:textId="77777777" w:rsidR="003625FE" w:rsidRPr="00E66FDD" w:rsidRDefault="003625FE" w:rsidP="003625FE">
      <w:pPr>
        <w:spacing w:after="0" w:line="240" w:lineRule="auto"/>
        <w:ind w:left="567" w:right="567"/>
        <w:jc w:val="both"/>
        <w:rPr>
          <w:rFonts w:ascii="Arial" w:eastAsia="Times New Roman" w:hAnsi="Arial" w:cs="Arial"/>
          <w:bCs/>
          <w:sz w:val="20"/>
          <w:szCs w:val="20"/>
          <w:lang w:eastAsia="es-MX"/>
        </w:rPr>
      </w:pPr>
      <w:r w:rsidRPr="00E66FDD">
        <w:rPr>
          <w:rFonts w:ascii="Arial" w:eastAsia="Times New Roman" w:hAnsi="Arial" w:cs="Arial"/>
          <w:bCs/>
          <w:sz w:val="20"/>
          <w:szCs w:val="20"/>
          <w:lang w:eastAsia="es-MX"/>
        </w:rPr>
        <w:t>A los efectos de la presente Convención, la expresión “</w:t>
      </w:r>
      <w:r w:rsidRPr="00E66FDD">
        <w:rPr>
          <w:rFonts w:ascii="Arial" w:eastAsia="Times New Roman" w:hAnsi="Arial" w:cs="Arial"/>
          <w:bCs/>
          <w:i/>
          <w:sz w:val="20"/>
          <w:szCs w:val="20"/>
          <w:lang w:eastAsia="es-MX"/>
        </w:rPr>
        <w:t>discriminación contra la mujer</w:t>
      </w:r>
      <w:r w:rsidRPr="00E66FDD">
        <w:rPr>
          <w:rFonts w:ascii="Arial" w:eastAsia="Times New Roman" w:hAnsi="Arial" w:cs="Arial"/>
          <w:bCs/>
          <w:sz w:val="20"/>
          <w:szCs w:val="20"/>
          <w:lang w:eastAsia="es-MX"/>
        </w:rPr>
        <w:t>” denotará toda distinción exclusión o restricción basada en el sexo que tenga por objeto o por resultado menoscabar o anular el reconocimiento, goce o ejercicio por la mujer, independientemente de su estado civil, sobre la base de la igualdad del hombre y la mujer, de los derechos humanos y las libertades fundamentales en las esferas política, económica, social, cultural y civil cualquier otra esfera.</w:t>
      </w:r>
    </w:p>
    <w:p w14:paraId="56AD257B" w14:textId="77777777" w:rsidR="003625FE" w:rsidRPr="00E66FDD" w:rsidRDefault="003625FE" w:rsidP="003625FE">
      <w:pPr>
        <w:spacing w:after="0" w:line="240" w:lineRule="auto"/>
        <w:ind w:left="567" w:right="567"/>
        <w:jc w:val="both"/>
        <w:rPr>
          <w:rFonts w:ascii="Arial" w:eastAsia="Times New Roman" w:hAnsi="Arial" w:cs="Arial"/>
          <w:bCs/>
          <w:sz w:val="20"/>
          <w:szCs w:val="20"/>
          <w:lang w:eastAsia="es-MX"/>
        </w:rPr>
      </w:pPr>
    </w:p>
    <w:p w14:paraId="4B83CC1B" w14:textId="77777777" w:rsidR="003625FE" w:rsidRPr="00E66FDD" w:rsidRDefault="003625FE" w:rsidP="003625FE">
      <w:pPr>
        <w:spacing w:after="0" w:line="240" w:lineRule="auto"/>
        <w:ind w:left="567" w:right="567"/>
        <w:jc w:val="both"/>
        <w:rPr>
          <w:rFonts w:ascii="Arial" w:eastAsia="Times New Roman" w:hAnsi="Arial" w:cs="Arial"/>
          <w:b/>
          <w:bCs/>
          <w:sz w:val="20"/>
          <w:szCs w:val="20"/>
          <w:lang w:eastAsia="es-MX"/>
        </w:rPr>
      </w:pPr>
      <w:r w:rsidRPr="00E66FDD">
        <w:rPr>
          <w:rFonts w:ascii="Arial" w:eastAsia="Times New Roman" w:hAnsi="Arial" w:cs="Arial"/>
          <w:b/>
          <w:bCs/>
          <w:sz w:val="20"/>
          <w:szCs w:val="20"/>
          <w:lang w:eastAsia="es-MX"/>
        </w:rPr>
        <w:lastRenderedPageBreak/>
        <w:t>Artículo 4</w:t>
      </w:r>
    </w:p>
    <w:p w14:paraId="1A39FB48" w14:textId="77777777" w:rsidR="003625FE" w:rsidRPr="00E66FDD" w:rsidRDefault="003625FE" w:rsidP="003625FE">
      <w:pPr>
        <w:spacing w:after="0" w:line="240" w:lineRule="auto"/>
        <w:ind w:left="567" w:right="567"/>
        <w:jc w:val="both"/>
        <w:rPr>
          <w:rFonts w:ascii="Arial" w:eastAsia="Times New Roman" w:hAnsi="Arial" w:cs="Arial"/>
          <w:b/>
          <w:bCs/>
          <w:sz w:val="20"/>
          <w:szCs w:val="20"/>
          <w:lang w:eastAsia="es-MX"/>
        </w:rPr>
      </w:pPr>
    </w:p>
    <w:p w14:paraId="3D69B9F8" w14:textId="77777777" w:rsidR="003625FE" w:rsidRPr="00E66FDD" w:rsidRDefault="003625FE" w:rsidP="003625FE">
      <w:pPr>
        <w:spacing w:after="0" w:line="240" w:lineRule="auto"/>
        <w:ind w:left="567" w:right="567"/>
        <w:jc w:val="both"/>
        <w:rPr>
          <w:rFonts w:ascii="Arial" w:eastAsia="Times New Roman" w:hAnsi="Arial" w:cs="Arial"/>
          <w:bCs/>
          <w:sz w:val="20"/>
          <w:szCs w:val="20"/>
          <w:lang w:eastAsia="es-MX"/>
        </w:rPr>
      </w:pPr>
      <w:r w:rsidRPr="00E66FDD">
        <w:rPr>
          <w:rFonts w:ascii="Arial" w:eastAsia="Times New Roman" w:hAnsi="Arial" w:cs="Arial"/>
          <w:bCs/>
          <w:sz w:val="20"/>
          <w:szCs w:val="20"/>
          <w:lang w:eastAsia="es-MX"/>
        </w:rPr>
        <w:t xml:space="preserve">1. La adopción por los </w:t>
      </w:r>
      <w:proofErr w:type="gramStart"/>
      <w:r w:rsidRPr="00E66FDD">
        <w:rPr>
          <w:rFonts w:ascii="Arial" w:eastAsia="Times New Roman" w:hAnsi="Arial" w:cs="Arial"/>
          <w:bCs/>
          <w:sz w:val="20"/>
          <w:szCs w:val="20"/>
          <w:lang w:eastAsia="es-MX"/>
        </w:rPr>
        <w:t>Estados Partes</w:t>
      </w:r>
      <w:proofErr w:type="gramEnd"/>
      <w:r w:rsidRPr="00E66FDD">
        <w:rPr>
          <w:rFonts w:ascii="Arial" w:eastAsia="Times New Roman" w:hAnsi="Arial" w:cs="Arial"/>
          <w:bCs/>
          <w:sz w:val="20"/>
          <w:szCs w:val="20"/>
          <w:lang w:eastAsia="es-MX"/>
        </w:rPr>
        <w:t xml:space="preserve"> de medidas especiales de carácter temporal encaminadas a acelerar la igualdad de facto entre el hombre y la mujer no se considerará discriminación en la forma definida en la presente Convención, pero de ningún modo entrañara, como consecuencia, el mantenimiento de normas desiguales o separadas; estas medidas cesarán cuando se hayan alcanzado los objetivos de igualdad de oportunidad y trato.</w:t>
      </w:r>
    </w:p>
    <w:p w14:paraId="1C103D82" w14:textId="77777777" w:rsidR="003625FE" w:rsidRPr="00E66FDD" w:rsidRDefault="003625FE" w:rsidP="003625FE">
      <w:pPr>
        <w:spacing w:after="0" w:line="240" w:lineRule="auto"/>
        <w:ind w:left="567" w:right="567"/>
        <w:jc w:val="both"/>
        <w:rPr>
          <w:rFonts w:ascii="Arial" w:eastAsia="Times New Roman" w:hAnsi="Arial" w:cs="Arial"/>
          <w:bCs/>
          <w:sz w:val="20"/>
          <w:szCs w:val="20"/>
          <w:lang w:eastAsia="es-MX"/>
        </w:rPr>
      </w:pPr>
    </w:p>
    <w:p w14:paraId="3614529C" w14:textId="77777777" w:rsidR="003625FE" w:rsidRPr="00E66FDD" w:rsidRDefault="003625FE" w:rsidP="003625FE">
      <w:pPr>
        <w:spacing w:after="0" w:line="240" w:lineRule="auto"/>
        <w:ind w:left="567" w:right="567"/>
        <w:jc w:val="both"/>
        <w:rPr>
          <w:rFonts w:ascii="Arial" w:eastAsia="Times New Roman" w:hAnsi="Arial" w:cs="Arial"/>
          <w:bCs/>
          <w:sz w:val="20"/>
          <w:szCs w:val="20"/>
          <w:lang w:eastAsia="es-MX"/>
        </w:rPr>
      </w:pPr>
      <w:r w:rsidRPr="00E66FDD">
        <w:rPr>
          <w:rFonts w:ascii="Arial" w:eastAsia="Times New Roman" w:hAnsi="Arial" w:cs="Arial"/>
          <w:bCs/>
          <w:sz w:val="20"/>
          <w:szCs w:val="20"/>
          <w:lang w:eastAsia="es-MX"/>
        </w:rPr>
        <w:t>[…]</w:t>
      </w:r>
    </w:p>
    <w:p w14:paraId="44B1EEDB" w14:textId="77777777" w:rsidR="003625FE" w:rsidRPr="00BD12BA" w:rsidRDefault="003625FE" w:rsidP="003625FE">
      <w:pPr>
        <w:spacing w:after="0" w:line="360" w:lineRule="auto"/>
        <w:jc w:val="both"/>
        <w:rPr>
          <w:rFonts w:ascii="Arial" w:eastAsia="Times New Roman" w:hAnsi="Arial" w:cs="Arial"/>
          <w:bCs/>
          <w:sz w:val="28"/>
          <w:szCs w:val="28"/>
          <w:lang w:eastAsia="es-MX"/>
        </w:rPr>
      </w:pPr>
    </w:p>
    <w:p w14:paraId="79252CA2" w14:textId="77777777" w:rsidR="003625FE" w:rsidRPr="008E0BB7" w:rsidRDefault="003625FE" w:rsidP="008E0BB7">
      <w:pPr>
        <w:spacing w:after="0" w:line="240" w:lineRule="auto"/>
        <w:jc w:val="both"/>
        <w:rPr>
          <w:rFonts w:ascii="Arial" w:eastAsia="Times New Roman" w:hAnsi="Arial" w:cs="Arial"/>
          <w:bCs/>
          <w:sz w:val="24"/>
          <w:szCs w:val="24"/>
          <w:lang w:eastAsia="es-MX"/>
        </w:rPr>
      </w:pPr>
      <w:r w:rsidRPr="008E0BB7">
        <w:rPr>
          <w:rFonts w:ascii="Arial" w:eastAsia="Times New Roman" w:hAnsi="Arial" w:cs="Arial"/>
          <w:bCs/>
          <w:sz w:val="24"/>
          <w:szCs w:val="24"/>
          <w:lang w:eastAsia="es-MX"/>
        </w:rPr>
        <w:t xml:space="preserve">Del transcrito artículo 4, párrafo 1, de la CEDAW, se observa que no se considerará “discriminación”, en la forma en que lo define dicho instrumento internacional, la adopción por los </w:t>
      </w:r>
      <w:proofErr w:type="gramStart"/>
      <w:r w:rsidRPr="008E0BB7">
        <w:rPr>
          <w:rFonts w:ascii="Arial" w:eastAsia="Times New Roman" w:hAnsi="Arial" w:cs="Arial"/>
          <w:bCs/>
          <w:sz w:val="24"/>
          <w:szCs w:val="24"/>
          <w:lang w:eastAsia="es-MX"/>
        </w:rPr>
        <w:t>Estados Partes</w:t>
      </w:r>
      <w:proofErr w:type="gramEnd"/>
      <w:r w:rsidRPr="008E0BB7">
        <w:rPr>
          <w:rFonts w:ascii="Arial" w:eastAsia="Times New Roman" w:hAnsi="Arial" w:cs="Arial"/>
          <w:bCs/>
          <w:sz w:val="24"/>
          <w:szCs w:val="24"/>
          <w:lang w:eastAsia="es-MX"/>
        </w:rPr>
        <w:t xml:space="preserve"> de medidas especiales de carácter temporal encaminadas a acelerar la igualdad de facto entre el hombre y la mujer, lo cual no entrañará el mantenimiento de normas desiguales o separadas; y que estas medidas cesarán cuando se hayan alcanzado los objetivos de igualdad de oportunidad y trato.</w:t>
      </w:r>
    </w:p>
    <w:p w14:paraId="222E4454" w14:textId="77777777" w:rsidR="003625FE" w:rsidRPr="008E0BB7" w:rsidRDefault="003625FE" w:rsidP="008E0BB7">
      <w:pPr>
        <w:spacing w:after="0" w:line="240" w:lineRule="auto"/>
        <w:jc w:val="both"/>
        <w:rPr>
          <w:rFonts w:ascii="Arial" w:eastAsia="Times New Roman" w:hAnsi="Arial" w:cs="Arial"/>
          <w:bCs/>
          <w:sz w:val="24"/>
          <w:szCs w:val="24"/>
          <w:lang w:eastAsia="es-MX"/>
        </w:rPr>
      </w:pPr>
    </w:p>
    <w:p w14:paraId="64001F8F" w14:textId="77777777" w:rsidR="003625FE" w:rsidRPr="008E0BB7" w:rsidRDefault="003625FE" w:rsidP="008E0BB7">
      <w:pPr>
        <w:spacing w:after="0" w:line="240" w:lineRule="auto"/>
        <w:jc w:val="both"/>
        <w:rPr>
          <w:rFonts w:ascii="Arial" w:eastAsia="Times New Roman" w:hAnsi="Arial" w:cs="Arial"/>
          <w:bCs/>
          <w:sz w:val="24"/>
          <w:szCs w:val="24"/>
          <w:lang w:eastAsia="es-MX"/>
        </w:rPr>
      </w:pPr>
      <w:r w:rsidRPr="008E0BB7">
        <w:rPr>
          <w:rFonts w:ascii="Arial" w:eastAsia="Times New Roman" w:hAnsi="Arial" w:cs="Arial"/>
          <w:bCs/>
          <w:sz w:val="24"/>
          <w:szCs w:val="24"/>
          <w:lang w:eastAsia="es-MX"/>
        </w:rPr>
        <w:t>Por otro lado, la Ley Federal para Prevenir y Eliminar la Discriminación, promulgada mediante Decreto publicado en el Diario Oficial de la Federación el once de junio de dos mil tres, en la parte conducente, establece:</w:t>
      </w:r>
    </w:p>
    <w:p w14:paraId="73C79101" w14:textId="77777777" w:rsidR="003625FE" w:rsidRPr="008E0BB7" w:rsidRDefault="003625FE" w:rsidP="008E0BB7">
      <w:pPr>
        <w:spacing w:after="0" w:line="240" w:lineRule="auto"/>
        <w:jc w:val="both"/>
        <w:rPr>
          <w:rFonts w:ascii="Arial" w:eastAsia="Times New Roman" w:hAnsi="Arial" w:cs="Arial"/>
          <w:bCs/>
          <w:sz w:val="24"/>
          <w:szCs w:val="24"/>
          <w:lang w:eastAsia="es-MX"/>
        </w:rPr>
      </w:pPr>
    </w:p>
    <w:p w14:paraId="4A12CE52" w14:textId="77777777" w:rsidR="003625FE" w:rsidRPr="008E0BB7" w:rsidRDefault="003625FE" w:rsidP="003625FE">
      <w:pPr>
        <w:spacing w:after="0" w:line="240" w:lineRule="auto"/>
        <w:ind w:left="567" w:right="567"/>
        <w:jc w:val="both"/>
        <w:rPr>
          <w:rFonts w:ascii="Arial" w:eastAsia="Times New Roman" w:hAnsi="Arial" w:cs="Arial"/>
          <w:bCs/>
          <w:sz w:val="20"/>
          <w:szCs w:val="20"/>
          <w:lang w:eastAsia="es-MX"/>
        </w:rPr>
      </w:pPr>
      <w:r w:rsidRPr="008E0BB7">
        <w:rPr>
          <w:rFonts w:ascii="Arial" w:eastAsia="Times New Roman" w:hAnsi="Arial" w:cs="Arial"/>
          <w:b/>
          <w:bCs/>
          <w:sz w:val="20"/>
          <w:szCs w:val="20"/>
          <w:lang w:eastAsia="es-MX"/>
        </w:rPr>
        <w:t>Artículo 1.-</w:t>
      </w:r>
      <w:r w:rsidRPr="008E0BB7">
        <w:rPr>
          <w:rFonts w:ascii="Arial" w:eastAsia="Times New Roman" w:hAnsi="Arial" w:cs="Arial"/>
          <w:bCs/>
          <w:sz w:val="20"/>
          <w:szCs w:val="20"/>
          <w:lang w:eastAsia="es-MX"/>
        </w:rPr>
        <w:t xml:space="preserve"> Las disposiciones de esta Ley son de orden público y de interés social. El objeto de </w:t>
      </w:r>
      <w:proofErr w:type="gramStart"/>
      <w:r w:rsidRPr="008E0BB7">
        <w:rPr>
          <w:rFonts w:ascii="Arial" w:eastAsia="Times New Roman" w:hAnsi="Arial" w:cs="Arial"/>
          <w:bCs/>
          <w:sz w:val="20"/>
          <w:szCs w:val="20"/>
          <w:lang w:eastAsia="es-MX"/>
        </w:rPr>
        <w:t>la misma</w:t>
      </w:r>
      <w:proofErr w:type="gramEnd"/>
      <w:r w:rsidRPr="008E0BB7">
        <w:rPr>
          <w:rFonts w:ascii="Arial" w:eastAsia="Times New Roman" w:hAnsi="Arial" w:cs="Arial"/>
          <w:bCs/>
          <w:sz w:val="20"/>
          <w:szCs w:val="20"/>
          <w:lang w:eastAsia="es-MX"/>
        </w:rPr>
        <w:t xml:space="preserve"> es prevenir y eliminar todas las formas de discriminación que se ejerzan contra cualquier persona en los términos del Artículo 1 de la Constitución Política de los Estados Unidos Mexicanos, así como promover la igualdad de oportunidades y de trato.</w:t>
      </w:r>
    </w:p>
    <w:p w14:paraId="4E81FC7A" w14:textId="77777777" w:rsidR="003625FE" w:rsidRPr="008E0BB7" w:rsidRDefault="003625FE" w:rsidP="003625FE">
      <w:pPr>
        <w:spacing w:after="0" w:line="240" w:lineRule="auto"/>
        <w:ind w:left="567" w:right="567"/>
        <w:jc w:val="both"/>
        <w:rPr>
          <w:rFonts w:ascii="Arial" w:eastAsia="Times New Roman" w:hAnsi="Arial" w:cs="Arial"/>
          <w:b/>
          <w:bCs/>
          <w:sz w:val="20"/>
          <w:szCs w:val="20"/>
          <w:lang w:eastAsia="es-MX"/>
        </w:rPr>
      </w:pPr>
    </w:p>
    <w:p w14:paraId="6BBFA23E" w14:textId="77777777" w:rsidR="003625FE" w:rsidRPr="008E0BB7" w:rsidRDefault="003625FE" w:rsidP="003625FE">
      <w:pPr>
        <w:spacing w:after="0" w:line="240" w:lineRule="auto"/>
        <w:ind w:left="567" w:right="567"/>
        <w:jc w:val="both"/>
        <w:rPr>
          <w:rFonts w:ascii="Arial" w:eastAsia="Times New Roman" w:hAnsi="Arial" w:cs="Arial"/>
          <w:bCs/>
          <w:sz w:val="20"/>
          <w:szCs w:val="20"/>
          <w:lang w:eastAsia="es-MX"/>
        </w:rPr>
      </w:pPr>
      <w:r w:rsidRPr="008E0BB7">
        <w:rPr>
          <w:rFonts w:ascii="Arial" w:eastAsia="Times New Roman" w:hAnsi="Arial" w:cs="Arial"/>
          <w:b/>
          <w:bCs/>
          <w:sz w:val="20"/>
          <w:szCs w:val="20"/>
          <w:lang w:eastAsia="es-MX"/>
        </w:rPr>
        <w:t>Artículo 2.-</w:t>
      </w:r>
      <w:r w:rsidRPr="008E0BB7">
        <w:rPr>
          <w:rFonts w:ascii="Arial" w:eastAsia="Times New Roman" w:hAnsi="Arial" w:cs="Arial"/>
          <w:bCs/>
          <w:sz w:val="20"/>
          <w:szCs w:val="20"/>
          <w:lang w:eastAsia="es-MX"/>
        </w:rPr>
        <w:t xml:space="preserve"> Corresponde al Estado promover las condiciones para que la libertad y la igualdad de las personas sean reales y efectivas. Los poderes públicos federales deberán eliminar aquellos obstáculos que limiten en los hechos su ejercicio e impidan el pleno desarrollo de las </w:t>
      </w:r>
      <w:proofErr w:type="gramStart"/>
      <w:r w:rsidRPr="008E0BB7">
        <w:rPr>
          <w:rFonts w:ascii="Arial" w:eastAsia="Times New Roman" w:hAnsi="Arial" w:cs="Arial"/>
          <w:bCs/>
          <w:sz w:val="20"/>
          <w:szCs w:val="20"/>
          <w:lang w:eastAsia="es-MX"/>
        </w:rPr>
        <w:t>personas</w:t>
      </w:r>
      <w:proofErr w:type="gramEnd"/>
      <w:r w:rsidRPr="008E0BB7">
        <w:rPr>
          <w:rFonts w:ascii="Arial" w:eastAsia="Times New Roman" w:hAnsi="Arial" w:cs="Arial"/>
          <w:bCs/>
          <w:sz w:val="20"/>
          <w:szCs w:val="20"/>
          <w:lang w:eastAsia="es-MX"/>
        </w:rPr>
        <w:t xml:space="preserve"> así como su efectiva participación en la vida política, económica, cultural y social del país y promoverán la participación de las autoridades de los demás órdenes de Gobierno y de los particulares en la eliminación de dichos obstáculos.</w:t>
      </w:r>
    </w:p>
    <w:p w14:paraId="31C02121" w14:textId="77777777" w:rsidR="003625FE" w:rsidRPr="008E0BB7" w:rsidRDefault="003625FE" w:rsidP="003625FE">
      <w:pPr>
        <w:spacing w:after="0" w:line="240" w:lineRule="auto"/>
        <w:ind w:left="567" w:right="567"/>
        <w:jc w:val="both"/>
        <w:rPr>
          <w:rFonts w:ascii="Arial" w:eastAsia="Times New Roman" w:hAnsi="Arial" w:cs="Arial"/>
          <w:b/>
          <w:bCs/>
          <w:sz w:val="20"/>
          <w:szCs w:val="20"/>
          <w:lang w:eastAsia="es-MX"/>
        </w:rPr>
      </w:pPr>
    </w:p>
    <w:p w14:paraId="32C3CB87" w14:textId="77777777" w:rsidR="003625FE" w:rsidRPr="008E0BB7" w:rsidRDefault="003625FE" w:rsidP="003625FE">
      <w:pPr>
        <w:spacing w:after="0" w:line="240" w:lineRule="auto"/>
        <w:ind w:left="567" w:right="567"/>
        <w:jc w:val="both"/>
        <w:rPr>
          <w:rFonts w:ascii="Arial" w:eastAsia="Times New Roman" w:hAnsi="Arial" w:cs="Arial"/>
          <w:bCs/>
          <w:sz w:val="20"/>
          <w:szCs w:val="20"/>
          <w:lang w:eastAsia="es-MX"/>
        </w:rPr>
      </w:pPr>
      <w:r w:rsidRPr="008E0BB7">
        <w:rPr>
          <w:rFonts w:ascii="Arial" w:eastAsia="Times New Roman" w:hAnsi="Arial" w:cs="Arial"/>
          <w:b/>
          <w:bCs/>
          <w:sz w:val="20"/>
          <w:szCs w:val="20"/>
          <w:lang w:eastAsia="es-MX"/>
        </w:rPr>
        <w:t>Artículo 4.-</w:t>
      </w:r>
      <w:r w:rsidRPr="008E0BB7">
        <w:rPr>
          <w:rFonts w:ascii="Arial" w:eastAsia="Times New Roman" w:hAnsi="Arial" w:cs="Arial"/>
          <w:bCs/>
          <w:sz w:val="20"/>
          <w:szCs w:val="20"/>
          <w:lang w:eastAsia="es-MX"/>
        </w:rPr>
        <w:t xml:space="preserve"> Para los efectos de esta Ley se entenderá por discriminación toda distinción, exclusión o restricción que, basada en el origen étnico o nacional, sexo, edad, talla pequeña, discapacidad, condición social o económica, condiciones de salud, embarazo, lengua, religión, opiniones, preferencias sexuales, estado civil o cualquier otra, tenga por efecto impedir o anular el reconocimiento o el ejercicio de los derechos y la igualdad real de oportunidades de las personas (</w:t>
      </w:r>
      <w:r w:rsidRPr="008E0BB7">
        <w:rPr>
          <w:rFonts w:ascii="Arial" w:eastAsia="Times New Roman" w:hAnsi="Arial" w:cs="Arial"/>
          <w:bCs/>
          <w:i/>
          <w:sz w:val="20"/>
          <w:szCs w:val="20"/>
          <w:lang w:eastAsia="es-MX"/>
        </w:rPr>
        <w:t>Párrafo reformado DOF 12-06-2013</w:t>
      </w:r>
      <w:r w:rsidRPr="008E0BB7">
        <w:rPr>
          <w:rFonts w:ascii="Arial" w:eastAsia="Times New Roman" w:hAnsi="Arial" w:cs="Arial"/>
          <w:bCs/>
          <w:sz w:val="20"/>
          <w:szCs w:val="20"/>
          <w:lang w:eastAsia="es-MX"/>
        </w:rPr>
        <w:t>).</w:t>
      </w:r>
    </w:p>
    <w:p w14:paraId="1C63BA09" w14:textId="77777777" w:rsidR="003625FE" w:rsidRPr="008E0BB7" w:rsidRDefault="003625FE" w:rsidP="003625FE">
      <w:pPr>
        <w:spacing w:after="0" w:line="240" w:lineRule="auto"/>
        <w:ind w:left="567" w:right="567"/>
        <w:jc w:val="both"/>
        <w:rPr>
          <w:rFonts w:ascii="Arial" w:eastAsia="Times New Roman" w:hAnsi="Arial" w:cs="Arial"/>
          <w:b/>
          <w:bCs/>
          <w:sz w:val="20"/>
          <w:szCs w:val="20"/>
          <w:lang w:eastAsia="es-MX"/>
        </w:rPr>
      </w:pPr>
    </w:p>
    <w:p w14:paraId="38E4A364" w14:textId="77777777" w:rsidR="003625FE" w:rsidRPr="008E0BB7" w:rsidRDefault="003625FE" w:rsidP="003625FE">
      <w:pPr>
        <w:spacing w:after="0" w:line="240" w:lineRule="auto"/>
        <w:ind w:left="567" w:right="567"/>
        <w:jc w:val="both"/>
        <w:rPr>
          <w:rFonts w:ascii="Arial" w:eastAsia="Times New Roman" w:hAnsi="Arial" w:cs="Arial"/>
          <w:bCs/>
          <w:sz w:val="20"/>
          <w:szCs w:val="20"/>
          <w:lang w:eastAsia="es-MX"/>
        </w:rPr>
      </w:pPr>
      <w:r w:rsidRPr="008E0BB7">
        <w:rPr>
          <w:rFonts w:ascii="Arial" w:eastAsia="Times New Roman" w:hAnsi="Arial" w:cs="Arial"/>
          <w:b/>
          <w:bCs/>
          <w:sz w:val="20"/>
          <w:szCs w:val="20"/>
          <w:lang w:eastAsia="es-MX"/>
        </w:rPr>
        <w:t>Artículo 5.-</w:t>
      </w:r>
      <w:r w:rsidRPr="008E0BB7">
        <w:rPr>
          <w:rFonts w:ascii="Arial" w:eastAsia="Times New Roman" w:hAnsi="Arial" w:cs="Arial"/>
          <w:bCs/>
          <w:sz w:val="20"/>
          <w:szCs w:val="20"/>
          <w:lang w:eastAsia="es-MX"/>
        </w:rPr>
        <w:t xml:space="preserve"> No se considerarán conductas discriminatorias las siguientes:</w:t>
      </w:r>
    </w:p>
    <w:p w14:paraId="365D0F0B" w14:textId="77777777" w:rsidR="003625FE" w:rsidRPr="008E0BB7" w:rsidRDefault="003625FE" w:rsidP="003625FE">
      <w:pPr>
        <w:spacing w:after="0" w:line="240" w:lineRule="auto"/>
        <w:ind w:left="567" w:right="567"/>
        <w:jc w:val="both"/>
        <w:rPr>
          <w:rFonts w:ascii="Arial" w:eastAsia="Times New Roman" w:hAnsi="Arial" w:cs="Arial"/>
          <w:bCs/>
          <w:sz w:val="20"/>
          <w:szCs w:val="20"/>
          <w:lang w:eastAsia="es-MX"/>
        </w:rPr>
      </w:pPr>
    </w:p>
    <w:p w14:paraId="2B16D910" w14:textId="77777777" w:rsidR="003625FE" w:rsidRPr="008E0BB7" w:rsidRDefault="003625FE" w:rsidP="003625FE">
      <w:pPr>
        <w:spacing w:after="0" w:line="240" w:lineRule="auto"/>
        <w:ind w:left="567" w:right="567"/>
        <w:jc w:val="both"/>
        <w:rPr>
          <w:rFonts w:ascii="Arial" w:eastAsia="Times New Roman" w:hAnsi="Arial" w:cs="Arial"/>
          <w:bCs/>
          <w:sz w:val="20"/>
          <w:szCs w:val="20"/>
          <w:lang w:eastAsia="es-MX"/>
        </w:rPr>
      </w:pPr>
      <w:r w:rsidRPr="008E0BB7">
        <w:rPr>
          <w:rFonts w:ascii="Arial" w:eastAsia="Times New Roman" w:hAnsi="Arial" w:cs="Arial"/>
          <w:bCs/>
          <w:sz w:val="20"/>
          <w:szCs w:val="20"/>
          <w:lang w:eastAsia="es-MX"/>
        </w:rPr>
        <w:t>I. Las acciones legislativas, educativas o de políticas públicas positivas o compensatorias que sin afectar derechos de terceros establezcan tratos diferenciados con el objeto de promover la igualdad real de oportunidades;</w:t>
      </w:r>
    </w:p>
    <w:p w14:paraId="2691F9E7" w14:textId="77777777" w:rsidR="003625FE" w:rsidRPr="008E0BB7" w:rsidRDefault="003625FE" w:rsidP="003625FE">
      <w:pPr>
        <w:spacing w:after="0" w:line="240" w:lineRule="auto"/>
        <w:ind w:left="567" w:right="567"/>
        <w:jc w:val="both"/>
        <w:rPr>
          <w:rFonts w:ascii="Arial" w:eastAsia="Times New Roman" w:hAnsi="Arial" w:cs="Arial"/>
          <w:bCs/>
          <w:sz w:val="20"/>
          <w:szCs w:val="20"/>
          <w:lang w:eastAsia="es-MX"/>
        </w:rPr>
      </w:pPr>
    </w:p>
    <w:p w14:paraId="492CEA82" w14:textId="77777777" w:rsidR="003625FE" w:rsidRPr="008E0BB7" w:rsidRDefault="003625FE" w:rsidP="003625FE">
      <w:pPr>
        <w:spacing w:after="0" w:line="240" w:lineRule="auto"/>
        <w:ind w:left="567" w:right="567"/>
        <w:jc w:val="both"/>
        <w:rPr>
          <w:rFonts w:ascii="Arial" w:eastAsia="Times New Roman" w:hAnsi="Arial" w:cs="Arial"/>
          <w:bCs/>
          <w:sz w:val="20"/>
          <w:szCs w:val="20"/>
          <w:lang w:eastAsia="es-MX"/>
        </w:rPr>
      </w:pPr>
      <w:r w:rsidRPr="008E0BB7">
        <w:rPr>
          <w:rFonts w:ascii="Arial" w:eastAsia="Times New Roman" w:hAnsi="Arial" w:cs="Arial"/>
          <w:bCs/>
          <w:sz w:val="20"/>
          <w:szCs w:val="20"/>
          <w:lang w:eastAsia="es-MX"/>
        </w:rPr>
        <w:t xml:space="preserve"> […]</w:t>
      </w:r>
    </w:p>
    <w:p w14:paraId="5B2D6407" w14:textId="77777777" w:rsidR="003625FE" w:rsidRPr="00BD12BA" w:rsidRDefault="003625FE" w:rsidP="003625FE">
      <w:pPr>
        <w:spacing w:after="0" w:line="360" w:lineRule="auto"/>
        <w:jc w:val="both"/>
        <w:rPr>
          <w:rFonts w:ascii="Arial" w:eastAsia="Times New Roman" w:hAnsi="Arial" w:cs="Arial"/>
          <w:bCs/>
          <w:sz w:val="28"/>
          <w:szCs w:val="28"/>
          <w:lang w:eastAsia="es-MX"/>
        </w:rPr>
      </w:pPr>
    </w:p>
    <w:p w14:paraId="77634279" w14:textId="77777777" w:rsidR="003625FE" w:rsidRPr="008E0BB7" w:rsidRDefault="003625FE" w:rsidP="008E0BB7">
      <w:pPr>
        <w:spacing w:after="0" w:line="240" w:lineRule="auto"/>
        <w:jc w:val="both"/>
        <w:rPr>
          <w:rFonts w:ascii="Arial" w:eastAsia="Times New Roman" w:hAnsi="Arial" w:cs="Arial"/>
          <w:bCs/>
          <w:sz w:val="24"/>
          <w:szCs w:val="24"/>
          <w:lang w:eastAsia="es-MX"/>
        </w:rPr>
      </w:pPr>
      <w:r w:rsidRPr="008E0BB7">
        <w:rPr>
          <w:rFonts w:ascii="Arial" w:eastAsia="Times New Roman" w:hAnsi="Arial" w:cs="Arial"/>
          <w:bCs/>
          <w:sz w:val="24"/>
          <w:szCs w:val="24"/>
          <w:lang w:eastAsia="es-MX"/>
        </w:rPr>
        <w:t xml:space="preserve">Como se advierte, en el orden jurídico mexicano existen normas de orden público y de interés general que disponen que corresponde al Estado promover las condiciones para que la libertad y la igualdad de las personas sean reales y efectivas; que se entenderá por discriminación toda distinción, exclusión o restricción que basada entre otras cuestiones, en el sexo, tenga por efecto impedir o anular el reconocimiento o el ejercicio de los derechos y la igualdad real de oportunidades de las personas; sin embargo, que no se considerará como conducta discriminatoria las acciones que, sin afectar derechos de terceros, establezcan </w:t>
      </w:r>
      <w:r w:rsidRPr="008E0BB7">
        <w:rPr>
          <w:rFonts w:ascii="Arial" w:eastAsia="Times New Roman" w:hAnsi="Arial" w:cs="Arial"/>
          <w:b/>
          <w:bCs/>
          <w:sz w:val="24"/>
          <w:szCs w:val="24"/>
          <w:lang w:eastAsia="es-MX"/>
        </w:rPr>
        <w:t>tratos diferenciados</w:t>
      </w:r>
      <w:r w:rsidRPr="008E0BB7">
        <w:rPr>
          <w:rFonts w:ascii="Arial" w:eastAsia="Times New Roman" w:hAnsi="Arial" w:cs="Arial"/>
          <w:bCs/>
          <w:sz w:val="24"/>
          <w:szCs w:val="24"/>
          <w:lang w:eastAsia="es-MX"/>
        </w:rPr>
        <w:t xml:space="preserve"> con el objeto de promover la igualdad real de oportunidades.</w:t>
      </w:r>
    </w:p>
    <w:p w14:paraId="35FA054F" w14:textId="77777777" w:rsidR="003625FE" w:rsidRPr="008E0BB7" w:rsidRDefault="003625FE" w:rsidP="008E0BB7">
      <w:pPr>
        <w:spacing w:after="0" w:line="240" w:lineRule="auto"/>
        <w:jc w:val="both"/>
        <w:rPr>
          <w:rFonts w:ascii="Arial" w:eastAsia="Times New Roman" w:hAnsi="Arial" w:cs="Arial"/>
          <w:bCs/>
          <w:sz w:val="24"/>
          <w:szCs w:val="24"/>
          <w:lang w:eastAsia="es-MX"/>
        </w:rPr>
      </w:pPr>
    </w:p>
    <w:p w14:paraId="53AA6A29" w14:textId="77777777" w:rsidR="003625FE" w:rsidRPr="008E0BB7" w:rsidRDefault="003625FE" w:rsidP="008E0BB7">
      <w:pPr>
        <w:spacing w:after="0" w:line="240" w:lineRule="auto"/>
        <w:jc w:val="both"/>
        <w:rPr>
          <w:rFonts w:ascii="Arial" w:eastAsia="Times New Roman" w:hAnsi="Arial" w:cs="Arial"/>
          <w:bCs/>
          <w:sz w:val="24"/>
          <w:szCs w:val="24"/>
          <w:lang w:eastAsia="es-MX"/>
        </w:rPr>
      </w:pPr>
      <w:r w:rsidRPr="008E0BB7">
        <w:rPr>
          <w:rFonts w:ascii="Arial" w:eastAsia="Times New Roman" w:hAnsi="Arial" w:cs="Arial"/>
          <w:bCs/>
          <w:sz w:val="24"/>
          <w:szCs w:val="24"/>
          <w:lang w:eastAsia="es-MX"/>
        </w:rPr>
        <w:t>En concordancia con lo anterior, cabe señalar que la Ley General para la Igualdad entre Mujeres y Hombres, promulgada mediante Decreto publicado en el Diario Oficial de la Federación el dos de agosto de dos mil seis, dispone lo siguiente:</w:t>
      </w:r>
    </w:p>
    <w:p w14:paraId="4BB78527" w14:textId="77777777" w:rsidR="003625FE" w:rsidRPr="00BD12BA" w:rsidRDefault="003625FE" w:rsidP="003625FE">
      <w:pPr>
        <w:spacing w:after="0" w:line="240" w:lineRule="auto"/>
        <w:ind w:left="567" w:right="567"/>
        <w:jc w:val="both"/>
        <w:rPr>
          <w:rFonts w:ascii="Arial" w:eastAsia="Times New Roman" w:hAnsi="Arial" w:cs="Arial"/>
          <w:bCs/>
          <w:sz w:val="28"/>
          <w:szCs w:val="28"/>
          <w:lang w:eastAsia="es-MX"/>
        </w:rPr>
      </w:pPr>
    </w:p>
    <w:p w14:paraId="5A7C1656" w14:textId="77777777" w:rsidR="003625FE" w:rsidRPr="008E0BB7" w:rsidRDefault="003625FE" w:rsidP="003625FE">
      <w:pPr>
        <w:spacing w:after="0" w:line="240" w:lineRule="auto"/>
        <w:ind w:left="567" w:right="567"/>
        <w:jc w:val="both"/>
        <w:rPr>
          <w:rFonts w:ascii="Arial" w:eastAsia="Times New Roman" w:hAnsi="Arial" w:cs="Arial"/>
          <w:bCs/>
          <w:sz w:val="20"/>
          <w:szCs w:val="20"/>
          <w:lang w:eastAsia="es-MX"/>
        </w:rPr>
      </w:pPr>
      <w:r w:rsidRPr="008E0BB7">
        <w:rPr>
          <w:rFonts w:ascii="Arial" w:eastAsia="Times New Roman" w:hAnsi="Arial" w:cs="Arial"/>
          <w:b/>
          <w:bCs/>
          <w:sz w:val="20"/>
          <w:szCs w:val="20"/>
          <w:lang w:eastAsia="es-MX"/>
        </w:rPr>
        <w:t>Artículo 1.-</w:t>
      </w:r>
      <w:r w:rsidRPr="008E0BB7">
        <w:rPr>
          <w:rFonts w:ascii="Arial" w:eastAsia="Times New Roman" w:hAnsi="Arial" w:cs="Arial"/>
          <w:bCs/>
          <w:sz w:val="20"/>
          <w:szCs w:val="20"/>
          <w:lang w:eastAsia="es-MX"/>
        </w:rPr>
        <w:t xml:space="preserve"> La presente Ley tiene por objeto regular y garantizar la igualdad entre mujeres y hombres y proponer los lineamientos y mecanismos institucionales que orienten a la Nación hacia el cumplimiento de la igualdad sustantiva en los ámbitos público y privado, promoviendo el empoderamiento de las mujeres. Sus disposiciones son de orden público e interés social y de observancia general en todo el Territorio Nacional.</w:t>
      </w:r>
    </w:p>
    <w:p w14:paraId="6571D408" w14:textId="77777777" w:rsidR="003625FE" w:rsidRPr="008E0BB7" w:rsidRDefault="003625FE" w:rsidP="003625FE">
      <w:pPr>
        <w:spacing w:after="0" w:line="240" w:lineRule="auto"/>
        <w:ind w:left="567" w:right="567"/>
        <w:jc w:val="both"/>
        <w:rPr>
          <w:rFonts w:ascii="Arial" w:eastAsia="Times New Roman" w:hAnsi="Arial" w:cs="Arial"/>
          <w:b/>
          <w:bCs/>
          <w:sz w:val="20"/>
          <w:szCs w:val="20"/>
          <w:lang w:eastAsia="es-MX"/>
        </w:rPr>
      </w:pPr>
    </w:p>
    <w:p w14:paraId="5AE01B3C" w14:textId="77777777" w:rsidR="003625FE" w:rsidRPr="008E0BB7" w:rsidRDefault="003625FE" w:rsidP="003625FE">
      <w:pPr>
        <w:spacing w:after="0" w:line="240" w:lineRule="auto"/>
        <w:ind w:left="567" w:right="567"/>
        <w:jc w:val="both"/>
        <w:rPr>
          <w:rFonts w:ascii="Arial" w:eastAsia="Times New Roman" w:hAnsi="Arial" w:cs="Arial"/>
          <w:bCs/>
          <w:sz w:val="20"/>
          <w:szCs w:val="20"/>
          <w:lang w:eastAsia="es-MX"/>
        </w:rPr>
      </w:pPr>
      <w:r w:rsidRPr="008E0BB7">
        <w:rPr>
          <w:rFonts w:ascii="Arial" w:eastAsia="Times New Roman" w:hAnsi="Arial" w:cs="Arial"/>
          <w:b/>
          <w:bCs/>
          <w:sz w:val="20"/>
          <w:szCs w:val="20"/>
          <w:lang w:eastAsia="es-MX"/>
        </w:rPr>
        <w:t>Artículo 2.-</w:t>
      </w:r>
      <w:r w:rsidRPr="008E0BB7">
        <w:rPr>
          <w:rFonts w:ascii="Arial" w:eastAsia="Times New Roman" w:hAnsi="Arial" w:cs="Arial"/>
          <w:bCs/>
          <w:sz w:val="20"/>
          <w:szCs w:val="20"/>
          <w:lang w:eastAsia="es-MX"/>
        </w:rPr>
        <w:t xml:space="preserve"> Son principios rectores de la presente Ley: la igualdad, la no discriminación, la equidad y todos aquellos contenidos en la Constitución Política de los Estados Unidos Mexicanos.</w:t>
      </w:r>
    </w:p>
    <w:p w14:paraId="6281AEF3" w14:textId="77777777" w:rsidR="003625FE" w:rsidRPr="008E0BB7" w:rsidRDefault="003625FE" w:rsidP="003625FE">
      <w:pPr>
        <w:spacing w:after="0" w:line="240" w:lineRule="auto"/>
        <w:ind w:left="567" w:right="567"/>
        <w:jc w:val="both"/>
        <w:rPr>
          <w:rFonts w:ascii="Arial" w:eastAsia="Times New Roman" w:hAnsi="Arial" w:cs="Arial"/>
          <w:b/>
          <w:bCs/>
          <w:sz w:val="20"/>
          <w:szCs w:val="20"/>
          <w:lang w:eastAsia="es-MX"/>
        </w:rPr>
      </w:pPr>
    </w:p>
    <w:p w14:paraId="24219E89" w14:textId="77777777" w:rsidR="003625FE" w:rsidRPr="008E0BB7" w:rsidRDefault="003625FE" w:rsidP="003625FE">
      <w:pPr>
        <w:spacing w:after="0" w:line="240" w:lineRule="auto"/>
        <w:ind w:left="567" w:right="567"/>
        <w:jc w:val="both"/>
        <w:rPr>
          <w:rFonts w:ascii="Arial" w:eastAsia="Times New Roman" w:hAnsi="Arial" w:cs="Arial"/>
          <w:bCs/>
          <w:sz w:val="20"/>
          <w:szCs w:val="20"/>
          <w:lang w:eastAsia="es-MX"/>
        </w:rPr>
      </w:pPr>
      <w:r w:rsidRPr="008E0BB7">
        <w:rPr>
          <w:rFonts w:ascii="Arial" w:eastAsia="Times New Roman" w:hAnsi="Arial" w:cs="Arial"/>
          <w:b/>
          <w:bCs/>
          <w:sz w:val="20"/>
          <w:szCs w:val="20"/>
          <w:lang w:eastAsia="es-MX"/>
        </w:rPr>
        <w:t>Artículo 3.-</w:t>
      </w:r>
      <w:r w:rsidRPr="008E0BB7">
        <w:rPr>
          <w:rFonts w:ascii="Arial" w:eastAsia="Times New Roman" w:hAnsi="Arial" w:cs="Arial"/>
          <w:bCs/>
          <w:sz w:val="20"/>
          <w:szCs w:val="20"/>
          <w:lang w:eastAsia="es-MX"/>
        </w:rPr>
        <w:t xml:space="preserve"> Son sujetos de los derechos que establece esta Ley, las mujeres y los hombres que se encuentren en territorio nacional, </w:t>
      </w:r>
      <w:proofErr w:type="gramStart"/>
      <w:r w:rsidRPr="008E0BB7">
        <w:rPr>
          <w:rFonts w:ascii="Arial" w:eastAsia="Times New Roman" w:hAnsi="Arial" w:cs="Arial"/>
          <w:bCs/>
          <w:sz w:val="20"/>
          <w:szCs w:val="20"/>
          <w:lang w:eastAsia="es-MX"/>
        </w:rPr>
        <w:t>que</w:t>
      </w:r>
      <w:proofErr w:type="gramEnd"/>
      <w:r w:rsidRPr="008E0BB7">
        <w:rPr>
          <w:rFonts w:ascii="Arial" w:eastAsia="Times New Roman" w:hAnsi="Arial" w:cs="Arial"/>
          <w:bCs/>
          <w:sz w:val="20"/>
          <w:szCs w:val="20"/>
          <w:lang w:eastAsia="es-MX"/>
        </w:rPr>
        <w:t xml:space="preserve"> por razón de su sexo, independientemente de su edad, estado civil, profesión, cultura, origen étnico o nacional, condición social, salud, religión, opinión o discapacidad, se encuentren con algún tipo de desventaja ante la violación del principio de igualdad que esta Ley tutela (</w:t>
      </w:r>
      <w:r w:rsidRPr="008E0BB7">
        <w:rPr>
          <w:rFonts w:ascii="Arial" w:eastAsia="Times New Roman" w:hAnsi="Arial" w:cs="Arial"/>
          <w:bCs/>
          <w:i/>
          <w:sz w:val="20"/>
          <w:szCs w:val="20"/>
          <w:lang w:eastAsia="es-MX"/>
        </w:rPr>
        <w:t>Párrafo reformado DOF 16-06-2011</w:t>
      </w:r>
      <w:r w:rsidRPr="008E0BB7">
        <w:rPr>
          <w:rFonts w:ascii="Arial" w:eastAsia="Times New Roman" w:hAnsi="Arial" w:cs="Arial"/>
          <w:bCs/>
          <w:sz w:val="20"/>
          <w:szCs w:val="20"/>
          <w:lang w:eastAsia="es-MX"/>
        </w:rPr>
        <w:t>).</w:t>
      </w:r>
    </w:p>
    <w:p w14:paraId="38CBA3B8" w14:textId="77777777" w:rsidR="003625FE" w:rsidRPr="008E0BB7" w:rsidRDefault="003625FE" w:rsidP="003625FE">
      <w:pPr>
        <w:spacing w:after="0" w:line="240" w:lineRule="auto"/>
        <w:ind w:left="567" w:right="567"/>
        <w:jc w:val="both"/>
        <w:rPr>
          <w:rFonts w:ascii="Arial" w:eastAsia="Times New Roman" w:hAnsi="Arial" w:cs="Arial"/>
          <w:bCs/>
          <w:sz w:val="20"/>
          <w:szCs w:val="20"/>
          <w:lang w:eastAsia="es-MX"/>
        </w:rPr>
      </w:pPr>
    </w:p>
    <w:p w14:paraId="77549B4A" w14:textId="77777777" w:rsidR="003625FE" w:rsidRPr="008E0BB7" w:rsidRDefault="003625FE" w:rsidP="003625FE">
      <w:pPr>
        <w:spacing w:after="0" w:line="240" w:lineRule="auto"/>
        <w:ind w:left="567" w:right="567"/>
        <w:jc w:val="both"/>
        <w:rPr>
          <w:rFonts w:ascii="Arial" w:eastAsia="Times New Roman" w:hAnsi="Arial" w:cs="Arial"/>
          <w:bCs/>
          <w:sz w:val="20"/>
          <w:szCs w:val="20"/>
          <w:lang w:eastAsia="es-MX"/>
        </w:rPr>
      </w:pPr>
      <w:r w:rsidRPr="008E0BB7">
        <w:rPr>
          <w:rFonts w:ascii="Arial" w:eastAsia="Times New Roman" w:hAnsi="Arial" w:cs="Arial"/>
          <w:bCs/>
          <w:sz w:val="20"/>
          <w:szCs w:val="20"/>
          <w:lang w:eastAsia="es-MX"/>
        </w:rPr>
        <w:t>[…]</w:t>
      </w:r>
    </w:p>
    <w:p w14:paraId="03D650BC" w14:textId="77777777" w:rsidR="003625FE" w:rsidRPr="008E0BB7" w:rsidRDefault="003625FE" w:rsidP="003625FE">
      <w:pPr>
        <w:spacing w:after="0" w:line="240" w:lineRule="auto"/>
        <w:ind w:left="567" w:right="567"/>
        <w:jc w:val="both"/>
        <w:rPr>
          <w:rFonts w:ascii="Arial" w:eastAsia="Times New Roman" w:hAnsi="Arial" w:cs="Arial"/>
          <w:b/>
          <w:bCs/>
          <w:sz w:val="20"/>
          <w:szCs w:val="20"/>
          <w:lang w:eastAsia="es-MX"/>
        </w:rPr>
      </w:pPr>
    </w:p>
    <w:p w14:paraId="4FE3F0AC" w14:textId="77777777" w:rsidR="003625FE" w:rsidRPr="008E0BB7" w:rsidRDefault="003625FE" w:rsidP="003625FE">
      <w:pPr>
        <w:spacing w:after="0" w:line="240" w:lineRule="auto"/>
        <w:ind w:left="567" w:right="567"/>
        <w:jc w:val="both"/>
        <w:rPr>
          <w:rFonts w:ascii="Arial" w:eastAsia="Times New Roman" w:hAnsi="Arial" w:cs="Arial"/>
          <w:bCs/>
          <w:sz w:val="20"/>
          <w:szCs w:val="20"/>
          <w:lang w:eastAsia="es-MX"/>
        </w:rPr>
      </w:pPr>
      <w:r w:rsidRPr="008E0BB7">
        <w:rPr>
          <w:rFonts w:ascii="Arial" w:eastAsia="Times New Roman" w:hAnsi="Arial" w:cs="Arial"/>
          <w:b/>
          <w:bCs/>
          <w:sz w:val="20"/>
          <w:szCs w:val="20"/>
          <w:lang w:eastAsia="es-MX"/>
        </w:rPr>
        <w:t>Artículo 5.-</w:t>
      </w:r>
      <w:r w:rsidRPr="008E0BB7">
        <w:rPr>
          <w:rFonts w:ascii="Arial" w:eastAsia="Times New Roman" w:hAnsi="Arial" w:cs="Arial"/>
          <w:bCs/>
          <w:sz w:val="20"/>
          <w:szCs w:val="20"/>
          <w:lang w:eastAsia="es-MX"/>
        </w:rPr>
        <w:t xml:space="preserve"> Para los efectos de esta Ley se entenderá por:</w:t>
      </w:r>
    </w:p>
    <w:p w14:paraId="7694CF0C" w14:textId="77777777" w:rsidR="003625FE" w:rsidRPr="008E0BB7" w:rsidRDefault="003625FE" w:rsidP="003625FE">
      <w:pPr>
        <w:spacing w:after="0" w:line="240" w:lineRule="auto"/>
        <w:ind w:left="567" w:right="567"/>
        <w:jc w:val="both"/>
        <w:rPr>
          <w:rFonts w:ascii="Arial" w:eastAsia="Times New Roman" w:hAnsi="Arial" w:cs="Arial"/>
          <w:bCs/>
          <w:sz w:val="20"/>
          <w:szCs w:val="20"/>
          <w:lang w:eastAsia="es-MX"/>
        </w:rPr>
      </w:pPr>
    </w:p>
    <w:p w14:paraId="45D7F406" w14:textId="77777777" w:rsidR="003625FE" w:rsidRPr="008E0BB7" w:rsidRDefault="003625FE" w:rsidP="003625FE">
      <w:pPr>
        <w:spacing w:after="0" w:line="240" w:lineRule="auto"/>
        <w:ind w:left="567" w:right="567"/>
        <w:jc w:val="both"/>
        <w:rPr>
          <w:rFonts w:ascii="Arial" w:eastAsia="Times New Roman" w:hAnsi="Arial" w:cs="Arial"/>
          <w:bCs/>
          <w:sz w:val="20"/>
          <w:szCs w:val="20"/>
          <w:lang w:eastAsia="es-MX"/>
        </w:rPr>
      </w:pPr>
      <w:r w:rsidRPr="008E0BB7">
        <w:rPr>
          <w:rFonts w:ascii="Arial" w:eastAsia="Times New Roman" w:hAnsi="Arial" w:cs="Arial"/>
          <w:bCs/>
          <w:sz w:val="20"/>
          <w:szCs w:val="20"/>
          <w:lang w:eastAsia="es-MX"/>
        </w:rPr>
        <w:t xml:space="preserve">I. </w:t>
      </w:r>
      <w:r w:rsidRPr="008E0BB7">
        <w:rPr>
          <w:rFonts w:ascii="Arial" w:eastAsia="Times New Roman" w:hAnsi="Arial" w:cs="Arial"/>
          <w:bCs/>
          <w:i/>
          <w:sz w:val="20"/>
          <w:szCs w:val="20"/>
          <w:lang w:eastAsia="es-MX"/>
        </w:rPr>
        <w:t xml:space="preserve">Acciones </w:t>
      </w:r>
      <w:proofErr w:type="gramStart"/>
      <w:r w:rsidRPr="008E0BB7">
        <w:rPr>
          <w:rFonts w:ascii="Arial" w:eastAsia="Times New Roman" w:hAnsi="Arial" w:cs="Arial"/>
          <w:bCs/>
          <w:i/>
          <w:sz w:val="20"/>
          <w:szCs w:val="20"/>
          <w:lang w:eastAsia="es-MX"/>
        </w:rPr>
        <w:t>afirmativas.-</w:t>
      </w:r>
      <w:proofErr w:type="gramEnd"/>
      <w:r w:rsidRPr="008E0BB7">
        <w:rPr>
          <w:rFonts w:ascii="Arial" w:eastAsia="Times New Roman" w:hAnsi="Arial" w:cs="Arial"/>
          <w:bCs/>
          <w:i/>
          <w:sz w:val="20"/>
          <w:szCs w:val="20"/>
          <w:lang w:eastAsia="es-MX"/>
        </w:rPr>
        <w:t xml:space="preserve"> </w:t>
      </w:r>
      <w:r w:rsidRPr="008E0BB7">
        <w:rPr>
          <w:rFonts w:ascii="Arial" w:eastAsia="Times New Roman" w:hAnsi="Arial" w:cs="Arial"/>
          <w:bCs/>
          <w:sz w:val="20"/>
          <w:szCs w:val="20"/>
          <w:lang w:eastAsia="es-MX"/>
        </w:rPr>
        <w:t>Es el conjunto de medidas de carácter temporal encaminadas a acelerar la igualdad de hecho entre mujeres y hombre.</w:t>
      </w:r>
    </w:p>
    <w:p w14:paraId="08B95CFB" w14:textId="77777777" w:rsidR="003625FE" w:rsidRPr="008E0BB7" w:rsidRDefault="003625FE" w:rsidP="003625FE">
      <w:pPr>
        <w:spacing w:after="0" w:line="240" w:lineRule="auto"/>
        <w:ind w:left="567" w:right="567"/>
        <w:jc w:val="both"/>
        <w:rPr>
          <w:rFonts w:ascii="Arial" w:eastAsia="Times New Roman" w:hAnsi="Arial" w:cs="Arial"/>
          <w:bCs/>
          <w:sz w:val="20"/>
          <w:szCs w:val="20"/>
          <w:lang w:eastAsia="es-MX"/>
        </w:rPr>
      </w:pPr>
      <w:r w:rsidRPr="008E0BB7">
        <w:rPr>
          <w:rFonts w:ascii="Arial" w:eastAsia="Times New Roman" w:hAnsi="Arial" w:cs="Arial"/>
          <w:bCs/>
          <w:sz w:val="20"/>
          <w:szCs w:val="20"/>
          <w:lang w:eastAsia="es-MX"/>
        </w:rPr>
        <w:t>[…]</w:t>
      </w:r>
    </w:p>
    <w:p w14:paraId="4A30B1A5" w14:textId="77777777" w:rsidR="003625FE" w:rsidRPr="008E0BB7" w:rsidRDefault="003625FE" w:rsidP="003625FE">
      <w:pPr>
        <w:spacing w:after="0" w:line="360" w:lineRule="auto"/>
        <w:jc w:val="both"/>
        <w:rPr>
          <w:rFonts w:ascii="Arial" w:eastAsia="Times New Roman" w:hAnsi="Arial" w:cs="Arial"/>
          <w:bCs/>
          <w:sz w:val="20"/>
          <w:szCs w:val="20"/>
          <w:lang w:eastAsia="es-MX"/>
        </w:rPr>
      </w:pPr>
    </w:p>
    <w:p w14:paraId="491BE414" w14:textId="77777777" w:rsidR="003625FE" w:rsidRPr="000D4C29" w:rsidRDefault="003625FE" w:rsidP="000D4C29">
      <w:pPr>
        <w:spacing w:after="0" w:line="240" w:lineRule="auto"/>
        <w:jc w:val="both"/>
        <w:rPr>
          <w:rFonts w:ascii="Arial" w:eastAsia="Times New Roman" w:hAnsi="Arial" w:cs="Arial"/>
          <w:bCs/>
          <w:sz w:val="24"/>
          <w:szCs w:val="24"/>
          <w:lang w:eastAsia="es-MX"/>
        </w:rPr>
      </w:pPr>
      <w:r w:rsidRPr="000D4C29">
        <w:rPr>
          <w:rFonts w:ascii="Arial" w:eastAsia="Times New Roman" w:hAnsi="Arial" w:cs="Arial"/>
          <w:bCs/>
          <w:sz w:val="24"/>
          <w:szCs w:val="24"/>
          <w:lang w:eastAsia="es-MX"/>
        </w:rPr>
        <w:t xml:space="preserve">De lo antes transcrito, se observa que constituyen normas de orden público y de interés social, el garantizar la igualdad entre mujeres y hombres y proponer los lineamientos y mecanismos institucionales que orienten a la Nación hacia el cumplimiento de la igualdad sustantiva en los ámbitos público y privado, promoviendo el empoderamiento de las mujeres; que lo anterior se rige bajo los principios de la igualdad, la no discriminación, y la equidad; que los derechos que se establecen en dicho ordenamiento aplican, entre otros sujetos, a las mujeres, cuando se encuentren con algún tipo de desventaja ante la violación del principio </w:t>
      </w:r>
      <w:r w:rsidRPr="000D4C29">
        <w:rPr>
          <w:rFonts w:ascii="Arial" w:eastAsia="Times New Roman" w:hAnsi="Arial" w:cs="Arial"/>
          <w:bCs/>
          <w:sz w:val="24"/>
          <w:szCs w:val="24"/>
          <w:lang w:eastAsia="es-MX"/>
        </w:rPr>
        <w:lastRenderedPageBreak/>
        <w:t>de igualdad; y que las acciones afirmativas son el conjunto de medidas de carácter temporal encaminadas a acelerar la igualdad de hecho entre mujeres y hombre.</w:t>
      </w:r>
    </w:p>
    <w:p w14:paraId="4E09A4A3" w14:textId="77777777" w:rsidR="003625FE" w:rsidRPr="000D4C29" w:rsidRDefault="003625FE" w:rsidP="000D4C29">
      <w:pPr>
        <w:spacing w:after="0" w:line="240" w:lineRule="auto"/>
        <w:jc w:val="both"/>
        <w:rPr>
          <w:rFonts w:ascii="Arial" w:eastAsia="Times New Roman" w:hAnsi="Arial" w:cs="Arial"/>
          <w:bCs/>
          <w:sz w:val="24"/>
          <w:szCs w:val="24"/>
          <w:lang w:eastAsia="es-MX"/>
        </w:rPr>
      </w:pPr>
    </w:p>
    <w:p w14:paraId="62FDE518" w14:textId="77777777" w:rsidR="003625FE" w:rsidRPr="000D4C29" w:rsidRDefault="003625FE" w:rsidP="000D4C29">
      <w:pPr>
        <w:spacing w:after="0" w:line="240" w:lineRule="auto"/>
        <w:jc w:val="both"/>
        <w:rPr>
          <w:rFonts w:ascii="Arial" w:eastAsia="Times New Roman" w:hAnsi="Arial" w:cs="Arial"/>
          <w:bCs/>
          <w:sz w:val="24"/>
          <w:szCs w:val="24"/>
          <w:lang w:eastAsia="es-MX"/>
        </w:rPr>
      </w:pPr>
      <w:r w:rsidRPr="000D4C29">
        <w:rPr>
          <w:rFonts w:ascii="Arial" w:eastAsia="Times New Roman" w:hAnsi="Arial" w:cs="Arial"/>
          <w:bCs/>
          <w:sz w:val="24"/>
          <w:szCs w:val="24"/>
          <w:lang w:eastAsia="es-MX"/>
        </w:rPr>
        <w:t xml:space="preserve">Por lo tanto, de la interpretación sistemática y funcional de lo establecido en los artículos 1, párrafo quinto; 4, párrafo primero, de la </w:t>
      </w:r>
      <w:r w:rsidRPr="000D4C29">
        <w:rPr>
          <w:rFonts w:ascii="Arial" w:eastAsia="Times New Roman" w:hAnsi="Arial" w:cs="Arial"/>
          <w:bCs/>
          <w:i/>
          <w:sz w:val="24"/>
          <w:szCs w:val="24"/>
          <w:lang w:eastAsia="es-MX"/>
        </w:rPr>
        <w:t>Constitución Política de los Estados Unidos Mexicanos</w:t>
      </w:r>
      <w:r w:rsidRPr="000D4C29">
        <w:rPr>
          <w:rFonts w:ascii="Arial" w:eastAsia="Times New Roman" w:hAnsi="Arial" w:cs="Arial"/>
          <w:bCs/>
          <w:sz w:val="24"/>
          <w:szCs w:val="24"/>
          <w:lang w:eastAsia="es-MX"/>
        </w:rPr>
        <w:t xml:space="preserve">; 1, párrafo 1 y 24, de la </w:t>
      </w:r>
      <w:r w:rsidRPr="000D4C29">
        <w:rPr>
          <w:rFonts w:ascii="Arial" w:eastAsia="Times New Roman" w:hAnsi="Arial" w:cs="Arial"/>
          <w:bCs/>
          <w:i/>
          <w:sz w:val="24"/>
          <w:szCs w:val="24"/>
          <w:lang w:eastAsia="es-MX"/>
        </w:rPr>
        <w:t>Convención Americana sobre Derechos Humanos</w:t>
      </w:r>
      <w:r w:rsidRPr="000D4C29">
        <w:rPr>
          <w:rFonts w:ascii="Arial" w:eastAsia="Times New Roman" w:hAnsi="Arial" w:cs="Arial"/>
          <w:bCs/>
          <w:sz w:val="24"/>
          <w:szCs w:val="24"/>
          <w:lang w:eastAsia="es-MX"/>
        </w:rPr>
        <w:t xml:space="preserve">; 1 y 4, párrafo 1, de la </w:t>
      </w:r>
      <w:r w:rsidRPr="000D4C29">
        <w:rPr>
          <w:rFonts w:ascii="Arial" w:eastAsia="Times New Roman" w:hAnsi="Arial" w:cs="Arial"/>
          <w:bCs/>
          <w:i/>
          <w:sz w:val="24"/>
          <w:szCs w:val="24"/>
          <w:lang w:eastAsia="es-MX"/>
        </w:rPr>
        <w:t>Convención sobre la Eliminación de Todas las Formas de Discriminación contra la Mujer</w:t>
      </w:r>
      <w:r w:rsidRPr="000D4C29">
        <w:rPr>
          <w:rFonts w:ascii="Arial" w:eastAsia="Times New Roman" w:hAnsi="Arial" w:cs="Arial"/>
          <w:bCs/>
          <w:sz w:val="24"/>
          <w:szCs w:val="24"/>
          <w:lang w:eastAsia="es-MX"/>
        </w:rPr>
        <w:t xml:space="preserve">; 1, 2, 4 y 5, fracción I, de la </w:t>
      </w:r>
      <w:r w:rsidRPr="000D4C29">
        <w:rPr>
          <w:rFonts w:ascii="Arial" w:eastAsia="Times New Roman" w:hAnsi="Arial" w:cs="Arial"/>
          <w:bCs/>
          <w:i/>
          <w:sz w:val="24"/>
          <w:szCs w:val="24"/>
          <w:lang w:eastAsia="es-MX"/>
        </w:rPr>
        <w:t>Ley Federal para Prevenir y Eliminar la Discriminación</w:t>
      </w:r>
      <w:r w:rsidRPr="000D4C29">
        <w:rPr>
          <w:rFonts w:ascii="Arial" w:eastAsia="Times New Roman" w:hAnsi="Arial" w:cs="Arial"/>
          <w:bCs/>
          <w:sz w:val="24"/>
          <w:szCs w:val="24"/>
          <w:lang w:eastAsia="es-MX"/>
        </w:rPr>
        <w:t xml:space="preserve">; 1, 2, 3, párrafo primero; y 5, fracción I, de la </w:t>
      </w:r>
      <w:r w:rsidRPr="000D4C29">
        <w:rPr>
          <w:rFonts w:ascii="Arial" w:eastAsia="Times New Roman" w:hAnsi="Arial" w:cs="Arial"/>
          <w:bCs/>
          <w:i/>
          <w:sz w:val="24"/>
          <w:szCs w:val="24"/>
          <w:lang w:eastAsia="es-MX"/>
        </w:rPr>
        <w:t>Ley General para la Igualdad entre Mujeres y Hombres</w:t>
      </w:r>
      <w:r w:rsidRPr="000D4C29">
        <w:rPr>
          <w:rFonts w:ascii="Arial" w:eastAsia="Times New Roman" w:hAnsi="Arial" w:cs="Arial"/>
          <w:bCs/>
          <w:sz w:val="24"/>
          <w:szCs w:val="24"/>
          <w:lang w:eastAsia="es-MX"/>
        </w:rPr>
        <w:t xml:space="preserve">; así como de los criterios de la Corte Interamericana de Derechos Humanos sustentados en la </w:t>
      </w:r>
      <w:r w:rsidRPr="000D4C29">
        <w:rPr>
          <w:rFonts w:ascii="Arial" w:eastAsia="Times New Roman" w:hAnsi="Arial" w:cs="Arial"/>
          <w:bCs/>
          <w:i/>
          <w:sz w:val="24"/>
          <w:szCs w:val="24"/>
          <w:lang w:eastAsia="es-MX"/>
        </w:rPr>
        <w:t>Opinión Consultiva OC-4/84</w:t>
      </w:r>
      <w:r w:rsidRPr="000D4C29">
        <w:rPr>
          <w:rFonts w:ascii="Arial" w:eastAsia="Times New Roman" w:hAnsi="Arial" w:cs="Arial"/>
          <w:bCs/>
          <w:sz w:val="24"/>
          <w:szCs w:val="24"/>
          <w:lang w:eastAsia="es-MX"/>
        </w:rPr>
        <w:t xml:space="preserve">, y al resolver los Casos </w:t>
      </w:r>
      <w:r w:rsidRPr="000D4C29">
        <w:rPr>
          <w:rFonts w:ascii="Arial" w:eastAsia="Times New Roman" w:hAnsi="Arial" w:cs="Arial"/>
          <w:bCs/>
          <w:i/>
          <w:sz w:val="24"/>
          <w:szCs w:val="24"/>
          <w:lang w:eastAsia="es-MX"/>
        </w:rPr>
        <w:t>Castañeda Gutman Vs. México</w:t>
      </w:r>
      <w:r w:rsidRPr="000D4C29">
        <w:rPr>
          <w:rFonts w:ascii="Arial" w:eastAsia="Times New Roman" w:hAnsi="Arial" w:cs="Arial"/>
          <w:bCs/>
          <w:sz w:val="24"/>
          <w:szCs w:val="24"/>
          <w:lang w:eastAsia="es-MX"/>
        </w:rPr>
        <w:t xml:space="preserve">; y </w:t>
      </w:r>
      <w:r w:rsidRPr="000D4C29">
        <w:rPr>
          <w:rFonts w:ascii="Arial" w:eastAsia="Times New Roman" w:hAnsi="Arial" w:cs="Arial"/>
          <w:bCs/>
          <w:i/>
          <w:sz w:val="24"/>
          <w:szCs w:val="24"/>
          <w:lang w:eastAsia="es-MX"/>
        </w:rPr>
        <w:t xml:space="preserve">De las Niñas </w:t>
      </w:r>
      <w:proofErr w:type="spellStart"/>
      <w:r w:rsidRPr="000D4C29">
        <w:rPr>
          <w:rFonts w:ascii="Arial" w:eastAsia="Times New Roman" w:hAnsi="Arial" w:cs="Arial"/>
          <w:bCs/>
          <w:i/>
          <w:sz w:val="24"/>
          <w:szCs w:val="24"/>
          <w:lang w:eastAsia="es-MX"/>
        </w:rPr>
        <w:t>Yean</w:t>
      </w:r>
      <w:proofErr w:type="spellEnd"/>
      <w:r w:rsidRPr="000D4C29">
        <w:rPr>
          <w:rFonts w:ascii="Arial" w:eastAsia="Times New Roman" w:hAnsi="Arial" w:cs="Arial"/>
          <w:bCs/>
          <w:i/>
          <w:sz w:val="24"/>
          <w:szCs w:val="24"/>
          <w:lang w:eastAsia="es-MX"/>
        </w:rPr>
        <w:t xml:space="preserve"> y </w:t>
      </w:r>
      <w:proofErr w:type="spellStart"/>
      <w:r w:rsidRPr="000D4C29">
        <w:rPr>
          <w:rFonts w:ascii="Arial" w:eastAsia="Times New Roman" w:hAnsi="Arial" w:cs="Arial"/>
          <w:bCs/>
          <w:i/>
          <w:sz w:val="24"/>
          <w:szCs w:val="24"/>
          <w:lang w:eastAsia="es-MX"/>
        </w:rPr>
        <w:t>Bosico</w:t>
      </w:r>
      <w:proofErr w:type="spellEnd"/>
      <w:r w:rsidRPr="000D4C29">
        <w:rPr>
          <w:rFonts w:ascii="Arial" w:eastAsia="Times New Roman" w:hAnsi="Arial" w:cs="Arial"/>
          <w:bCs/>
          <w:i/>
          <w:sz w:val="24"/>
          <w:szCs w:val="24"/>
          <w:lang w:eastAsia="es-MX"/>
        </w:rPr>
        <w:t xml:space="preserve"> Vs. República Dominicana</w:t>
      </w:r>
      <w:r w:rsidRPr="000D4C29">
        <w:rPr>
          <w:rFonts w:ascii="Arial" w:eastAsia="Times New Roman" w:hAnsi="Arial" w:cs="Arial"/>
          <w:bCs/>
          <w:sz w:val="24"/>
          <w:szCs w:val="24"/>
          <w:lang w:eastAsia="es-MX"/>
        </w:rPr>
        <w:t>; se colige que en el Estado Mexicano, son permisibles las acciones afirmativas a favor de las personas del género femenino, en tanto que las mismas sean razonables, proporcionales y objetivas, y siempre que las mismas constituyan medidas especiales de carácter temporal, dado que deberán cesar cuando se hayan alcanzado los objetivos de igualdad de oportunidad y trato a favor de la mujer.</w:t>
      </w:r>
    </w:p>
    <w:p w14:paraId="414AA86E" w14:textId="77777777" w:rsidR="003625FE" w:rsidRPr="000D4C29" w:rsidRDefault="003625FE" w:rsidP="000D4C29">
      <w:pPr>
        <w:spacing w:after="0" w:line="240" w:lineRule="auto"/>
        <w:jc w:val="both"/>
        <w:rPr>
          <w:rFonts w:ascii="Arial" w:eastAsia="Times New Roman" w:hAnsi="Arial" w:cs="Arial"/>
          <w:bCs/>
          <w:sz w:val="24"/>
          <w:szCs w:val="24"/>
          <w:lang w:eastAsia="es-MX"/>
        </w:rPr>
      </w:pPr>
    </w:p>
    <w:p w14:paraId="682C4E36" w14:textId="77777777" w:rsidR="003625FE" w:rsidRPr="000D4C29" w:rsidRDefault="003625FE" w:rsidP="000D4C29">
      <w:pPr>
        <w:spacing w:after="0" w:line="240" w:lineRule="auto"/>
        <w:jc w:val="both"/>
        <w:rPr>
          <w:rFonts w:ascii="Arial" w:eastAsia="Times New Roman" w:hAnsi="Arial" w:cs="Arial"/>
          <w:bCs/>
          <w:sz w:val="24"/>
          <w:szCs w:val="24"/>
          <w:lang w:eastAsia="es-MX"/>
        </w:rPr>
      </w:pPr>
      <w:r w:rsidRPr="000D4C29">
        <w:rPr>
          <w:rFonts w:ascii="Arial" w:eastAsia="Times New Roman" w:hAnsi="Arial" w:cs="Arial"/>
          <w:bCs/>
          <w:sz w:val="24"/>
          <w:szCs w:val="24"/>
          <w:lang w:eastAsia="es-MX"/>
        </w:rPr>
        <w:t>En consecuencia, al ser una medida ajustada a los estándares interamericanos y al derecho interno relacionado con los derechos humanos a la igualdad y la no discriminación, es válido concluir que por sí sola, la implementación de las acciones afirmativas no podría estimarse como una conducta encaminada a discriminar a las personas pertenecientes al género masculino.</w:t>
      </w:r>
    </w:p>
    <w:p w14:paraId="06C16E0C" w14:textId="77777777" w:rsidR="003625FE" w:rsidRPr="000D4C29" w:rsidRDefault="003625FE" w:rsidP="000D4C29">
      <w:pPr>
        <w:spacing w:after="0" w:line="240" w:lineRule="auto"/>
        <w:jc w:val="both"/>
        <w:rPr>
          <w:rFonts w:ascii="Arial" w:eastAsia="Times New Roman" w:hAnsi="Arial" w:cs="Arial"/>
          <w:bCs/>
          <w:sz w:val="24"/>
          <w:szCs w:val="24"/>
          <w:lang w:eastAsia="es-MX"/>
        </w:rPr>
      </w:pPr>
    </w:p>
    <w:p w14:paraId="45A78293" w14:textId="77777777" w:rsidR="003625FE" w:rsidRPr="000D4C29" w:rsidRDefault="003625FE" w:rsidP="000D4C29">
      <w:pPr>
        <w:spacing w:after="0" w:line="240" w:lineRule="auto"/>
        <w:jc w:val="both"/>
        <w:rPr>
          <w:rFonts w:ascii="Arial" w:eastAsia="Times New Roman" w:hAnsi="Arial" w:cs="Arial"/>
          <w:bCs/>
          <w:sz w:val="24"/>
          <w:szCs w:val="24"/>
          <w:lang w:eastAsia="es-MX"/>
        </w:rPr>
      </w:pPr>
      <w:r w:rsidRPr="000D4C29">
        <w:rPr>
          <w:rFonts w:ascii="Arial" w:eastAsia="Times New Roman" w:hAnsi="Arial" w:cs="Arial"/>
          <w:bCs/>
          <w:sz w:val="24"/>
          <w:szCs w:val="24"/>
          <w:lang w:eastAsia="es-MX"/>
        </w:rPr>
        <w:t xml:space="preserve">Además, en la </w:t>
      </w:r>
      <w:r w:rsidRPr="000D4C29">
        <w:rPr>
          <w:rFonts w:ascii="Arial" w:eastAsia="Times New Roman" w:hAnsi="Arial" w:cs="Arial"/>
          <w:bCs/>
          <w:i/>
          <w:sz w:val="24"/>
          <w:szCs w:val="24"/>
          <w:lang w:eastAsia="es-MX"/>
        </w:rPr>
        <w:t xml:space="preserve">Recomendación general No. 25, sobre el párrafo 1 del artículo 4 de la Convención sobre la eliminación de todas las formas de discriminación sobre la mujer, referente a medidas especiales de carácter temporal </w:t>
      </w:r>
      <w:r w:rsidRPr="000D4C29">
        <w:rPr>
          <w:rFonts w:ascii="Arial" w:eastAsia="Times New Roman" w:hAnsi="Arial" w:cs="Arial"/>
          <w:bCs/>
          <w:sz w:val="24"/>
          <w:szCs w:val="24"/>
          <w:lang w:eastAsia="es-MX"/>
        </w:rPr>
        <w:t>en específico en el capítulo atinente a su objeto y fin, el Comité enfatizó:</w:t>
      </w:r>
    </w:p>
    <w:p w14:paraId="46490E6E" w14:textId="77777777" w:rsidR="003625FE" w:rsidRPr="00BD12BA" w:rsidRDefault="003625FE" w:rsidP="003625FE">
      <w:pPr>
        <w:spacing w:after="0" w:line="360" w:lineRule="auto"/>
        <w:jc w:val="both"/>
        <w:rPr>
          <w:rFonts w:ascii="Arial" w:eastAsia="Times New Roman" w:hAnsi="Arial" w:cs="Arial"/>
          <w:bCs/>
          <w:sz w:val="28"/>
          <w:szCs w:val="28"/>
          <w:lang w:eastAsia="es-MX"/>
        </w:rPr>
      </w:pPr>
    </w:p>
    <w:p w14:paraId="7BBB614F" w14:textId="77777777" w:rsidR="003625FE" w:rsidRPr="003634DE" w:rsidRDefault="003625FE" w:rsidP="003625FE">
      <w:pPr>
        <w:spacing w:after="0" w:line="240" w:lineRule="auto"/>
        <w:ind w:left="567" w:right="567"/>
        <w:jc w:val="both"/>
        <w:rPr>
          <w:rFonts w:ascii="Arial" w:eastAsia="Times New Roman" w:hAnsi="Arial" w:cs="Arial"/>
          <w:bCs/>
          <w:i/>
          <w:lang w:eastAsia="es-MX"/>
        </w:rPr>
      </w:pPr>
      <w:r w:rsidRPr="003634DE">
        <w:rPr>
          <w:rFonts w:ascii="Arial" w:eastAsia="Times New Roman" w:hAnsi="Arial" w:cs="Arial"/>
          <w:bCs/>
          <w:i/>
          <w:lang w:eastAsia="es-MX"/>
        </w:rPr>
        <w:t>En opinión del Comité, un enfoque jurídico o programático puramente formal, no es suficiente para lograr la igualdad de facto con el hombre, que el Comité interpreta como igualdad sustantiva. Además, la Convención requiere que la mujer tenga las mismas oportunidades desde un primer momento y que disponga de un entorno que le permita conseguir la igualdad de resultados. No es suficiente garantizar a la mujer un trato idéntico al del hombre. También deben tenerse en cuenta las diferencias biológicas que hay entre la mujer y el hombre y las diferencias que la sociedad y la cultura han creado. En ciertas circunstancias será necesario que haya un trato no idéntico de mujeres y hombres para equilibrar esas diferencias. El logro del objetivo de la igualdad sustantiva también exige una estrategia eficaz encaminada a corregir la representación insuficiente de la mujer y una redistribución de los recursos y el poder entre el hombre y la mujer.</w:t>
      </w:r>
    </w:p>
    <w:p w14:paraId="5E90FB40" w14:textId="77777777" w:rsidR="003625FE" w:rsidRPr="003634DE" w:rsidRDefault="003625FE" w:rsidP="003625FE">
      <w:pPr>
        <w:spacing w:after="0" w:line="360" w:lineRule="auto"/>
        <w:jc w:val="both"/>
        <w:rPr>
          <w:rFonts w:ascii="Arial" w:eastAsia="Times New Roman" w:hAnsi="Arial" w:cs="Arial"/>
          <w:bCs/>
          <w:lang w:eastAsia="es-MX"/>
        </w:rPr>
      </w:pPr>
    </w:p>
    <w:p w14:paraId="7B03A149" w14:textId="77777777" w:rsidR="003625FE" w:rsidRPr="006F168B" w:rsidRDefault="003625FE" w:rsidP="006F168B">
      <w:pPr>
        <w:spacing w:after="0" w:line="240" w:lineRule="auto"/>
        <w:jc w:val="both"/>
        <w:rPr>
          <w:rFonts w:ascii="Arial" w:eastAsia="Times New Roman" w:hAnsi="Arial" w:cs="Arial"/>
          <w:bCs/>
          <w:sz w:val="24"/>
          <w:szCs w:val="24"/>
          <w:lang w:eastAsia="es-MX"/>
        </w:rPr>
      </w:pPr>
      <w:r w:rsidRPr="006F168B">
        <w:rPr>
          <w:rFonts w:ascii="Arial" w:eastAsia="Times New Roman" w:hAnsi="Arial" w:cs="Arial"/>
          <w:bCs/>
          <w:sz w:val="24"/>
          <w:szCs w:val="24"/>
          <w:lang w:eastAsia="es-MX"/>
        </w:rPr>
        <w:t xml:space="preserve">La propia Recomendación conceptualiza el término “medidas” de la siguiente forma: </w:t>
      </w:r>
      <w:r w:rsidRPr="006F168B">
        <w:rPr>
          <w:rFonts w:ascii="Arial" w:eastAsia="Times New Roman" w:hAnsi="Arial" w:cs="Arial"/>
          <w:bCs/>
          <w:i/>
          <w:sz w:val="24"/>
          <w:szCs w:val="24"/>
          <w:lang w:eastAsia="es-MX"/>
        </w:rPr>
        <w:t xml:space="preserve">El término “medidas” abarca una amplia gama de instrumentos, políticas y prácticas de índole legislativa, ejecutiva, administrativa y reglamentaria, como pueden ser los </w:t>
      </w:r>
      <w:r w:rsidRPr="006F168B">
        <w:rPr>
          <w:rFonts w:ascii="Arial" w:eastAsia="Times New Roman" w:hAnsi="Arial" w:cs="Arial"/>
          <w:bCs/>
          <w:i/>
          <w:sz w:val="24"/>
          <w:szCs w:val="24"/>
          <w:lang w:eastAsia="es-MX"/>
        </w:rPr>
        <w:lastRenderedPageBreak/>
        <w:t xml:space="preserve">programas de divulgación o apoyo; la asignación o reasignación de recursos; el trato preferencial; </w:t>
      </w:r>
      <w:r w:rsidRPr="006F168B">
        <w:rPr>
          <w:rFonts w:ascii="Arial" w:eastAsia="Times New Roman" w:hAnsi="Arial" w:cs="Arial"/>
          <w:b/>
          <w:bCs/>
          <w:i/>
          <w:sz w:val="24"/>
          <w:szCs w:val="24"/>
          <w:lang w:eastAsia="es-MX"/>
        </w:rPr>
        <w:t xml:space="preserve">la determinación de metas en materia de contratación y promoción; los objetivos cuantitativos relacionados con plazos determinados; </w:t>
      </w:r>
      <w:r w:rsidRPr="006F168B">
        <w:rPr>
          <w:rFonts w:ascii="Arial" w:eastAsia="Times New Roman" w:hAnsi="Arial" w:cs="Arial"/>
          <w:bCs/>
          <w:i/>
          <w:sz w:val="24"/>
          <w:szCs w:val="24"/>
          <w:lang w:eastAsia="es-MX"/>
        </w:rPr>
        <w:t>y los sistemas de cuotas. La elección de una “medida” en particular dependerá del contexto en que se aplique el párrafo 1 del artículo 4 y del objetivo concreto que se trate de lograr.</w:t>
      </w:r>
    </w:p>
    <w:p w14:paraId="554F61F5" w14:textId="77777777" w:rsidR="003625FE" w:rsidRPr="006F168B" w:rsidRDefault="003625FE" w:rsidP="006F168B">
      <w:pPr>
        <w:spacing w:after="0" w:line="240" w:lineRule="auto"/>
        <w:jc w:val="both"/>
        <w:rPr>
          <w:rFonts w:ascii="Arial" w:hAnsi="Arial" w:cs="Arial"/>
          <w:bCs/>
          <w:sz w:val="24"/>
          <w:szCs w:val="24"/>
        </w:rPr>
      </w:pPr>
    </w:p>
    <w:p w14:paraId="616DD855" w14:textId="77777777" w:rsidR="003625FE" w:rsidRPr="006F168B" w:rsidRDefault="003625FE" w:rsidP="006F168B">
      <w:pPr>
        <w:spacing w:after="0" w:line="240" w:lineRule="auto"/>
        <w:jc w:val="both"/>
        <w:rPr>
          <w:rFonts w:ascii="Arial" w:hAnsi="Arial" w:cs="Arial"/>
          <w:bCs/>
          <w:sz w:val="24"/>
          <w:szCs w:val="24"/>
        </w:rPr>
      </w:pPr>
      <w:r w:rsidRPr="006F168B">
        <w:rPr>
          <w:rFonts w:ascii="Arial" w:hAnsi="Arial" w:cs="Arial"/>
          <w:bCs/>
          <w:sz w:val="24"/>
          <w:szCs w:val="24"/>
        </w:rPr>
        <w:t>Ahora bien, un caso que particularmente se ha dado en nuestro sistema jurídico, como medidas de acciones afirmativas, son las llamadas cuotas de género, es decir, la asignación de un porcentaje determinado de los espacios en disputa en el ámbito laboral, académico, político, entre otros, para incrementar de manera inmediata la participación de las mujeres.</w:t>
      </w:r>
    </w:p>
    <w:p w14:paraId="4E111709" w14:textId="77777777" w:rsidR="003625FE" w:rsidRPr="006F168B" w:rsidRDefault="003625FE" w:rsidP="006F168B">
      <w:pPr>
        <w:spacing w:after="0" w:line="240" w:lineRule="auto"/>
        <w:jc w:val="both"/>
        <w:rPr>
          <w:rFonts w:ascii="Arial" w:hAnsi="Arial" w:cs="Arial"/>
          <w:bCs/>
          <w:sz w:val="24"/>
          <w:szCs w:val="24"/>
        </w:rPr>
      </w:pPr>
    </w:p>
    <w:p w14:paraId="00AD8C2A" w14:textId="77777777" w:rsidR="003625FE" w:rsidRPr="006F168B" w:rsidRDefault="003625FE" w:rsidP="006F168B">
      <w:pPr>
        <w:spacing w:after="0" w:line="240" w:lineRule="auto"/>
        <w:jc w:val="both"/>
        <w:rPr>
          <w:rFonts w:ascii="Arial" w:hAnsi="Arial" w:cs="Arial"/>
          <w:bCs/>
          <w:sz w:val="24"/>
          <w:szCs w:val="24"/>
        </w:rPr>
      </w:pPr>
      <w:r w:rsidRPr="006F168B">
        <w:rPr>
          <w:rFonts w:ascii="Arial" w:hAnsi="Arial" w:cs="Arial"/>
          <w:bCs/>
          <w:sz w:val="24"/>
          <w:szCs w:val="24"/>
        </w:rPr>
        <w:t>En materia electoral, en el Código Federal de Instituciones y Procedimientos Electorales, vigente al momento de resolver el presente caso, se dispone en su artículo 4, párrafo 1, entre otros aspectos, que es derecho de los ciudadanos y obligación para los partidos políticos la igualdad de oportunidades y la equidad entre hombres y mujeres para tener acceso a cargos de elección popular.</w:t>
      </w:r>
    </w:p>
    <w:p w14:paraId="1CE6DD35" w14:textId="77777777" w:rsidR="003625FE" w:rsidRPr="006F168B" w:rsidRDefault="003625FE" w:rsidP="006F168B">
      <w:pPr>
        <w:spacing w:after="0" w:line="240" w:lineRule="auto"/>
        <w:jc w:val="both"/>
        <w:rPr>
          <w:rFonts w:ascii="Arial" w:hAnsi="Arial" w:cs="Arial"/>
          <w:bCs/>
          <w:sz w:val="24"/>
          <w:szCs w:val="24"/>
        </w:rPr>
      </w:pPr>
    </w:p>
    <w:p w14:paraId="5FC10BB3" w14:textId="77777777" w:rsidR="003625FE" w:rsidRPr="006F168B" w:rsidRDefault="003625FE" w:rsidP="006F168B">
      <w:pPr>
        <w:spacing w:after="0" w:line="240" w:lineRule="auto"/>
        <w:jc w:val="both"/>
        <w:rPr>
          <w:rFonts w:ascii="Arial" w:hAnsi="Arial" w:cs="Arial"/>
          <w:bCs/>
          <w:sz w:val="24"/>
          <w:szCs w:val="24"/>
        </w:rPr>
      </w:pPr>
      <w:r w:rsidRPr="006F168B">
        <w:rPr>
          <w:rFonts w:ascii="Arial" w:hAnsi="Arial" w:cs="Arial"/>
          <w:bCs/>
          <w:sz w:val="24"/>
          <w:szCs w:val="24"/>
        </w:rPr>
        <w:t>Asimismo, en el artículo 25 de dicho cuerpo normativo se dispone que, entre los principios que invariablemente debe contener la declaración de principios de un partido político nacional, se encuentra la obligación de promover la participación política en igualdad de oportunidades y equidad entre mujeres y hombres.</w:t>
      </w:r>
    </w:p>
    <w:p w14:paraId="0BEAC861" w14:textId="77777777" w:rsidR="003625FE" w:rsidRPr="006F168B" w:rsidRDefault="003625FE" w:rsidP="006F168B">
      <w:pPr>
        <w:spacing w:after="0" w:line="240" w:lineRule="auto"/>
        <w:jc w:val="both"/>
        <w:rPr>
          <w:rFonts w:ascii="Arial" w:hAnsi="Arial" w:cs="Arial"/>
          <w:bCs/>
          <w:sz w:val="24"/>
          <w:szCs w:val="24"/>
        </w:rPr>
      </w:pPr>
    </w:p>
    <w:p w14:paraId="4915F413" w14:textId="77777777" w:rsidR="003625FE" w:rsidRPr="006F168B" w:rsidRDefault="003625FE" w:rsidP="006F168B">
      <w:pPr>
        <w:spacing w:after="0" w:line="240" w:lineRule="auto"/>
        <w:jc w:val="both"/>
        <w:rPr>
          <w:rFonts w:ascii="Arial" w:hAnsi="Arial" w:cs="Arial"/>
          <w:bCs/>
          <w:sz w:val="24"/>
          <w:szCs w:val="24"/>
        </w:rPr>
      </w:pPr>
      <w:r w:rsidRPr="006F168B">
        <w:rPr>
          <w:rFonts w:ascii="Arial" w:hAnsi="Arial" w:cs="Arial"/>
          <w:bCs/>
          <w:sz w:val="24"/>
          <w:szCs w:val="24"/>
        </w:rPr>
        <w:t>Por otra parte, de conformidad con lo previsto en el artículo 218, párrafo 3, del código electoral en cita, los partidos políticos promoverán y garantizarán en los términos del propio ordenamiento, la igualdad de oportunidades y procurarán la paridad de género en la vida política del país, a través de postulaciones a cargos de elección popular en el Congreso de la Unión, tanto de mayoría relativa como de representación proporcional.</w:t>
      </w:r>
    </w:p>
    <w:p w14:paraId="6A4157A3" w14:textId="77777777" w:rsidR="003625FE" w:rsidRPr="006F168B" w:rsidRDefault="003625FE" w:rsidP="006F168B">
      <w:pPr>
        <w:spacing w:after="0" w:line="240" w:lineRule="auto"/>
        <w:jc w:val="both"/>
        <w:rPr>
          <w:rFonts w:ascii="Arial" w:hAnsi="Arial" w:cs="Arial"/>
          <w:bCs/>
          <w:sz w:val="24"/>
          <w:szCs w:val="24"/>
        </w:rPr>
      </w:pPr>
    </w:p>
    <w:p w14:paraId="67CC0724" w14:textId="77777777" w:rsidR="003625FE" w:rsidRPr="006F168B" w:rsidRDefault="003625FE" w:rsidP="006F168B">
      <w:pPr>
        <w:spacing w:after="0" w:line="240" w:lineRule="auto"/>
        <w:jc w:val="both"/>
        <w:rPr>
          <w:rFonts w:ascii="Arial" w:hAnsi="Arial" w:cs="Arial"/>
          <w:bCs/>
          <w:sz w:val="24"/>
          <w:szCs w:val="24"/>
        </w:rPr>
      </w:pPr>
      <w:r w:rsidRPr="006F168B">
        <w:rPr>
          <w:rFonts w:ascii="Arial" w:hAnsi="Arial" w:cs="Arial"/>
          <w:bCs/>
          <w:sz w:val="24"/>
          <w:szCs w:val="24"/>
        </w:rPr>
        <w:t xml:space="preserve">En relación con lo anterior, en el artículo 219, párrafo 1, del Código Federal de Instituciones y Procedimientos Electorales, se prevé </w:t>
      </w:r>
      <w:proofErr w:type="gramStart"/>
      <w:r w:rsidRPr="006F168B">
        <w:rPr>
          <w:rFonts w:ascii="Arial" w:hAnsi="Arial" w:cs="Arial"/>
          <w:bCs/>
          <w:sz w:val="24"/>
          <w:szCs w:val="24"/>
        </w:rPr>
        <w:t>que</w:t>
      </w:r>
      <w:proofErr w:type="gramEnd"/>
      <w:r w:rsidRPr="006F168B">
        <w:rPr>
          <w:rFonts w:ascii="Arial" w:hAnsi="Arial" w:cs="Arial"/>
          <w:bCs/>
          <w:sz w:val="24"/>
          <w:szCs w:val="24"/>
        </w:rPr>
        <w:t xml:space="preserve"> de la totalidad de solicitudes de registro, tanto de las candidaturas a diputados como de senadores que presenten los partidos políticos o las coaliciones, deberán integrarse con al menos el cuarenta por ciento de candidatos propietarios de un mismo género, procurando llegar a la paridad.</w:t>
      </w:r>
    </w:p>
    <w:p w14:paraId="193AE4BF" w14:textId="77777777" w:rsidR="003625FE" w:rsidRPr="006F168B" w:rsidRDefault="003625FE" w:rsidP="006F168B">
      <w:pPr>
        <w:spacing w:after="0" w:line="240" w:lineRule="auto"/>
        <w:jc w:val="both"/>
        <w:rPr>
          <w:rFonts w:ascii="Arial" w:hAnsi="Arial" w:cs="Arial"/>
          <w:bCs/>
          <w:sz w:val="24"/>
          <w:szCs w:val="24"/>
        </w:rPr>
      </w:pPr>
    </w:p>
    <w:p w14:paraId="03661FC0" w14:textId="77777777" w:rsidR="003625FE" w:rsidRPr="006F168B" w:rsidRDefault="003625FE" w:rsidP="006F168B">
      <w:pPr>
        <w:spacing w:after="0" w:line="240" w:lineRule="auto"/>
        <w:jc w:val="both"/>
        <w:rPr>
          <w:rFonts w:ascii="Arial" w:hAnsi="Arial" w:cs="Arial"/>
          <w:bCs/>
          <w:sz w:val="24"/>
          <w:szCs w:val="24"/>
        </w:rPr>
      </w:pPr>
      <w:r w:rsidRPr="006F168B">
        <w:rPr>
          <w:rFonts w:ascii="Arial" w:hAnsi="Arial" w:cs="Arial"/>
          <w:bCs/>
          <w:sz w:val="24"/>
          <w:szCs w:val="24"/>
        </w:rPr>
        <w:t>De igual forma, en el artículo 220 del código electoral federal, se ordena que las listas de representación proporcional se integren por segmentos de cinco candidaturas, y que en cada uno de los segmentos de cada lista haya dos candidaturas de género distinto, de manera alternada.</w:t>
      </w:r>
    </w:p>
    <w:p w14:paraId="7FDCAA3D" w14:textId="77777777" w:rsidR="003625FE" w:rsidRPr="006F168B" w:rsidRDefault="003625FE" w:rsidP="006F168B">
      <w:pPr>
        <w:spacing w:after="0" w:line="240" w:lineRule="auto"/>
        <w:jc w:val="both"/>
        <w:rPr>
          <w:rFonts w:ascii="Arial" w:hAnsi="Arial" w:cs="Arial"/>
          <w:bCs/>
          <w:sz w:val="24"/>
          <w:szCs w:val="24"/>
        </w:rPr>
      </w:pPr>
    </w:p>
    <w:p w14:paraId="4F7BEDC8" w14:textId="77777777" w:rsidR="003625FE" w:rsidRPr="006F168B" w:rsidRDefault="003625FE" w:rsidP="006F168B">
      <w:pPr>
        <w:spacing w:after="0" w:line="240" w:lineRule="auto"/>
        <w:jc w:val="both"/>
        <w:rPr>
          <w:rFonts w:ascii="Arial" w:hAnsi="Arial" w:cs="Arial"/>
          <w:bCs/>
          <w:sz w:val="24"/>
          <w:szCs w:val="24"/>
        </w:rPr>
      </w:pPr>
      <w:r w:rsidRPr="006F168B">
        <w:rPr>
          <w:rFonts w:ascii="Arial" w:hAnsi="Arial" w:cs="Arial"/>
          <w:bCs/>
          <w:sz w:val="24"/>
          <w:szCs w:val="24"/>
        </w:rPr>
        <w:t xml:space="preserve">Adicionalmente a lo antes expuesto, cabe señalar que el lunes diez de enero de dos mil catorce, se publicó en el </w:t>
      </w:r>
      <w:r w:rsidRPr="006F168B">
        <w:rPr>
          <w:rFonts w:ascii="Arial" w:hAnsi="Arial" w:cs="Arial"/>
          <w:bCs/>
          <w:i/>
          <w:sz w:val="24"/>
          <w:szCs w:val="24"/>
        </w:rPr>
        <w:t>Diario Oficial de la Federación</w:t>
      </w:r>
      <w:r w:rsidRPr="006F168B">
        <w:rPr>
          <w:rFonts w:ascii="Arial" w:hAnsi="Arial" w:cs="Arial"/>
          <w:bCs/>
          <w:sz w:val="24"/>
          <w:szCs w:val="24"/>
        </w:rPr>
        <w:t xml:space="preserve"> el Decreto por el que se reformaron, adicionaron y derogaron diversas disposiciones de la Constitución Política de los Estados Unidos Mexicanos; entre las disposiciones que se </w:t>
      </w:r>
      <w:r w:rsidRPr="006F168B">
        <w:rPr>
          <w:rFonts w:ascii="Arial" w:hAnsi="Arial" w:cs="Arial"/>
          <w:bCs/>
          <w:sz w:val="24"/>
          <w:szCs w:val="24"/>
        </w:rPr>
        <w:lastRenderedPageBreak/>
        <w:t xml:space="preserve">modificaron, se encuentra el artículo 41, fracción I, párrafo segundo, en donde ahora se establece expresamente que los partidos políticos tienen entre sus fines, hacer posible el acceso de los ciudadanos al ejercicio del poder público, de acuerdo con, entre otros aspectos, las reglas para garantizar la paridad entre los géneros, en candidaturas a legisladores federales y locales. </w:t>
      </w:r>
    </w:p>
    <w:p w14:paraId="605DE2CD" w14:textId="77777777" w:rsidR="003625FE" w:rsidRPr="006F168B" w:rsidRDefault="003625FE" w:rsidP="006F168B">
      <w:pPr>
        <w:spacing w:after="0" w:line="240" w:lineRule="auto"/>
        <w:jc w:val="both"/>
        <w:rPr>
          <w:rFonts w:ascii="Arial" w:hAnsi="Arial" w:cs="Arial"/>
          <w:bCs/>
          <w:sz w:val="24"/>
          <w:szCs w:val="24"/>
        </w:rPr>
      </w:pPr>
    </w:p>
    <w:p w14:paraId="0CD2C7D0" w14:textId="77777777" w:rsidR="003625FE" w:rsidRPr="006F168B" w:rsidRDefault="003625FE" w:rsidP="006F168B">
      <w:pPr>
        <w:spacing w:after="0" w:line="240" w:lineRule="auto"/>
        <w:jc w:val="both"/>
        <w:rPr>
          <w:rFonts w:ascii="Arial" w:hAnsi="Arial" w:cs="Arial"/>
          <w:bCs/>
          <w:sz w:val="24"/>
          <w:szCs w:val="24"/>
        </w:rPr>
      </w:pPr>
      <w:r w:rsidRPr="006F168B">
        <w:rPr>
          <w:rFonts w:ascii="Arial" w:hAnsi="Arial" w:cs="Arial"/>
          <w:bCs/>
          <w:sz w:val="24"/>
          <w:szCs w:val="24"/>
        </w:rPr>
        <w:t>Asimismo, y en concordancia con lo antes precisado, en el artículo segundo transitorio del referido decreto de reformas constitucionales, se prevé que el Congreso de la Unión deberá expedir, entre otras, una ley general que regule los procedimientos electorales, en la que se establezcan las reglas para garantizar la paridad entre géneros en candidaturas a legisladores federales y locales.</w:t>
      </w:r>
    </w:p>
    <w:p w14:paraId="0D483B46" w14:textId="77777777" w:rsidR="003625FE" w:rsidRPr="006F168B" w:rsidRDefault="003625FE" w:rsidP="006F168B">
      <w:pPr>
        <w:spacing w:after="0" w:line="240" w:lineRule="auto"/>
        <w:jc w:val="both"/>
        <w:rPr>
          <w:rFonts w:ascii="Arial" w:hAnsi="Arial" w:cs="Arial"/>
          <w:bCs/>
          <w:sz w:val="24"/>
          <w:szCs w:val="24"/>
        </w:rPr>
      </w:pPr>
    </w:p>
    <w:p w14:paraId="2716B590" w14:textId="77777777" w:rsidR="003625FE" w:rsidRPr="006F168B" w:rsidRDefault="003625FE" w:rsidP="006F168B">
      <w:pPr>
        <w:spacing w:after="0" w:line="240" w:lineRule="auto"/>
        <w:jc w:val="both"/>
        <w:rPr>
          <w:rFonts w:ascii="Arial" w:hAnsi="Arial" w:cs="Arial"/>
          <w:bCs/>
          <w:sz w:val="24"/>
          <w:szCs w:val="24"/>
        </w:rPr>
      </w:pPr>
      <w:r w:rsidRPr="006F168B">
        <w:rPr>
          <w:rFonts w:ascii="Arial" w:hAnsi="Arial" w:cs="Arial"/>
          <w:bCs/>
          <w:sz w:val="24"/>
          <w:szCs w:val="24"/>
        </w:rPr>
        <w:t>En el presente caso, es claro que el Partido Acción Nacional, en ejercicio de su derecho de auto organización, y en cumplimiento de lo dispuesto en el artículo 38, párrafo 1, incisos f) y s), del Código Federal de Instituciones y Procedimientos Electorales, en donde se prevé que es obligación de los partidos políticos, entre otras, mantener en funcionamiento efectivo sus órganos estatutarios, así como garantizar la equidad y procurar la paridad de los géneros en sus órganos de dirección, determinó que de sus Consejeros Nacionales, el cuarenta por ciento fuera de un género distinto, como una acción afirmativa tendente a evitar la preponderancia de un género, en cuanto a la designación de Consejeros Nacionales electos en las Asambleas Estatales.</w:t>
      </w:r>
    </w:p>
    <w:p w14:paraId="2D401394" w14:textId="77777777" w:rsidR="003625FE" w:rsidRPr="006F168B" w:rsidRDefault="003625FE" w:rsidP="006F168B">
      <w:pPr>
        <w:spacing w:after="0" w:line="240" w:lineRule="auto"/>
        <w:jc w:val="both"/>
        <w:rPr>
          <w:rFonts w:ascii="Arial" w:hAnsi="Arial" w:cs="Arial"/>
          <w:bCs/>
          <w:sz w:val="24"/>
          <w:szCs w:val="24"/>
        </w:rPr>
      </w:pPr>
    </w:p>
    <w:p w14:paraId="0E3BEC6F" w14:textId="77777777" w:rsidR="003625FE" w:rsidRPr="006F168B" w:rsidRDefault="003625FE" w:rsidP="006F168B">
      <w:pPr>
        <w:spacing w:after="0" w:line="240" w:lineRule="auto"/>
        <w:jc w:val="both"/>
        <w:rPr>
          <w:rFonts w:ascii="Arial" w:hAnsi="Arial" w:cs="Arial"/>
          <w:sz w:val="24"/>
          <w:szCs w:val="24"/>
        </w:rPr>
      </w:pPr>
      <w:r w:rsidRPr="006F168B">
        <w:rPr>
          <w:rFonts w:ascii="Arial" w:hAnsi="Arial" w:cs="Arial"/>
          <w:sz w:val="24"/>
          <w:szCs w:val="24"/>
        </w:rPr>
        <w:t>En consecuencia, esta Sala Superior considera ajustada a derecho la interpretación realizada por el Partido Acción Nacional, en el sentido de ajustar las fracciones a las unidades, de tal forma que invariablemente se respete el porcentaje mínimo de representación de un género frente al otro, previsto en el artículo 25, párrafo 1, inciso l), de los Estatutos Generales del propio instituto político, y por lo tanto se propusiera una lista integrada por tres Consejeros de cada género, lo que representa un porcentaje del cincuenta por ciento para cada caso, lo que evidentemente, en el caso concreto, es la única forma de respetar la disposición antes precisada, que se traduce en que haya un máximo de sesenta por ciento (60%) de un género, y mínimo de cuarenta por ciento (40%), del otro género.</w:t>
      </w:r>
    </w:p>
    <w:p w14:paraId="2BEA25BC" w14:textId="77777777" w:rsidR="003625FE" w:rsidRPr="006F168B" w:rsidRDefault="003625FE" w:rsidP="006F168B">
      <w:pPr>
        <w:spacing w:after="0" w:line="240" w:lineRule="auto"/>
        <w:jc w:val="both"/>
        <w:rPr>
          <w:rFonts w:ascii="Arial" w:hAnsi="Arial" w:cs="Arial"/>
          <w:sz w:val="24"/>
          <w:szCs w:val="24"/>
        </w:rPr>
      </w:pPr>
    </w:p>
    <w:p w14:paraId="50B654BE" w14:textId="77777777" w:rsidR="003625FE" w:rsidRPr="006F168B" w:rsidRDefault="003625FE" w:rsidP="006F168B">
      <w:pPr>
        <w:spacing w:after="0" w:line="240" w:lineRule="auto"/>
        <w:jc w:val="both"/>
        <w:rPr>
          <w:rFonts w:ascii="Arial" w:hAnsi="Arial" w:cs="Arial"/>
          <w:sz w:val="24"/>
          <w:szCs w:val="24"/>
        </w:rPr>
      </w:pPr>
      <w:r w:rsidRPr="006F168B">
        <w:rPr>
          <w:rFonts w:ascii="Arial" w:hAnsi="Arial" w:cs="Arial"/>
          <w:sz w:val="24"/>
          <w:szCs w:val="24"/>
        </w:rPr>
        <w:t>Ahora bien, una vez precisado lo anterior, de la revisión de la lista de ciudadanos propuestos como Consejeros Nacionales en la Asamblea Estatal celebrada el veinticuatro de febrero del año en curso en el Estado de Chiapas, se puede observar que los primeros seis lugares están ocupados por cuatro hombres (lugares uno, tres, cinco y seis) y dos mujeres (lugares dos y cuatro), y por lo tanto había que acudir a lo establecido en el numeral cincuenta y cuatro de la Convocatoria correspondiente, y en consecuencia recorrer la lista del género sub representado.</w:t>
      </w:r>
    </w:p>
    <w:p w14:paraId="7DDDE6BE" w14:textId="77777777" w:rsidR="003625FE" w:rsidRPr="006F168B" w:rsidRDefault="003625FE" w:rsidP="006F168B">
      <w:pPr>
        <w:spacing w:after="0" w:line="240" w:lineRule="auto"/>
        <w:jc w:val="both"/>
        <w:rPr>
          <w:rFonts w:ascii="Arial" w:hAnsi="Arial" w:cs="Arial"/>
          <w:sz w:val="24"/>
          <w:szCs w:val="24"/>
        </w:rPr>
      </w:pPr>
    </w:p>
    <w:p w14:paraId="44EA128A" w14:textId="77777777" w:rsidR="003625FE" w:rsidRPr="006F168B" w:rsidRDefault="003625FE" w:rsidP="006F168B">
      <w:pPr>
        <w:spacing w:after="0" w:line="240" w:lineRule="auto"/>
        <w:jc w:val="both"/>
        <w:rPr>
          <w:rFonts w:ascii="Arial" w:hAnsi="Arial" w:cs="Arial"/>
          <w:sz w:val="24"/>
          <w:szCs w:val="24"/>
        </w:rPr>
      </w:pPr>
      <w:r w:rsidRPr="006F168B">
        <w:rPr>
          <w:rFonts w:ascii="Arial" w:hAnsi="Arial" w:cs="Arial"/>
          <w:sz w:val="24"/>
          <w:szCs w:val="24"/>
        </w:rPr>
        <w:t xml:space="preserve">En el caso, al ser el actor el </w:t>
      </w:r>
      <w:proofErr w:type="gramStart"/>
      <w:r w:rsidRPr="006F168B">
        <w:rPr>
          <w:rFonts w:ascii="Arial" w:hAnsi="Arial" w:cs="Arial"/>
          <w:sz w:val="24"/>
          <w:szCs w:val="24"/>
        </w:rPr>
        <w:t>Consejero</w:t>
      </w:r>
      <w:proofErr w:type="gramEnd"/>
      <w:r w:rsidRPr="006F168B">
        <w:rPr>
          <w:rFonts w:ascii="Arial" w:hAnsi="Arial" w:cs="Arial"/>
          <w:sz w:val="24"/>
          <w:szCs w:val="24"/>
        </w:rPr>
        <w:t xml:space="preserve"> ubicado en la sexta posición de la lista, y debiendo realizarse la sustitución únicamente de un hombre por una mujer, evidentemente el corrimiento debió hacerse en su persona y de la siguiente mujer en la lista, es decir, de aquella que ocupaba el lugar número ocho, Gloria Trinidad Luna Ruiz, toda vez que el séptimo lugar también estaba ocupado por un hombre.</w:t>
      </w:r>
    </w:p>
    <w:p w14:paraId="62D61A5D" w14:textId="77777777" w:rsidR="003625FE" w:rsidRPr="006F168B" w:rsidRDefault="003625FE" w:rsidP="006F168B">
      <w:pPr>
        <w:spacing w:after="0" w:line="240" w:lineRule="auto"/>
        <w:jc w:val="both"/>
        <w:rPr>
          <w:rFonts w:ascii="Arial" w:hAnsi="Arial" w:cs="Arial"/>
          <w:sz w:val="24"/>
          <w:szCs w:val="24"/>
        </w:rPr>
      </w:pPr>
    </w:p>
    <w:p w14:paraId="4ABE40A5" w14:textId="77777777" w:rsidR="003625FE" w:rsidRPr="006F168B" w:rsidRDefault="003625FE" w:rsidP="006F168B">
      <w:pPr>
        <w:spacing w:after="0" w:line="240" w:lineRule="auto"/>
        <w:jc w:val="both"/>
        <w:rPr>
          <w:rFonts w:ascii="Arial" w:hAnsi="Arial" w:cs="Arial"/>
          <w:sz w:val="24"/>
          <w:szCs w:val="24"/>
        </w:rPr>
      </w:pPr>
      <w:r w:rsidRPr="006F168B">
        <w:rPr>
          <w:rFonts w:ascii="Arial" w:hAnsi="Arial" w:cs="Arial"/>
          <w:sz w:val="24"/>
          <w:szCs w:val="24"/>
        </w:rPr>
        <w:t>Por lo tanto, esta Sala Superior arriba a la convicción de que se encuentra plenamente justificada la sustitución de José Francisco Hernández Gordillo, por Gloria Trinidad Luna Ruiz, en la lista de Consejeros Nacionales del Partido de Acción Nacional, electos en la Asamblea Estatal celebrada el veinticuatro de febrero del año en curso, en el Estado de Chiapas, y ratificada por la XXII Asamblea Nacional del propio partido político el pasado veintinueve de marzo del mismo año, a fin de cumplir con lo dispuesto en los artículos 25 de los Estatutos Generales y 31 del Reglamento de Órganos Estatales y Municipales, ambos del citado instituto político.</w:t>
      </w:r>
    </w:p>
    <w:p w14:paraId="7FC2D221" w14:textId="77777777" w:rsidR="003625FE" w:rsidRPr="006F168B" w:rsidRDefault="003625FE" w:rsidP="006F168B">
      <w:pPr>
        <w:spacing w:after="0" w:line="240" w:lineRule="auto"/>
        <w:jc w:val="both"/>
        <w:rPr>
          <w:rFonts w:ascii="Arial" w:hAnsi="Arial" w:cs="Arial"/>
          <w:sz w:val="24"/>
          <w:szCs w:val="24"/>
        </w:rPr>
      </w:pPr>
    </w:p>
    <w:p w14:paraId="7004342C" w14:textId="77777777" w:rsidR="003625FE" w:rsidRPr="006F168B" w:rsidRDefault="003625FE" w:rsidP="006F168B">
      <w:pPr>
        <w:spacing w:after="0" w:line="240" w:lineRule="auto"/>
        <w:jc w:val="both"/>
        <w:rPr>
          <w:rFonts w:ascii="Arial" w:hAnsi="Arial" w:cs="Arial"/>
          <w:sz w:val="24"/>
          <w:szCs w:val="24"/>
        </w:rPr>
      </w:pPr>
      <w:r w:rsidRPr="006F168B">
        <w:rPr>
          <w:rFonts w:ascii="Arial" w:hAnsi="Arial" w:cs="Arial"/>
          <w:sz w:val="24"/>
          <w:szCs w:val="24"/>
        </w:rPr>
        <w:t>Asimismo, el agravio en que el actor se duele de que la referida sustitución no le fue oportunamente notificada, y no se le permitió manifestar su inconformidad al respecto, resulta infundado, toda vez de que, como ha quedado señalado, el Partido Acción Nacional procedió a aplicar puntualmente las disposiciones contempladas en sus  Estatutos Generales, así como en el Reglamento de los Órganos Estatales y Municipales, y en la propia Convocatoria para la celebración de la Asamblea Estatal en Chiapas.</w:t>
      </w:r>
    </w:p>
    <w:p w14:paraId="6C52634F" w14:textId="77777777" w:rsidR="003625FE" w:rsidRPr="006F168B" w:rsidRDefault="003625FE" w:rsidP="006F168B">
      <w:pPr>
        <w:spacing w:after="0" w:line="240" w:lineRule="auto"/>
        <w:jc w:val="both"/>
        <w:rPr>
          <w:rFonts w:ascii="Arial" w:hAnsi="Arial" w:cs="Arial"/>
          <w:sz w:val="24"/>
          <w:szCs w:val="24"/>
        </w:rPr>
      </w:pPr>
    </w:p>
    <w:p w14:paraId="2FB8BA1F" w14:textId="77777777" w:rsidR="003625FE" w:rsidRPr="006F168B" w:rsidRDefault="003625FE" w:rsidP="006F168B">
      <w:pPr>
        <w:spacing w:after="0" w:line="240" w:lineRule="auto"/>
        <w:jc w:val="both"/>
        <w:rPr>
          <w:rFonts w:ascii="Arial" w:hAnsi="Arial" w:cs="Arial"/>
          <w:sz w:val="24"/>
          <w:szCs w:val="24"/>
        </w:rPr>
      </w:pPr>
      <w:r w:rsidRPr="006F168B">
        <w:rPr>
          <w:rFonts w:ascii="Arial" w:hAnsi="Arial" w:cs="Arial"/>
          <w:sz w:val="24"/>
          <w:szCs w:val="24"/>
        </w:rPr>
        <w:t>En este sentido, el actor conoció desde el momento que decidió participar en la Asamblea Estatal, la posibilidad de que las listas fueran ajustadas por cuestiones de cuotas de género, y estuvo en posibilidades de impugnar el numeral cincuenta y tres de la Convocatoria, lo que no hizo.</w:t>
      </w:r>
    </w:p>
    <w:p w14:paraId="5CC90ACE" w14:textId="77777777" w:rsidR="003625FE" w:rsidRPr="006F168B" w:rsidRDefault="003625FE" w:rsidP="006F168B">
      <w:pPr>
        <w:spacing w:after="0" w:line="240" w:lineRule="auto"/>
        <w:jc w:val="both"/>
        <w:rPr>
          <w:rFonts w:ascii="Arial" w:hAnsi="Arial" w:cs="Arial"/>
          <w:sz w:val="24"/>
          <w:szCs w:val="24"/>
        </w:rPr>
      </w:pPr>
    </w:p>
    <w:p w14:paraId="27B06EFB" w14:textId="77777777" w:rsidR="003625FE" w:rsidRPr="006F168B" w:rsidRDefault="003625FE" w:rsidP="006F168B">
      <w:pPr>
        <w:spacing w:after="0" w:line="240" w:lineRule="auto"/>
        <w:jc w:val="both"/>
        <w:rPr>
          <w:rFonts w:ascii="Arial" w:hAnsi="Arial" w:cs="Arial"/>
          <w:sz w:val="24"/>
          <w:szCs w:val="24"/>
        </w:rPr>
      </w:pPr>
      <w:r w:rsidRPr="006F168B">
        <w:rPr>
          <w:rFonts w:ascii="Arial" w:hAnsi="Arial" w:cs="Arial"/>
          <w:sz w:val="24"/>
          <w:szCs w:val="24"/>
        </w:rPr>
        <w:t>Independientemente de lo anterior, el supuesto de que no se le notificara al actor su sustitución, no puede considerarse razón suficiente para no respetar los porcentajes de cuotas exigidos en la normatividad partidista, pues como ha quedado previamente precisado, de no haber procedido en los términos que lo hizo, el propio partido político se hubiera encontrado en un supuesto de inaplicación de su normativa interna, lo cual en forma alguna hubiera resultado jurídicamente válido.</w:t>
      </w:r>
    </w:p>
    <w:p w14:paraId="369E6D79" w14:textId="77777777" w:rsidR="003625FE" w:rsidRPr="006F168B" w:rsidRDefault="003625FE" w:rsidP="006F168B">
      <w:pPr>
        <w:spacing w:after="0" w:line="240" w:lineRule="auto"/>
        <w:jc w:val="both"/>
        <w:rPr>
          <w:rFonts w:ascii="Arial" w:hAnsi="Arial" w:cs="Arial"/>
          <w:sz w:val="24"/>
          <w:szCs w:val="24"/>
        </w:rPr>
      </w:pPr>
    </w:p>
    <w:p w14:paraId="76DA9013" w14:textId="77777777" w:rsidR="003625FE" w:rsidRPr="006F168B" w:rsidRDefault="003625FE" w:rsidP="006F168B">
      <w:pPr>
        <w:spacing w:after="0" w:line="240" w:lineRule="auto"/>
        <w:jc w:val="both"/>
        <w:rPr>
          <w:rFonts w:ascii="Arial" w:hAnsi="Arial" w:cs="Arial"/>
          <w:sz w:val="24"/>
          <w:szCs w:val="24"/>
        </w:rPr>
      </w:pPr>
      <w:r w:rsidRPr="006F168B">
        <w:rPr>
          <w:rFonts w:ascii="Arial" w:hAnsi="Arial" w:cs="Arial"/>
          <w:sz w:val="24"/>
          <w:szCs w:val="24"/>
        </w:rPr>
        <w:t xml:space="preserve">De lo anterior, lo infundado de los agravios hechos valer en este sentido por el actor. </w:t>
      </w:r>
    </w:p>
    <w:p w14:paraId="39D60FEE" w14:textId="77777777" w:rsidR="003625FE" w:rsidRPr="006F168B" w:rsidRDefault="003625FE" w:rsidP="006F168B">
      <w:pPr>
        <w:spacing w:after="0" w:line="240" w:lineRule="auto"/>
        <w:jc w:val="both"/>
        <w:rPr>
          <w:rFonts w:ascii="Arial" w:hAnsi="Arial" w:cs="Arial"/>
          <w:sz w:val="24"/>
          <w:szCs w:val="24"/>
        </w:rPr>
      </w:pPr>
    </w:p>
    <w:p w14:paraId="642DEE02" w14:textId="77777777" w:rsidR="003625FE" w:rsidRPr="006F168B" w:rsidRDefault="003625FE" w:rsidP="006F168B">
      <w:pPr>
        <w:spacing w:after="0" w:line="240" w:lineRule="auto"/>
        <w:jc w:val="both"/>
        <w:rPr>
          <w:rFonts w:ascii="Arial" w:hAnsi="Arial" w:cs="Arial"/>
          <w:sz w:val="24"/>
          <w:szCs w:val="24"/>
        </w:rPr>
      </w:pPr>
      <w:r w:rsidRPr="006F168B">
        <w:rPr>
          <w:rFonts w:ascii="Arial" w:hAnsi="Arial" w:cs="Arial"/>
          <w:sz w:val="24"/>
          <w:szCs w:val="24"/>
        </w:rPr>
        <w:t>Por otra parte, también debe desestimarse lo aducido por el actor en el sentido de que su reconocimiento como Consejero Nacional no afectaría los porcentajes mínimos y máximos establecidos en los Estatutos Generales del Partido Político, pues si se incluye su nombre, en perjuicio de Gloria Trinidad Luna Ruiz, la integración quedaría con ciento veintiocho mujeres, que equivalen al 47.58% y ciento cuarenta y un hombres, equivalente al 52.42%, con lo que se respetaría el porcentaje del 60%-40% dispuesto en la fracción l) del numeral 1, del artículo 25 de los Estatutos Generales del Partido Acción Nacional.</w:t>
      </w:r>
    </w:p>
    <w:p w14:paraId="5110A6AE" w14:textId="77777777" w:rsidR="003625FE" w:rsidRPr="006F168B" w:rsidRDefault="003625FE" w:rsidP="006F168B">
      <w:pPr>
        <w:spacing w:after="0" w:line="240" w:lineRule="auto"/>
        <w:jc w:val="both"/>
        <w:rPr>
          <w:rFonts w:ascii="Arial" w:hAnsi="Arial" w:cs="Arial"/>
          <w:sz w:val="24"/>
          <w:szCs w:val="24"/>
        </w:rPr>
      </w:pPr>
    </w:p>
    <w:p w14:paraId="06D746E4" w14:textId="77777777" w:rsidR="003625FE" w:rsidRPr="006F168B" w:rsidRDefault="003625FE" w:rsidP="006F168B">
      <w:pPr>
        <w:spacing w:after="0" w:line="240" w:lineRule="auto"/>
        <w:jc w:val="both"/>
        <w:rPr>
          <w:rFonts w:ascii="Arial" w:hAnsi="Arial" w:cs="Arial"/>
          <w:sz w:val="24"/>
          <w:szCs w:val="24"/>
        </w:rPr>
      </w:pPr>
      <w:r w:rsidRPr="006F168B">
        <w:rPr>
          <w:rFonts w:ascii="Arial" w:hAnsi="Arial" w:cs="Arial"/>
          <w:sz w:val="24"/>
          <w:szCs w:val="24"/>
        </w:rPr>
        <w:t xml:space="preserve">Al respecto debe destacarse que las disposiciones partidistas aplicables contienen los supuestos que deben seguirse sistemáticamente para poder alcanzar el referido porcentaje de género para el Consejo Nacional, y en este sentido, se prevé que desde las Asambleas Estatales sea respetada la relación de sesenta-cuarenta, pues </w:t>
      </w:r>
      <w:r w:rsidRPr="006F168B">
        <w:rPr>
          <w:rFonts w:ascii="Arial" w:hAnsi="Arial" w:cs="Arial"/>
          <w:sz w:val="24"/>
          <w:szCs w:val="24"/>
        </w:rPr>
        <w:lastRenderedPageBreak/>
        <w:t>de lo contrario, no habría certeza de que, al momento de ratificar las designaciones de cada Estado pudiera cumplirse con este requisito.</w:t>
      </w:r>
    </w:p>
    <w:p w14:paraId="0BC75EF7" w14:textId="77777777" w:rsidR="003625FE" w:rsidRPr="006F168B" w:rsidRDefault="003625FE" w:rsidP="006F168B">
      <w:pPr>
        <w:spacing w:after="0" w:line="240" w:lineRule="auto"/>
        <w:jc w:val="both"/>
        <w:rPr>
          <w:rFonts w:ascii="Arial" w:hAnsi="Arial" w:cs="Arial"/>
          <w:sz w:val="24"/>
          <w:szCs w:val="24"/>
        </w:rPr>
      </w:pPr>
    </w:p>
    <w:p w14:paraId="7A92DDCD" w14:textId="77777777" w:rsidR="003625FE" w:rsidRPr="006F168B" w:rsidRDefault="003625FE" w:rsidP="006F168B">
      <w:pPr>
        <w:spacing w:after="0" w:line="240" w:lineRule="auto"/>
        <w:jc w:val="both"/>
        <w:rPr>
          <w:rFonts w:ascii="Arial" w:hAnsi="Arial" w:cs="Arial"/>
          <w:sz w:val="24"/>
          <w:szCs w:val="24"/>
        </w:rPr>
      </w:pPr>
      <w:r w:rsidRPr="006F168B">
        <w:rPr>
          <w:rFonts w:ascii="Arial" w:hAnsi="Arial" w:cs="Arial"/>
          <w:sz w:val="24"/>
          <w:szCs w:val="24"/>
        </w:rPr>
        <w:t>En consecuencia, independientemente de que la inclusión del actor en la lista final de Consejeros Nacionales no afectaría le proporción de género establecida en los estatutos del partidos, como cuestión previa, debe respetarse la misma proporción en la lista que se apruebe a nivel estatal, y. como ya quedó explicado, el actor fue debidamente sustituido por una mujer en la correspondiente al estado de Chiapas, lo que hace totalmente inviable su pretensión de, saltándose esta etapa, sea incluido en la lista final.</w:t>
      </w:r>
    </w:p>
    <w:p w14:paraId="6F540AE3" w14:textId="77777777" w:rsidR="003625FE" w:rsidRPr="006F168B" w:rsidRDefault="003625FE" w:rsidP="006F168B">
      <w:pPr>
        <w:spacing w:after="0" w:line="240" w:lineRule="auto"/>
        <w:jc w:val="both"/>
        <w:rPr>
          <w:rFonts w:ascii="Arial" w:hAnsi="Arial" w:cs="Arial"/>
          <w:sz w:val="24"/>
          <w:szCs w:val="24"/>
        </w:rPr>
      </w:pPr>
    </w:p>
    <w:p w14:paraId="0632ABC4" w14:textId="77777777" w:rsidR="003625FE" w:rsidRPr="006F168B" w:rsidRDefault="003625FE" w:rsidP="006F168B">
      <w:pPr>
        <w:spacing w:after="0" w:line="240" w:lineRule="auto"/>
        <w:jc w:val="both"/>
        <w:rPr>
          <w:rFonts w:ascii="Arial" w:hAnsi="Arial" w:cs="Arial"/>
          <w:sz w:val="24"/>
          <w:szCs w:val="24"/>
        </w:rPr>
      </w:pPr>
      <w:r w:rsidRPr="006F168B">
        <w:rPr>
          <w:rFonts w:ascii="Arial" w:hAnsi="Arial" w:cs="Arial"/>
          <w:sz w:val="24"/>
          <w:szCs w:val="24"/>
        </w:rPr>
        <w:t>En mérito de lo anterior, y toda vez que la pretensión del actor es que se le reconozca su calidad de Consejero Nacional del Partido Acción Nacional por el Estado de Chiapas, para el periodo dos mil catorce, dos mil dieciséis, el resto de los agravios deben declararse inoperantes, pues no son suficientes para alcanzar la referida pretensión.</w:t>
      </w:r>
    </w:p>
    <w:p w14:paraId="60F43712" w14:textId="77777777" w:rsidR="003625FE" w:rsidRPr="006F168B" w:rsidRDefault="003625FE" w:rsidP="006F168B">
      <w:pPr>
        <w:spacing w:after="0" w:line="240" w:lineRule="auto"/>
        <w:jc w:val="both"/>
        <w:rPr>
          <w:rFonts w:ascii="Arial" w:hAnsi="Arial" w:cs="Arial"/>
          <w:sz w:val="24"/>
          <w:szCs w:val="24"/>
        </w:rPr>
      </w:pPr>
    </w:p>
    <w:p w14:paraId="13F1A893" w14:textId="77777777" w:rsidR="003625FE" w:rsidRPr="006F168B" w:rsidRDefault="003625FE" w:rsidP="006F168B">
      <w:pPr>
        <w:spacing w:after="0" w:line="240" w:lineRule="auto"/>
        <w:jc w:val="both"/>
        <w:rPr>
          <w:rFonts w:ascii="Arial" w:hAnsi="Arial" w:cs="Arial"/>
          <w:sz w:val="24"/>
          <w:szCs w:val="24"/>
        </w:rPr>
      </w:pPr>
      <w:r w:rsidRPr="006F168B">
        <w:rPr>
          <w:rFonts w:ascii="Arial" w:hAnsi="Arial" w:cs="Arial"/>
          <w:sz w:val="24"/>
          <w:szCs w:val="24"/>
        </w:rPr>
        <w:t>Efectivamente, el resto de los agravios del actor van encaminados a acreditar supuestas irregularidades en la tramitación y resolución de su escrito de inconformidad, así como en el dictado de las providencias por parte de la Presidenta del Comité Ejecutivo Nacional del Partido Acción Nacional, así como la ratificación de aquellas por este último órgano, sin que se alegue nada en contra de la celebración de la multicitada Asamblea Estatal, ni respecto de la elegibilidad de alguno de los seis Consejeros Nacionales que integraron la respectiva lista.</w:t>
      </w:r>
    </w:p>
    <w:p w14:paraId="38DCCC9F" w14:textId="4C3DB1D1" w:rsidR="003625FE" w:rsidRDefault="003625FE" w:rsidP="006F168B">
      <w:pPr>
        <w:spacing w:after="0" w:line="240" w:lineRule="auto"/>
        <w:jc w:val="both"/>
        <w:rPr>
          <w:rFonts w:ascii="Arial" w:hAnsi="Arial" w:cs="Arial"/>
          <w:sz w:val="24"/>
          <w:szCs w:val="24"/>
        </w:rPr>
      </w:pPr>
      <w:r w:rsidRPr="006F168B">
        <w:rPr>
          <w:rFonts w:ascii="Arial" w:hAnsi="Arial" w:cs="Arial"/>
          <w:sz w:val="24"/>
          <w:szCs w:val="24"/>
        </w:rPr>
        <w:t>En consecuencia, lo procedente conforme a derecho, es confirmar los actos impugnados.</w:t>
      </w:r>
    </w:p>
    <w:p w14:paraId="75DB7DDB" w14:textId="77777777" w:rsidR="006F168B" w:rsidRPr="006F168B" w:rsidRDefault="006F168B" w:rsidP="006F168B">
      <w:pPr>
        <w:spacing w:after="0" w:line="240" w:lineRule="auto"/>
        <w:jc w:val="both"/>
        <w:rPr>
          <w:rFonts w:ascii="Arial" w:hAnsi="Arial" w:cs="Arial"/>
          <w:sz w:val="24"/>
          <w:szCs w:val="24"/>
        </w:rPr>
      </w:pPr>
    </w:p>
    <w:p w14:paraId="09A2B29A" w14:textId="00784016" w:rsidR="003625FE" w:rsidRDefault="003625FE" w:rsidP="006F168B">
      <w:pPr>
        <w:spacing w:after="0" w:line="240" w:lineRule="auto"/>
        <w:jc w:val="both"/>
        <w:rPr>
          <w:rFonts w:ascii="Arial" w:eastAsia="Times New Roman" w:hAnsi="Arial" w:cs="Arial"/>
          <w:sz w:val="24"/>
          <w:szCs w:val="24"/>
          <w:lang w:eastAsia="es-MX"/>
        </w:rPr>
      </w:pPr>
      <w:r w:rsidRPr="006F168B">
        <w:rPr>
          <w:rFonts w:ascii="Arial" w:eastAsia="Times New Roman" w:hAnsi="Arial" w:cs="Arial"/>
          <w:sz w:val="24"/>
          <w:szCs w:val="24"/>
          <w:lang w:eastAsia="es-MX"/>
        </w:rPr>
        <w:t>Por lo expuesto y fundado, se</w:t>
      </w:r>
    </w:p>
    <w:p w14:paraId="203F337B" w14:textId="77777777" w:rsidR="006F168B" w:rsidRPr="006F168B" w:rsidRDefault="006F168B" w:rsidP="006F168B">
      <w:pPr>
        <w:spacing w:after="0" w:line="240" w:lineRule="auto"/>
        <w:jc w:val="both"/>
        <w:rPr>
          <w:rFonts w:ascii="Arial" w:eastAsia="Times New Roman" w:hAnsi="Arial" w:cs="Arial"/>
          <w:sz w:val="24"/>
          <w:szCs w:val="24"/>
          <w:lang w:eastAsia="es-MX"/>
        </w:rPr>
      </w:pPr>
    </w:p>
    <w:p w14:paraId="41AA7252" w14:textId="33A6C4F6" w:rsidR="003625FE" w:rsidRDefault="003625FE" w:rsidP="006F168B">
      <w:pPr>
        <w:spacing w:after="0" w:line="240" w:lineRule="auto"/>
        <w:jc w:val="center"/>
        <w:rPr>
          <w:rFonts w:ascii="Arial" w:eastAsia="Times New Roman" w:hAnsi="Arial" w:cs="Arial"/>
          <w:b/>
          <w:sz w:val="24"/>
          <w:szCs w:val="24"/>
          <w:lang w:eastAsia="es-MX"/>
        </w:rPr>
      </w:pPr>
      <w:r w:rsidRPr="006F168B">
        <w:rPr>
          <w:rFonts w:ascii="Arial" w:eastAsia="Times New Roman" w:hAnsi="Arial" w:cs="Arial"/>
          <w:b/>
          <w:sz w:val="24"/>
          <w:szCs w:val="24"/>
          <w:lang w:eastAsia="es-MX"/>
        </w:rPr>
        <w:t>R E S U E L V E</w:t>
      </w:r>
    </w:p>
    <w:p w14:paraId="1FDED717" w14:textId="77777777" w:rsidR="006F168B" w:rsidRPr="006F168B" w:rsidRDefault="006F168B" w:rsidP="006F168B">
      <w:pPr>
        <w:spacing w:after="0" w:line="240" w:lineRule="auto"/>
        <w:jc w:val="both"/>
        <w:rPr>
          <w:rFonts w:ascii="Arial" w:eastAsia="Times New Roman" w:hAnsi="Arial" w:cs="Arial"/>
          <w:b/>
          <w:sz w:val="24"/>
          <w:szCs w:val="24"/>
          <w:lang w:eastAsia="es-MX"/>
        </w:rPr>
      </w:pPr>
    </w:p>
    <w:p w14:paraId="42F08C5B" w14:textId="42EE54A6" w:rsidR="003625FE" w:rsidRDefault="003625FE" w:rsidP="006F168B">
      <w:pPr>
        <w:spacing w:after="0" w:line="240" w:lineRule="auto"/>
        <w:jc w:val="both"/>
        <w:rPr>
          <w:rFonts w:ascii="Arial" w:eastAsia="Arial Unicode MS" w:hAnsi="Arial" w:cs="Arial"/>
          <w:bCs/>
          <w:sz w:val="24"/>
          <w:szCs w:val="24"/>
          <w:lang w:eastAsia="es-MX"/>
        </w:rPr>
      </w:pPr>
      <w:r w:rsidRPr="006F168B">
        <w:rPr>
          <w:rFonts w:ascii="Arial" w:eastAsia="Times New Roman" w:hAnsi="Arial" w:cs="Arial"/>
          <w:b/>
          <w:sz w:val="24"/>
          <w:szCs w:val="24"/>
          <w:lang w:eastAsia="es-MX"/>
        </w:rPr>
        <w:t xml:space="preserve">ÚNICO. </w:t>
      </w:r>
      <w:r w:rsidRPr="006F168B">
        <w:rPr>
          <w:rFonts w:ascii="Arial" w:eastAsia="Times New Roman" w:hAnsi="Arial" w:cs="Arial"/>
          <w:sz w:val="24"/>
          <w:szCs w:val="24"/>
          <w:lang w:eastAsia="es-MX"/>
        </w:rPr>
        <w:t xml:space="preserve">Se confirma, en lo que fue materia de impugnación, el oficio </w:t>
      </w:r>
      <w:r w:rsidRPr="006F168B">
        <w:rPr>
          <w:rFonts w:ascii="Arial" w:eastAsia="Arial Unicode MS" w:hAnsi="Arial" w:cs="Arial"/>
          <w:bCs/>
          <w:sz w:val="24"/>
          <w:szCs w:val="24"/>
          <w:lang w:eastAsia="es-MX"/>
        </w:rPr>
        <w:t xml:space="preserve">SG/130/2014 dictado por la </w:t>
      </w:r>
      <w:proofErr w:type="gramStart"/>
      <w:r w:rsidRPr="006F168B">
        <w:rPr>
          <w:rFonts w:ascii="Arial" w:eastAsia="Arial Unicode MS" w:hAnsi="Arial" w:cs="Arial"/>
          <w:bCs/>
          <w:sz w:val="24"/>
          <w:szCs w:val="24"/>
          <w:lang w:eastAsia="es-MX"/>
        </w:rPr>
        <w:t>Presidenta</w:t>
      </w:r>
      <w:proofErr w:type="gramEnd"/>
      <w:r w:rsidRPr="006F168B">
        <w:rPr>
          <w:rFonts w:ascii="Arial" w:eastAsia="Arial Unicode MS" w:hAnsi="Arial" w:cs="Arial"/>
          <w:bCs/>
          <w:sz w:val="24"/>
          <w:szCs w:val="24"/>
          <w:lang w:eastAsia="es-MX"/>
        </w:rPr>
        <w:t xml:space="preserve"> del Comité Ejecutivo Nacional del Partido Acción Nacional, así como el acuerdo CEN/SG/025/2014, emitido por el propio Comité Ejecutivo Nacional.</w:t>
      </w:r>
    </w:p>
    <w:p w14:paraId="4C324AD8" w14:textId="77777777" w:rsidR="006F168B" w:rsidRPr="006F168B" w:rsidRDefault="006F168B" w:rsidP="006F168B">
      <w:pPr>
        <w:spacing w:after="0" w:line="240" w:lineRule="auto"/>
        <w:jc w:val="both"/>
        <w:rPr>
          <w:rFonts w:ascii="Arial" w:eastAsia="Arial Unicode MS" w:hAnsi="Arial" w:cs="Arial"/>
          <w:bCs/>
          <w:sz w:val="24"/>
          <w:szCs w:val="24"/>
          <w:lang w:eastAsia="es-MX"/>
        </w:rPr>
      </w:pPr>
    </w:p>
    <w:p w14:paraId="21454D5C" w14:textId="406E1D3B" w:rsidR="003625FE" w:rsidRDefault="003625FE" w:rsidP="006F168B">
      <w:pPr>
        <w:tabs>
          <w:tab w:val="left" w:pos="709"/>
        </w:tabs>
        <w:spacing w:after="0" w:line="240" w:lineRule="auto"/>
        <w:jc w:val="both"/>
        <w:rPr>
          <w:rFonts w:ascii="Arial" w:eastAsia="Times New Roman" w:hAnsi="Arial" w:cs="Arial"/>
          <w:sz w:val="24"/>
          <w:szCs w:val="24"/>
          <w:lang w:eastAsia="es-MX"/>
        </w:rPr>
      </w:pPr>
      <w:r w:rsidRPr="006F168B">
        <w:rPr>
          <w:rFonts w:ascii="Arial" w:eastAsia="Times New Roman" w:hAnsi="Arial" w:cs="Arial"/>
          <w:b/>
          <w:sz w:val="24"/>
          <w:szCs w:val="24"/>
          <w:lang w:eastAsia="es-MX"/>
        </w:rPr>
        <w:t xml:space="preserve">NOTIFÍQUESE </w:t>
      </w:r>
      <w:r w:rsidRPr="006F168B">
        <w:rPr>
          <w:rFonts w:ascii="Arial" w:eastAsia="Times New Roman" w:hAnsi="Arial" w:cs="Arial"/>
          <w:b/>
          <w:bCs/>
          <w:sz w:val="24"/>
          <w:szCs w:val="24"/>
          <w:lang w:eastAsia="es-MX"/>
        </w:rPr>
        <w:t xml:space="preserve">por estrados </w:t>
      </w:r>
      <w:r w:rsidRPr="006F168B">
        <w:rPr>
          <w:rFonts w:ascii="Arial" w:eastAsia="Times New Roman" w:hAnsi="Arial" w:cs="Arial"/>
          <w:bCs/>
          <w:sz w:val="24"/>
          <w:szCs w:val="24"/>
          <w:lang w:eastAsia="es-MX"/>
        </w:rPr>
        <w:t>al actor, en los términos que lo solicita en su escrito de demanda</w:t>
      </w:r>
      <w:r w:rsidRPr="006F168B">
        <w:rPr>
          <w:rFonts w:ascii="Arial" w:eastAsia="Times New Roman" w:hAnsi="Arial" w:cs="Arial"/>
          <w:sz w:val="24"/>
          <w:szCs w:val="24"/>
          <w:lang w:eastAsia="es-MX"/>
        </w:rPr>
        <w:t xml:space="preserve">; </w:t>
      </w:r>
      <w:r w:rsidRPr="006F168B">
        <w:rPr>
          <w:rFonts w:ascii="Arial" w:eastAsia="Times New Roman" w:hAnsi="Arial" w:cs="Arial"/>
          <w:bCs/>
          <w:sz w:val="24"/>
          <w:szCs w:val="24"/>
          <w:lang w:eastAsia="es-MX"/>
        </w:rPr>
        <w:t>por</w:t>
      </w:r>
      <w:r w:rsidRPr="006F168B">
        <w:rPr>
          <w:rFonts w:ascii="Arial" w:eastAsia="Times New Roman" w:hAnsi="Arial" w:cs="Arial"/>
          <w:b/>
          <w:bCs/>
          <w:sz w:val="24"/>
          <w:szCs w:val="24"/>
          <w:lang w:eastAsia="es-MX"/>
        </w:rPr>
        <w:t xml:space="preserve"> oficio </w:t>
      </w:r>
      <w:r w:rsidRPr="006F168B">
        <w:rPr>
          <w:rFonts w:ascii="Arial" w:eastAsia="Times New Roman" w:hAnsi="Arial" w:cs="Arial"/>
          <w:bCs/>
          <w:sz w:val="24"/>
          <w:szCs w:val="24"/>
          <w:lang w:eastAsia="es-MX"/>
        </w:rPr>
        <w:t xml:space="preserve">a los órganos partidarios señalados como responsables; </w:t>
      </w:r>
      <w:r w:rsidRPr="006F168B">
        <w:rPr>
          <w:rFonts w:ascii="Arial" w:eastAsia="Times New Roman" w:hAnsi="Arial" w:cs="Arial"/>
          <w:sz w:val="24"/>
          <w:szCs w:val="24"/>
          <w:lang w:eastAsia="es-MX"/>
        </w:rPr>
        <w:t xml:space="preserve">y, </w:t>
      </w:r>
      <w:r w:rsidRPr="006F168B">
        <w:rPr>
          <w:rFonts w:ascii="Arial" w:eastAsia="Times New Roman" w:hAnsi="Arial" w:cs="Arial"/>
          <w:bCs/>
          <w:sz w:val="24"/>
          <w:szCs w:val="24"/>
          <w:lang w:eastAsia="es-MX"/>
        </w:rPr>
        <w:t>por</w:t>
      </w:r>
      <w:r w:rsidRPr="006F168B">
        <w:rPr>
          <w:rFonts w:ascii="Arial" w:eastAsia="Times New Roman" w:hAnsi="Arial" w:cs="Arial"/>
          <w:b/>
          <w:bCs/>
          <w:sz w:val="24"/>
          <w:szCs w:val="24"/>
          <w:lang w:eastAsia="es-MX"/>
        </w:rPr>
        <w:t xml:space="preserve"> estrados</w:t>
      </w:r>
      <w:r w:rsidRPr="006F168B">
        <w:rPr>
          <w:rFonts w:ascii="Arial" w:eastAsia="Times New Roman" w:hAnsi="Arial" w:cs="Arial"/>
          <w:bCs/>
          <w:sz w:val="24"/>
          <w:szCs w:val="24"/>
          <w:lang w:eastAsia="es-MX"/>
        </w:rPr>
        <w:t>, a los demás interesados</w:t>
      </w:r>
      <w:r w:rsidRPr="006F168B">
        <w:rPr>
          <w:rFonts w:ascii="Arial" w:eastAsia="Times New Roman" w:hAnsi="Arial" w:cs="Arial"/>
          <w:sz w:val="24"/>
          <w:szCs w:val="24"/>
          <w:lang w:eastAsia="es-MX"/>
        </w:rPr>
        <w:t>. Lo anterior con fundamento en los artículos 26, párrafo 3, 28, 29, párrafos 1, 2 y 3, y 84, párrafo 2, inciso a), de la Ley General del Sistema de Medios de Impugnación en Materia Electoral, en relación con los numerales 102, 103, 106 y 109, del Reglamento Interno del Tribunal Electoral del Poder Judicial de la Federación.</w:t>
      </w:r>
    </w:p>
    <w:p w14:paraId="5B643553" w14:textId="77777777" w:rsidR="006F168B" w:rsidRPr="006F168B" w:rsidRDefault="006F168B" w:rsidP="006F168B">
      <w:pPr>
        <w:tabs>
          <w:tab w:val="left" w:pos="709"/>
        </w:tabs>
        <w:spacing w:after="0" w:line="240" w:lineRule="auto"/>
        <w:jc w:val="both"/>
        <w:rPr>
          <w:rFonts w:ascii="Arial" w:eastAsia="Times New Roman" w:hAnsi="Arial" w:cs="Arial"/>
          <w:sz w:val="24"/>
          <w:szCs w:val="24"/>
          <w:lang w:eastAsia="es-MX"/>
        </w:rPr>
      </w:pPr>
    </w:p>
    <w:p w14:paraId="7AB59524" w14:textId="77777777" w:rsidR="003625FE" w:rsidRPr="006F168B" w:rsidRDefault="003625FE" w:rsidP="006F168B">
      <w:pPr>
        <w:tabs>
          <w:tab w:val="left" w:pos="709"/>
        </w:tabs>
        <w:spacing w:after="0" w:line="240" w:lineRule="auto"/>
        <w:jc w:val="both"/>
        <w:rPr>
          <w:rFonts w:ascii="Arial" w:eastAsia="Times New Roman" w:hAnsi="Arial" w:cs="Arial"/>
          <w:bCs/>
          <w:sz w:val="24"/>
          <w:szCs w:val="24"/>
          <w:lang w:eastAsia="es-MX"/>
        </w:rPr>
      </w:pPr>
      <w:r w:rsidRPr="006F168B">
        <w:rPr>
          <w:rFonts w:ascii="Arial" w:eastAsia="Times New Roman" w:hAnsi="Arial" w:cs="Arial"/>
          <w:bCs/>
          <w:sz w:val="24"/>
          <w:szCs w:val="24"/>
          <w:lang w:eastAsia="es-MX"/>
        </w:rPr>
        <w:t>Devuélvanse los documentos que correspondan y, en su oportunidad, archívese el expediente como asunto total y definitivamente concluido.</w:t>
      </w:r>
    </w:p>
    <w:p w14:paraId="2327744D" w14:textId="2E5EA9A3" w:rsidR="003625FE" w:rsidRDefault="003625FE" w:rsidP="006F168B">
      <w:pPr>
        <w:spacing w:after="0" w:line="240" w:lineRule="auto"/>
        <w:jc w:val="both"/>
        <w:rPr>
          <w:rFonts w:ascii="Arial" w:eastAsia="Times New Roman" w:hAnsi="Arial" w:cs="Arial"/>
          <w:bCs/>
          <w:sz w:val="24"/>
          <w:szCs w:val="24"/>
          <w:lang w:eastAsia="es-MX"/>
        </w:rPr>
      </w:pPr>
      <w:r w:rsidRPr="006F168B">
        <w:rPr>
          <w:rFonts w:ascii="Arial" w:eastAsia="Times New Roman" w:hAnsi="Arial" w:cs="Arial"/>
          <w:bCs/>
          <w:sz w:val="24"/>
          <w:szCs w:val="24"/>
          <w:lang w:eastAsia="es-MX"/>
        </w:rPr>
        <w:lastRenderedPageBreak/>
        <w:t>Así lo resolvieron, por unanimidad de votos, los Magistrados Electorales que integran la Sala Superior del Tribunal Electoral del Poder Judicial de la Federación, ante el Secretario General de Acuerdos que autoriza y da fe.</w:t>
      </w:r>
    </w:p>
    <w:p w14:paraId="56E2857E" w14:textId="4B281B73" w:rsidR="006F168B" w:rsidRDefault="006F168B" w:rsidP="006F168B">
      <w:pPr>
        <w:spacing w:after="0" w:line="240" w:lineRule="auto"/>
        <w:jc w:val="both"/>
        <w:rPr>
          <w:rFonts w:ascii="Arial" w:eastAsia="Times New Roman" w:hAnsi="Arial" w:cs="Arial"/>
          <w:bCs/>
          <w:sz w:val="24"/>
          <w:szCs w:val="24"/>
          <w:lang w:eastAsia="es-MX"/>
        </w:rPr>
      </w:pPr>
    </w:p>
    <w:p w14:paraId="5CB1DB19" w14:textId="77777777" w:rsidR="006F168B" w:rsidRPr="006F168B" w:rsidRDefault="006F168B" w:rsidP="006F168B">
      <w:pPr>
        <w:spacing w:after="0" w:line="240" w:lineRule="auto"/>
        <w:jc w:val="both"/>
        <w:rPr>
          <w:rFonts w:ascii="Arial" w:eastAsia="Times New Roman" w:hAnsi="Arial" w:cs="Arial"/>
          <w:bCs/>
          <w:sz w:val="24"/>
          <w:szCs w:val="24"/>
          <w:lang w:eastAsia="es-MX"/>
        </w:rPr>
      </w:pPr>
    </w:p>
    <w:tbl>
      <w:tblPr>
        <w:tblW w:w="5000" w:type="pct"/>
        <w:jc w:val="center"/>
        <w:tblCellMar>
          <w:left w:w="70" w:type="dxa"/>
          <w:right w:w="70" w:type="dxa"/>
        </w:tblCellMar>
        <w:tblLook w:val="0000" w:firstRow="0" w:lastRow="0" w:firstColumn="0" w:lastColumn="0" w:noHBand="0" w:noVBand="0"/>
      </w:tblPr>
      <w:tblGrid>
        <w:gridCol w:w="4382"/>
        <w:gridCol w:w="4456"/>
      </w:tblGrid>
      <w:tr w:rsidR="003625FE" w:rsidRPr="006F168B" w14:paraId="2342437C" w14:textId="77777777" w:rsidTr="00B57D8F">
        <w:trPr>
          <w:cantSplit/>
          <w:jc w:val="center"/>
        </w:trPr>
        <w:tc>
          <w:tcPr>
            <w:tcW w:w="5000" w:type="pct"/>
            <w:gridSpan w:val="2"/>
          </w:tcPr>
          <w:p w14:paraId="3BA568F1" w14:textId="77777777" w:rsidR="003625FE" w:rsidRPr="006F168B" w:rsidRDefault="003625FE" w:rsidP="00B57D8F">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MAGISTRADO PRESIDENTE</w:t>
            </w:r>
          </w:p>
          <w:p w14:paraId="53B7BD84" w14:textId="77777777" w:rsidR="003625FE" w:rsidRPr="006F168B" w:rsidRDefault="003625FE" w:rsidP="00B57D8F">
            <w:pPr>
              <w:spacing w:after="0" w:line="240" w:lineRule="auto"/>
              <w:jc w:val="center"/>
              <w:rPr>
                <w:rFonts w:ascii="Arial" w:eastAsia="Times New Roman" w:hAnsi="Arial" w:cs="Arial"/>
                <w:b/>
                <w:bCs/>
                <w:sz w:val="24"/>
                <w:szCs w:val="24"/>
                <w:lang w:eastAsia="es-MX"/>
              </w:rPr>
            </w:pPr>
          </w:p>
          <w:p w14:paraId="61BD680F" w14:textId="51A62ABA" w:rsidR="006F168B" w:rsidRDefault="006F168B" w:rsidP="00EB683E">
            <w:pPr>
              <w:spacing w:after="0" w:line="240" w:lineRule="auto"/>
              <w:rPr>
                <w:rFonts w:ascii="Arial" w:eastAsia="Times New Roman" w:hAnsi="Arial" w:cs="Arial"/>
                <w:b/>
                <w:bCs/>
                <w:sz w:val="24"/>
                <w:szCs w:val="24"/>
                <w:lang w:eastAsia="es-MX"/>
              </w:rPr>
            </w:pPr>
          </w:p>
          <w:p w14:paraId="6EC20D8B" w14:textId="77777777" w:rsidR="006F168B" w:rsidRPr="006F168B" w:rsidRDefault="006F168B" w:rsidP="00B57D8F">
            <w:pPr>
              <w:spacing w:after="0" w:line="240" w:lineRule="auto"/>
              <w:jc w:val="center"/>
              <w:rPr>
                <w:rFonts w:ascii="Arial" w:eastAsia="Times New Roman" w:hAnsi="Arial" w:cs="Arial"/>
                <w:b/>
                <w:bCs/>
                <w:sz w:val="24"/>
                <w:szCs w:val="24"/>
                <w:lang w:eastAsia="es-MX"/>
              </w:rPr>
            </w:pPr>
          </w:p>
          <w:p w14:paraId="34224F20" w14:textId="77777777" w:rsidR="003625FE" w:rsidRPr="006F168B" w:rsidRDefault="003625FE" w:rsidP="00B57D8F">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JOSÉ ALEJANDRO LUNA RAMOS</w:t>
            </w:r>
          </w:p>
        </w:tc>
      </w:tr>
      <w:tr w:rsidR="003625FE" w:rsidRPr="006F168B" w14:paraId="4DC8156B" w14:textId="77777777" w:rsidTr="00B57D8F">
        <w:trPr>
          <w:jc w:val="center"/>
        </w:trPr>
        <w:tc>
          <w:tcPr>
            <w:tcW w:w="2479" w:type="pct"/>
          </w:tcPr>
          <w:p w14:paraId="4023C31D" w14:textId="3A4DE722" w:rsidR="003625FE" w:rsidRDefault="003625FE" w:rsidP="00B57D8F">
            <w:pPr>
              <w:spacing w:after="0" w:line="240" w:lineRule="auto"/>
              <w:jc w:val="center"/>
              <w:rPr>
                <w:rFonts w:ascii="Arial" w:eastAsia="Times New Roman" w:hAnsi="Arial" w:cs="Arial"/>
                <w:b/>
                <w:bCs/>
                <w:sz w:val="24"/>
                <w:szCs w:val="24"/>
                <w:lang w:eastAsia="es-MX"/>
              </w:rPr>
            </w:pPr>
          </w:p>
          <w:p w14:paraId="59A8DB77" w14:textId="77777777" w:rsidR="006F168B" w:rsidRPr="006F168B" w:rsidRDefault="006F168B" w:rsidP="00B57D8F">
            <w:pPr>
              <w:spacing w:after="0" w:line="240" w:lineRule="auto"/>
              <w:jc w:val="center"/>
              <w:rPr>
                <w:rFonts w:ascii="Arial" w:eastAsia="Times New Roman" w:hAnsi="Arial" w:cs="Arial"/>
                <w:b/>
                <w:bCs/>
                <w:sz w:val="24"/>
                <w:szCs w:val="24"/>
                <w:lang w:eastAsia="es-MX"/>
              </w:rPr>
            </w:pPr>
          </w:p>
          <w:p w14:paraId="37010BEC" w14:textId="77777777" w:rsidR="003625FE" w:rsidRPr="006F168B" w:rsidRDefault="003625FE" w:rsidP="00B57D8F">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MAGISTRADA</w:t>
            </w:r>
          </w:p>
          <w:p w14:paraId="3E333526" w14:textId="77777777" w:rsidR="003625FE" w:rsidRPr="006F168B" w:rsidRDefault="003625FE" w:rsidP="00B57D8F">
            <w:pPr>
              <w:spacing w:after="0" w:line="240" w:lineRule="auto"/>
              <w:jc w:val="center"/>
              <w:rPr>
                <w:rFonts w:ascii="Arial" w:eastAsia="Times New Roman" w:hAnsi="Arial" w:cs="Arial"/>
                <w:b/>
                <w:bCs/>
                <w:sz w:val="24"/>
                <w:szCs w:val="24"/>
                <w:lang w:eastAsia="es-MX"/>
              </w:rPr>
            </w:pPr>
          </w:p>
          <w:p w14:paraId="4D8AD988" w14:textId="52CFA0E5" w:rsidR="003625FE" w:rsidRDefault="003625FE" w:rsidP="00B57D8F">
            <w:pPr>
              <w:spacing w:after="0" w:line="240" w:lineRule="auto"/>
              <w:jc w:val="center"/>
              <w:rPr>
                <w:rFonts w:ascii="Arial" w:eastAsia="Times New Roman" w:hAnsi="Arial" w:cs="Arial"/>
                <w:b/>
                <w:bCs/>
                <w:sz w:val="24"/>
                <w:szCs w:val="24"/>
                <w:lang w:eastAsia="es-MX"/>
              </w:rPr>
            </w:pPr>
          </w:p>
          <w:p w14:paraId="025C414B" w14:textId="28419464" w:rsidR="006F168B" w:rsidRDefault="006F168B" w:rsidP="00B57D8F">
            <w:pPr>
              <w:spacing w:after="0" w:line="240" w:lineRule="auto"/>
              <w:jc w:val="center"/>
              <w:rPr>
                <w:rFonts w:ascii="Arial" w:eastAsia="Times New Roman" w:hAnsi="Arial" w:cs="Arial"/>
                <w:b/>
                <w:bCs/>
                <w:sz w:val="24"/>
                <w:szCs w:val="24"/>
                <w:lang w:eastAsia="es-MX"/>
              </w:rPr>
            </w:pPr>
          </w:p>
          <w:p w14:paraId="76E6985E" w14:textId="77777777" w:rsidR="006F168B" w:rsidRPr="006F168B" w:rsidRDefault="006F168B" w:rsidP="00B57D8F">
            <w:pPr>
              <w:spacing w:after="0" w:line="240" w:lineRule="auto"/>
              <w:jc w:val="center"/>
              <w:rPr>
                <w:rFonts w:ascii="Arial" w:eastAsia="Times New Roman" w:hAnsi="Arial" w:cs="Arial"/>
                <w:b/>
                <w:bCs/>
                <w:sz w:val="24"/>
                <w:szCs w:val="24"/>
                <w:lang w:eastAsia="es-MX"/>
              </w:rPr>
            </w:pPr>
          </w:p>
          <w:p w14:paraId="62C8115E" w14:textId="77777777" w:rsidR="003625FE" w:rsidRPr="006F168B" w:rsidRDefault="003625FE" w:rsidP="00B57D8F">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MARÍA DEL CARMEN ALANIS FIGUEROA</w:t>
            </w:r>
          </w:p>
        </w:tc>
        <w:tc>
          <w:tcPr>
            <w:tcW w:w="2521" w:type="pct"/>
          </w:tcPr>
          <w:p w14:paraId="304F309F" w14:textId="3DF85573" w:rsidR="003625FE" w:rsidRDefault="003625FE" w:rsidP="00B57D8F">
            <w:pPr>
              <w:spacing w:after="0" w:line="240" w:lineRule="auto"/>
              <w:jc w:val="center"/>
              <w:rPr>
                <w:rFonts w:ascii="Arial" w:eastAsia="Times New Roman" w:hAnsi="Arial" w:cs="Arial"/>
                <w:b/>
                <w:bCs/>
                <w:sz w:val="24"/>
                <w:szCs w:val="24"/>
                <w:lang w:eastAsia="es-MX"/>
              </w:rPr>
            </w:pPr>
          </w:p>
          <w:p w14:paraId="7AF2E1DC" w14:textId="77777777" w:rsidR="006F168B" w:rsidRPr="006F168B" w:rsidRDefault="006F168B" w:rsidP="00B57D8F">
            <w:pPr>
              <w:spacing w:after="0" w:line="240" w:lineRule="auto"/>
              <w:jc w:val="center"/>
              <w:rPr>
                <w:rFonts w:ascii="Arial" w:eastAsia="Times New Roman" w:hAnsi="Arial" w:cs="Arial"/>
                <w:b/>
                <w:bCs/>
                <w:sz w:val="24"/>
                <w:szCs w:val="24"/>
                <w:lang w:eastAsia="es-MX"/>
              </w:rPr>
            </w:pPr>
          </w:p>
          <w:p w14:paraId="690905B2" w14:textId="77777777" w:rsidR="003625FE" w:rsidRPr="006F168B" w:rsidRDefault="003625FE" w:rsidP="00B57D8F">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MAGISTRADO</w:t>
            </w:r>
          </w:p>
          <w:p w14:paraId="1A2C77E0" w14:textId="77777777" w:rsidR="003625FE" w:rsidRPr="006F168B" w:rsidRDefault="003625FE" w:rsidP="00B57D8F">
            <w:pPr>
              <w:spacing w:after="0" w:line="240" w:lineRule="auto"/>
              <w:jc w:val="center"/>
              <w:rPr>
                <w:rFonts w:ascii="Arial" w:eastAsia="Times New Roman" w:hAnsi="Arial" w:cs="Arial"/>
                <w:b/>
                <w:bCs/>
                <w:sz w:val="24"/>
                <w:szCs w:val="24"/>
                <w:lang w:eastAsia="es-MX"/>
              </w:rPr>
            </w:pPr>
          </w:p>
          <w:p w14:paraId="36FF89AB" w14:textId="07704F67" w:rsidR="003625FE" w:rsidRDefault="003625FE" w:rsidP="00B57D8F">
            <w:pPr>
              <w:spacing w:after="0" w:line="240" w:lineRule="auto"/>
              <w:jc w:val="center"/>
              <w:rPr>
                <w:rFonts w:ascii="Arial" w:eastAsia="Times New Roman" w:hAnsi="Arial" w:cs="Arial"/>
                <w:b/>
                <w:bCs/>
                <w:sz w:val="24"/>
                <w:szCs w:val="24"/>
                <w:lang w:eastAsia="es-MX"/>
              </w:rPr>
            </w:pPr>
          </w:p>
          <w:p w14:paraId="7AA2E2A1" w14:textId="55DD2DE0" w:rsidR="006F168B" w:rsidRDefault="006F168B" w:rsidP="00B57D8F">
            <w:pPr>
              <w:spacing w:after="0" w:line="240" w:lineRule="auto"/>
              <w:jc w:val="center"/>
              <w:rPr>
                <w:rFonts w:ascii="Arial" w:eastAsia="Times New Roman" w:hAnsi="Arial" w:cs="Arial"/>
                <w:b/>
                <w:bCs/>
                <w:sz w:val="24"/>
                <w:szCs w:val="24"/>
                <w:lang w:eastAsia="es-MX"/>
              </w:rPr>
            </w:pPr>
          </w:p>
          <w:p w14:paraId="2135E017" w14:textId="77777777" w:rsidR="006F168B" w:rsidRPr="006F168B" w:rsidRDefault="006F168B" w:rsidP="00B57D8F">
            <w:pPr>
              <w:spacing w:after="0" w:line="240" w:lineRule="auto"/>
              <w:jc w:val="center"/>
              <w:rPr>
                <w:rFonts w:ascii="Arial" w:eastAsia="Times New Roman" w:hAnsi="Arial" w:cs="Arial"/>
                <w:b/>
                <w:bCs/>
                <w:sz w:val="24"/>
                <w:szCs w:val="24"/>
                <w:lang w:eastAsia="es-MX"/>
              </w:rPr>
            </w:pPr>
          </w:p>
          <w:p w14:paraId="04512EEE" w14:textId="77777777" w:rsidR="003625FE" w:rsidRPr="006F168B" w:rsidRDefault="003625FE" w:rsidP="00B57D8F">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 xml:space="preserve">CONSTANCIO </w:t>
            </w:r>
          </w:p>
          <w:p w14:paraId="398210B7" w14:textId="77777777" w:rsidR="003625FE" w:rsidRPr="006F168B" w:rsidRDefault="003625FE" w:rsidP="00B57D8F">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CARRASCO DAZA</w:t>
            </w:r>
          </w:p>
        </w:tc>
      </w:tr>
      <w:tr w:rsidR="003625FE" w:rsidRPr="006F168B" w14:paraId="005661EF" w14:textId="77777777" w:rsidTr="00B57D8F">
        <w:trPr>
          <w:cantSplit/>
          <w:jc w:val="center"/>
        </w:trPr>
        <w:tc>
          <w:tcPr>
            <w:tcW w:w="2479" w:type="pct"/>
          </w:tcPr>
          <w:p w14:paraId="0FEA9B04" w14:textId="2AE2938B" w:rsidR="003625FE" w:rsidRDefault="003625FE" w:rsidP="00B57D8F">
            <w:pPr>
              <w:spacing w:after="0" w:line="240" w:lineRule="auto"/>
              <w:jc w:val="center"/>
              <w:rPr>
                <w:rFonts w:ascii="Arial" w:eastAsia="Times New Roman" w:hAnsi="Arial" w:cs="Arial"/>
                <w:b/>
                <w:bCs/>
                <w:sz w:val="24"/>
                <w:szCs w:val="24"/>
                <w:lang w:eastAsia="es-MX"/>
              </w:rPr>
            </w:pPr>
          </w:p>
          <w:p w14:paraId="51431662" w14:textId="15BE941B" w:rsidR="006F168B" w:rsidRDefault="006F168B" w:rsidP="00B57D8F">
            <w:pPr>
              <w:spacing w:after="0" w:line="240" w:lineRule="auto"/>
              <w:jc w:val="center"/>
              <w:rPr>
                <w:rFonts w:ascii="Arial" w:eastAsia="Times New Roman" w:hAnsi="Arial" w:cs="Arial"/>
                <w:b/>
                <w:bCs/>
                <w:sz w:val="24"/>
                <w:szCs w:val="24"/>
                <w:lang w:eastAsia="es-MX"/>
              </w:rPr>
            </w:pPr>
          </w:p>
          <w:p w14:paraId="4B4495DE" w14:textId="77777777" w:rsidR="006F168B" w:rsidRPr="006F168B" w:rsidRDefault="006F168B" w:rsidP="00B57D8F">
            <w:pPr>
              <w:spacing w:after="0" w:line="240" w:lineRule="auto"/>
              <w:jc w:val="center"/>
              <w:rPr>
                <w:rFonts w:ascii="Arial" w:eastAsia="Times New Roman" w:hAnsi="Arial" w:cs="Arial"/>
                <w:b/>
                <w:bCs/>
                <w:sz w:val="24"/>
                <w:szCs w:val="24"/>
                <w:lang w:eastAsia="es-MX"/>
              </w:rPr>
            </w:pPr>
          </w:p>
          <w:p w14:paraId="3649A692" w14:textId="77777777" w:rsidR="003625FE" w:rsidRPr="006F168B" w:rsidRDefault="003625FE" w:rsidP="00B57D8F">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MAGISTRADO</w:t>
            </w:r>
          </w:p>
          <w:p w14:paraId="4287F8C5" w14:textId="43E1EC62" w:rsidR="003625FE" w:rsidRDefault="003625FE" w:rsidP="00B57D8F">
            <w:pPr>
              <w:spacing w:after="0" w:line="240" w:lineRule="auto"/>
              <w:jc w:val="center"/>
              <w:rPr>
                <w:rFonts w:ascii="Arial" w:eastAsia="Times New Roman" w:hAnsi="Arial" w:cs="Arial"/>
                <w:b/>
                <w:bCs/>
                <w:sz w:val="24"/>
                <w:szCs w:val="24"/>
                <w:lang w:eastAsia="es-MX"/>
              </w:rPr>
            </w:pPr>
          </w:p>
          <w:p w14:paraId="4D3650D4" w14:textId="37C7BE11" w:rsidR="006F168B" w:rsidRDefault="006F168B" w:rsidP="00B57D8F">
            <w:pPr>
              <w:spacing w:after="0" w:line="240" w:lineRule="auto"/>
              <w:jc w:val="center"/>
              <w:rPr>
                <w:rFonts w:ascii="Arial" w:eastAsia="Times New Roman" w:hAnsi="Arial" w:cs="Arial"/>
                <w:b/>
                <w:bCs/>
                <w:sz w:val="24"/>
                <w:szCs w:val="24"/>
                <w:lang w:eastAsia="es-MX"/>
              </w:rPr>
            </w:pPr>
          </w:p>
          <w:p w14:paraId="04D35EFB" w14:textId="77777777" w:rsidR="006F168B" w:rsidRPr="006F168B" w:rsidRDefault="006F168B" w:rsidP="00B57D8F">
            <w:pPr>
              <w:spacing w:after="0" w:line="240" w:lineRule="auto"/>
              <w:jc w:val="center"/>
              <w:rPr>
                <w:rFonts w:ascii="Arial" w:eastAsia="Times New Roman" w:hAnsi="Arial" w:cs="Arial"/>
                <w:b/>
                <w:bCs/>
                <w:sz w:val="24"/>
                <w:szCs w:val="24"/>
                <w:lang w:eastAsia="es-MX"/>
              </w:rPr>
            </w:pPr>
          </w:p>
          <w:p w14:paraId="755F6D36" w14:textId="77777777" w:rsidR="003625FE" w:rsidRPr="006F168B" w:rsidRDefault="003625FE" w:rsidP="00B57D8F">
            <w:pPr>
              <w:spacing w:after="0" w:line="240" w:lineRule="auto"/>
              <w:jc w:val="center"/>
              <w:rPr>
                <w:rFonts w:ascii="Arial" w:eastAsia="Times New Roman" w:hAnsi="Arial" w:cs="Arial"/>
                <w:b/>
                <w:bCs/>
                <w:sz w:val="24"/>
                <w:szCs w:val="24"/>
                <w:lang w:eastAsia="es-MX"/>
              </w:rPr>
            </w:pPr>
          </w:p>
          <w:p w14:paraId="68EDB40A" w14:textId="77777777" w:rsidR="003625FE" w:rsidRPr="006F168B" w:rsidRDefault="003625FE" w:rsidP="00B57D8F">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 xml:space="preserve">FLAVIO </w:t>
            </w:r>
          </w:p>
          <w:p w14:paraId="0220D48E" w14:textId="77777777" w:rsidR="003625FE" w:rsidRPr="006F168B" w:rsidRDefault="003625FE" w:rsidP="00B57D8F">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GALVÁN RIVERA</w:t>
            </w:r>
          </w:p>
        </w:tc>
        <w:tc>
          <w:tcPr>
            <w:tcW w:w="2521" w:type="pct"/>
          </w:tcPr>
          <w:p w14:paraId="4086F4CC" w14:textId="2136391F" w:rsidR="003625FE" w:rsidRDefault="003625FE" w:rsidP="00B57D8F">
            <w:pPr>
              <w:spacing w:after="0" w:line="240" w:lineRule="auto"/>
              <w:jc w:val="center"/>
              <w:rPr>
                <w:rFonts w:ascii="Arial" w:eastAsia="Times New Roman" w:hAnsi="Arial" w:cs="Arial"/>
                <w:b/>
                <w:bCs/>
                <w:sz w:val="24"/>
                <w:szCs w:val="24"/>
                <w:lang w:eastAsia="es-MX"/>
              </w:rPr>
            </w:pPr>
          </w:p>
          <w:p w14:paraId="383A1B13" w14:textId="282D8650" w:rsidR="006F168B" w:rsidRDefault="006F168B" w:rsidP="00B57D8F">
            <w:pPr>
              <w:spacing w:after="0" w:line="240" w:lineRule="auto"/>
              <w:jc w:val="center"/>
              <w:rPr>
                <w:rFonts w:ascii="Arial" w:eastAsia="Times New Roman" w:hAnsi="Arial" w:cs="Arial"/>
                <w:b/>
                <w:bCs/>
                <w:sz w:val="24"/>
                <w:szCs w:val="24"/>
                <w:lang w:eastAsia="es-MX"/>
              </w:rPr>
            </w:pPr>
          </w:p>
          <w:p w14:paraId="75867FCE" w14:textId="77777777" w:rsidR="006F168B" w:rsidRPr="006F168B" w:rsidRDefault="006F168B" w:rsidP="00B57D8F">
            <w:pPr>
              <w:spacing w:after="0" w:line="240" w:lineRule="auto"/>
              <w:jc w:val="center"/>
              <w:rPr>
                <w:rFonts w:ascii="Arial" w:eastAsia="Times New Roman" w:hAnsi="Arial" w:cs="Arial"/>
                <w:b/>
                <w:bCs/>
                <w:sz w:val="24"/>
                <w:szCs w:val="24"/>
                <w:lang w:eastAsia="es-MX"/>
              </w:rPr>
            </w:pPr>
          </w:p>
          <w:p w14:paraId="146A0C35" w14:textId="77777777" w:rsidR="003625FE" w:rsidRPr="006F168B" w:rsidRDefault="003625FE" w:rsidP="00B57D8F">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MAGISTRADO</w:t>
            </w:r>
          </w:p>
          <w:p w14:paraId="43630C6B" w14:textId="77777777" w:rsidR="003625FE" w:rsidRPr="006F168B" w:rsidRDefault="003625FE" w:rsidP="00B57D8F">
            <w:pPr>
              <w:spacing w:after="0" w:line="240" w:lineRule="auto"/>
              <w:jc w:val="center"/>
              <w:rPr>
                <w:rFonts w:ascii="Arial" w:eastAsia="Times New Roman" w:hAnsi="Arial" w:cs="Arial"/>
                <w:b/>
                <w:bCs/>
                <w:sz w:val="24"/>
                <w:szCs w:val="24"/>
                <w:lang w:eastAsia="es-MX"/>
              </w:rPr>
            </w:pPr>
          </w:p>
          <w:p w14:paraId="49E0436E" w14:textId="3BEF7DA1" w:rsidR="003625FE" w:rsidRDefault="003625FE" w:rsidP="00B57D8F">
            <w:pPr>
              <w:spacing w:after="0" w:line="240" w:lineRule="auto"/>
              <w:jc w:val="center"/>
              <w:rPr>
                <w:rFonts w:ascii="Arial" w:eastAsia="Times New Roman" w:hAnsi="Arial" w:cs="Arial"/>
                <w:b/>
                <w:bCs/>
                <w:sz w:val="24"/>
                <w:szCs w:val="24"/>
                <w:lang w:eastAsia="es-MX"/>
              </w:rPr>
            </w:pPr>
          </w:p>
          <w:p w14:paraId="6DB35709" w14:textId="141EF466" w:rsidR="006F168B" w:rsidRDefault="006F168B" w:rsidP="00B57D8F">
            <w:pPr>
              <w:spacing w:after="0" w:line="240" w:lineRule="auto"/>
              <w:jc w:val="center"/>
              <w:rPr>
                <w:rFonts w:ascii="Arial" w:eastAsia="Times New Roman" w:hAnsi="Arial" w:cs="Arial"/>
                <w:b/>
                <w:bCs/>
                <w:sz w:val="24"/>
                <w:szCs w:val="24"/>
                <w:lang w:eastAsia="es-MX"/>
              </w:rPr>
            </w:pPr>
          </w:p>
          <w:p w14:paraId="0292B7EA" w14:textId="77777777" w:rsidR="006F168B" w:rsidRPr="006F168B" w:rsidRDefault="006F168B" w:rsidP="00B57D8F">
            <w:pPr>
              <w:spacing w:after="0" w:line="240" w:lineRule="auto"/>
              <w:jc w:val="center"/>
              <w:rPr>
                <w:rFonts w:ascii="Arial" w:eastAsia="Times New Roman" w:hAnsi="Arial" w:cs="Arial"/>
                <w:b/>
                <w:bCs/>
                <w:sz w:val="24"/>
                <w:szCs w:val="24"/>
                <w:lang w:eastAsia="es-MX"/>
              </w:rPr>
            </w:pPr>
          </w:p>
          <w:p w14:paraId="3B87B5A4" w14:textId="77777777" w:rsidR="003625FE" w:rsidRPr="006F168B" w:rsidRDefault="003625FE" w:rsidP="00B57D8F">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MANUEL</w:t>
            </w:r>
          </w:p>
          <w:p w14:paraId="605036E2" w14:textId="77777777" w:rsidR="003625FE" w:rsidRPr="006F168B" w:rsidRDefault="003625FE" w:rsidP="00B57D8F">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GONZÁLEZ OROPEZA</w:t>
            </w:r>
          </w:p>
        </w:tc>
      </w:tr>
      <w:tr w:rsidR="003625FE" w:rsidRPr="006F168B" w14:paraId="329D92C4" w14:textId="77777777" w:rsidTr="00B57D8F">
        <w:trPr>
          <w:cantSplit/>
          <w:jc w:val="center"/>
        </w:trPr>
        <w:tc>
          <w:tcPr>
            <w:tcW w:w="2479" w:type="pct"/>
          </w:tcPr>
          <w:p w14:paraId="0CF7BB89" w14:textId="258E7486" w:rsidR="003625FE" w:rsidRDefault="003625FE" w:rsidP="00B57D8F">
            <w:pPr>
              <w:spacing w:after="0" w:line="240" w:lineRule="auto"/>
              <w:jc w:val="center"/>
              <w:rPr>
                <w:rFonts w:ascii="Arial" w:eastAsia="Times New Roman" w:hAnsi="Arial" w:cs="Arial"/>
                <w:b/>
                <w:bCs/>
                <w:sz w:val="24"/>
                <w:szCs w:val="24"/>
                <w:lang w:eastAsia="es-MX"/>
              </w:rPr>
            </w:pPr>
          </w:p>
          <w:p w14:paraId="6519093A" w14:textId="0C83DA07" w:rsidR="006F168B" w:rsidRDefault="006F168B" w:rsidP="00B57D8F">
            <w:pPr>
              <w:spacing w:after="0" w:line="240" w:lineRule="auto"/>
              <w:jc w:val="center"/>
              <w:rPr>
                <w:rFonts w:ascii="Arial" w:eastAsia="Times New Roman" w:hAnsi="Arial" w:cs="Arial"/>
                <w:b/>
                <w:bCs/>
                <w:sz w:val="24"/>
                <w:szCs w:val="24"/>
                <w:lang w:eastAsia="es-MX"/>
              </w:rPr>
            </w:pPr>
          </w:p>
          <w:p w14:paraId="394FFDDC" w14:textId="77777777" w:rsidR="006F168B" w:rsidRPr="006F168B" w:rsidRDefault="006F168B" w:rsidP="00B57D8F">
            <w:pPr>
              <w:spacing w:after="0" w:line="240" w:lineRule="auto"/>
              <w:jc w:val="center"/>
              <w:rPr>
                <w:rFonts w:ascii="Arial" w:eastAsia="Times New Roman" w:hAnsi="Arial" w:cs="Arial"/>
                <w:b/>
                <w:bCs/>
                <w:sz w:val="24"/>
                <w:szCs w:val="24"/>
                <w:lang w:eastAsia="es-MX"/>
              </w:rPr>
            </w:pPr>
          </w:p>
          <w:p w14:paraId="16E2229B" w14:textId="77777777" w:rsidR="003625FE" w:rsidRPr="006F168B" w:rsidRDefault="003625FE" w:rsidP="00B57D8F">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MAGISTRADO</w:t>
            </w:r>
          </w:p>
          <w:p w14:paraId="7C566020" w14:textId="77777777" w:rsidR="003625FE" w:rsidRPr="006F168B" w:rsidRDefault="003625FE" w:rsidP="00B57D8F">
            <w:pPr>
              <w:spacing w:after="0" w:line="240" w:lineRule="auto"/>
              <w:jc w:val="center"/>
              <w:rPr>
                <w:rFonts w:ascii="Arial" w:eastAsia="Times New Roman" w:hAnsi="Arial" w:cs="Arial"/>
                <w:b/>
                <w:bCs/>
                <w:sz w:val="24"/>
                <w:szCs w:val="24"/>
                <w:lang w:eastAsia="es-MX"/>
              </w:rPr>
            </w:pPr>
          </w:p>
          <w:p w14:paraId="18B295B0" w14:textId="159DFADB" w:rsidR="003625FE" w:rsidRDefault="003625FE" w:rsidP="00B57D8F">
            <w:pPr>
              <w:spacing w:after="0" w:line="240" w:lineRule="auto"/>
              <w:jc w:val="center"/>
              <w:rPr>
                <w:rFonts w:ascii="Arial" w:eastAsia="Times New Roman" w:hAnsi="Arial" w:cs="Arial"/>
                <w:b/>
                <w:bCs/>
                <w:sz w:val="24"/>
                <w:szCs w:val="24"/>
                <w:lang w:eastAsia="es-MX"/>
              </w:rPr>
            </w:pPr>
          </w:p>
          <w:p w14:paraId="68AD5323" w14:textId="5C5B4CAA" w:rsidR="006F168B" w:rsidRDefault="006F168B" w:rsidP="00B57D8F">
            <w:pPr>
              <w:spacing w:after="0" w:line="240" w:lineRule="auto"/>
              <w:jc w:val="center"/>
              <w:rPr>
                <w:rFonts w:ascii="Arial" w:eastAsia="Times New Roman" w:hAnsi="Arial" w:cs="Arial"/>
                <w:b/>
                <w:bCs/>
                <w:sz w:val="24"/>
                <w:szCs w:val="24"/>
                <w:lang w:eastAsia="es-MX"/>
              </w:rPr>
            </w:pPr>
          </w:p>
          <w:p w14:paraId="359905A0" w14:textId="77777777" w:rsidR="006F168B" w:rsidRPr="006F168B" w:rsidRDefault="006F168B" w:rsidP="00B57D8F">
            <w:pPr>
              <w:spacing w:after="0" w:line="240" w:lineRule="auto"/>
              <w:jc w:val="center"/>
              <w:rPr>
                <w:rFonts w:ascii="Arial" w:eastAsia="Times New Roman" w:hAnsi="Arial" w:cs="Arial"/>
                <w:b/>
                <w:bCs/>
                <w:sz w:val="24"/>
                <w:szCs w:val="24"/>
                <w:lang w:eastAsia="es-MX"/>
              </w:rPr>
            </w:pPr>
          </w:p>
          <w:p w14:paraId="16254BF2" w14:textId="77777777" w:rsidR="003625FE" w:rsidRPr="006F168B" w:rsidRDefault="003625FE" w:rsidP="00B57D8F">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 xml:space="preserve">SALVADOR OLIMPO </w:t>
            </w:r>
          </w:p>
          <w:p w14:paraId="2FDF2F93" w14:textId="77777777" w:rsidR="003625FE" w:rsidRPr="006F168B" w:rsidRDefault="003625FE" w:rsidP="00B57D8F">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NAVA GOMAR</w:t>
            </w:r>
          </w:p>
        </w:tc>
        <w:tc>
          <w:tcPr>
            <w:tcW w:w="2521" w:type="pct"/>
          </w:tcPr>
          <w:p w14:paraId="2030D7C5" w14:textId="4CCAA70E" w:rsidR="003625FE" w:rsidRDefault="003625FE" w:rsidP="00B57D8F">
            <w:pPr>
              <w:spacing w:after="0" w:line="240" w:lineRule="auto"/>
              <w:jc w:val="center"/>
              <w:rPr>
                <w:rFonts w:ascii="Arial" w:eastAsia="Times New Roman" w:hAnsi="Arial" w:cs="Arial"/>
                <w:b/>
                <w:bCs/>
                <w:sz w:val="24"/>
                <w:szCs w:val="24"/>
                <w:lang w:eastAsia="es-MX"/>
              </w:rPr>
            </w:pPr>
          </w:p>
          <w:p w14:paraId="15779E87" w14:textId="29095DBD" w:rsidR="006F168B" w:rsidRDefault="006F168B" w:rsidP="00B57D8F">
            <w:pPr>
              <w:spacing w:after="0" w:line="240" w:lineRule="auto"/>
              <w:jc w:val="center"/>
              <w:rPr>
                <w:rFonts w:ascii="Arial" w:eastAsia="Times New Roman" w:hAnsi="Arial" w:cs="Arial"/>
                <w:b/>
                <w:bCs/>
                <w:sz w:val="24"/>
                <w:szCs w:val="24"/>
                <w:lang w:eastAsia="es-MX"/>
              </w:rPr>
            </w:pPr>
          </w:p>
          <w:p w14:paraId="675DD414" w14:textId="77777777" w:rsidR="006F168B" w:rsidRPr="006F168B" w:rsidRDefault="006F168B" w:rsidP="00B57D8F">
            <w:pPr>
              <w:spacing w:after="0" w:line="240" w:lineRule="auto"/>
              <w:jc w:val="center"/>
              <w:rPr>
                <w:rFonts w:ascii="Arial" w:eastAsia="Times New Roman" w:hAnsi="Arial" w:cs="Arial"/>
                <w:b/>
                <w:bCs/>
                <w:sz w:val="24"/>
                <w:szCs w:val="24"/>
                <w:lang w:eastAsia="es-MX"/>
              </w:rPr>
            </w:pPr>
          </w:p>
          <w:p w14:paraId="0CD27158" w14:textId="77777777" w:rsidR="003625FE" w:rsidRPr="006F168B" w:rsidRDefault="003625FE" w:rsidP="00B57D8F">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MAGISTRADO</w:t>
            </w:r>
          </w:p>
          <w:p w14:paraId="0052E91B" w14:textId="77777777" w:rsidR="003625FE" w:rsidRPr="006F168B" w:rsidRDefault="003625FE" w:rsidP="00B57D8F">
            <w:pPr>
              <w:spacing w:after="0" w:line="240" w:lineRule="auto"/>
              <w:jc w:val="center"/>
              <w:rPr>
                <w:rFonts w:ascii="Arial" w:eastAsia="Times New Roman" w:hAnsi="Arial" w:cs="Arial"/>
                <w:b/>
                <w:bCs/>
                <w:sz w:val="24"/>
                <w:szCs w:val="24"/>
                <w:lang w:eastAsia="es-MX"/>
              </w:rPr>
            </w:pPr>
          </w:p>
          <w:p w14:paraId="07C563C3" w14:textId="4A79AC3B" w:rsidR="003625FE" w:rsidRDefault="003625FE" w:rsidP="00B57D8F">
            <w:pPr>
              <w:spacing w:after="0" w:line="240" w:lineRule="auto"/>
              <w:jc w:val="center"/>
              <w:rPr>
                <w:rFonts w:ascii="Arial" w:eastAsia="Times New Roman" w:hAnsi="Arial" w:cs="Arial"/>
                <w:b/>
                <w:bCs/>
                <w:sz w:val="24"/>
                <w:szCs w:val="24"/>
                <w:lang w:eastAsia="es-MX"/>
              </w:rPr>
            </w:pPr>
          </w:p>
          <w:p w14:paraId="38D13CDC" w14:textId="4E188D34" w:rsidR="006F168B" w:rsidRDefault="006F168B" w:rsidP="00B57D8F">
            <w:pPr>
              <w:spacing w:after="0" w:line="240" w:lineRule="auto"/>
              <w:jc w:val="center"/>
              <w:rPr>
                <w:rFonts w:ascii="Arial" w:eastAsia="Times New Roman" w:hAnsi="Arial" w:cs="Arial"/>
                <w:b/>
                <w:bCs/>
                <w:sz w:val="24"/>
                <w:szCs w:val="24"/>
                <w:lang w:eastAsia="es-MX"/>
              </w:rPr>
            </w:pPr>
          </w:p>
          <w:p w14:paraId="1EEDD018" w14:textId="77777777" w:rsidR="006F168B" w:rsidRPr="006F168B" w:rsidRDefault="006F168B" w:rsidP="00B57D8F">
            <w:pPr>
              <w:spacing w:after="0" w:line="240" w:lineRule="auto"/>
              <w:jc w:val="center"/>
              <w:rPr>
                <w:rFonts w:ascii="Arial" w:eastAsia="Times New Roman" w:hAnsi="Arial" w:cs="Arial"/>
                <w:b/>
                <w:bCs/>
                <w:sz w:val="24"/>
                <w:szCs w:val="24"/>
                <w:lang w:eastAsia="es-MX"/>
              </w:rPr>
            </w:pPr>
          </w:p>
          <w:p w14:paraId="3A90F719" w14:textId="77777777" w:rsidR="003625FE" w:rsidRPr="006F168B" w:rsidRDefault="003625FE" w:rsidP="00B57D8F">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 xml:space="preserve">PEDRO ESTEBAN </w:t>
            </w:r>
          </w:p>
          <w:p w14:paraId="66645855" w14:textId="77777777" w:rsidR="003625FE" w:rsidRPr="006F168B" w:rsidRDefault="003625FE" w:rsidP="00B57D8F">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PENAGOS LÓPEZ</w:t>
            </w:r>
          </w:p>
        </w:tc>
      </w:tr>
      <w:tr w:rsidR="003625FE" w:rsidRPr="006F168B" w14:paraId="5D24008E" w14:textId="77777777" w:rsidTr="00B57D8F">
        <w:trPr>
          <w:cantSplit/>
          <w:jc w:val="center"/>
        </w:trPr>
        <w:tc>
          <w:tcPr>
            <w:tcW w:w="5000" w:type="pct"/>
            <w:gridSpan w:val="2"/>
          </w:tcPr>
          <w:p w14:paraId="62143388" w14:textId="77777777" w:rsidR="003625FE" w:rsidRPr="006F168B" w:rsidRDefault="003625FE" w:rsidP="00B57D8F">
            <w:pPr>
              <w:spacing w:after="0" w:line="240" w:lineRule="auto"/>
              <w:jc w:val="center"/>
              <w:rPr>
                <w:rFonts w:ascii="Arial" w:eastAsia="Times New Roman" w:hAnsi="Arial" w:cs="Arial"/>
                <w:b/>
                <w:bCs/>
                <w:sz w:val="24"/>
                <w:szCs w:val="24"/>
                <w:lang w:eastAsia="es-MX"/>
              </w:rPr>
            </w:pPr>
          </w:p>
          <w:p w14:paraId="3C09C970" w14:textId="77777777" w:rsidR="003625FE" w:rsidRPr="006F168B" w:rsidRDefault="003625FE" w:rsidP="00B57D8F">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SECRETARIO GENERAL DE ACUERDOS</w:t>
            </w:r>
          </w:p>
          <w:p w14:paraId="5E81B024" w14:textId="2454F825" w:rsidR="003625FE" w:rsidRDefault="003625FE" w:rsidP="00B57D8F">
            <w:pPr>
              <w:spacing w:after="0" w:line="240" w:lineRule="auto"/>
              <w:jc w:val="center"/>
              <w:rPr>
                <w:rFonts w:ascii="Arial" w:eastAsia="Times New Roman" w:hAnsi="Arial" w:cs="Arial"/>
                <w:b/>
                <w:bCs/>
                <w:sz w:val="24"/>
                <w:szCs w:val="24"/>
                <w:lang w:eastAsia="es-MX"/>
              </w:rPr>
            </w:pPr>
          </w:p>
          <w:p w14:paraId="6AC06B98" w14:textId="4D79CD53" w:rsidR="006F168B" w:rsidRDefault="006F168B" w:rsidP="00B57D8F">
            <w:pPr>
              <w:spacing w:after="0" w:line="240" w:lineRule="auto"/>
              <w:jc w:val="center"/>
              <w:rPr>
                <w:rFonts w:ascii="Arial" w:eastAsia="Times New Roman" w:hAnsi="Arial" w:cs="Arial"/>
                <w:b/>
                <w:bCs/>
                <w:sz w:val="24"/>
                <w:szCs w:val="24"/>
                <w:lang w:eastAsia="es-MX"/>
              </w:rPr>
            </w:pPr>
          </w:p>
          <w:p w14:paraId="54C6C038" w14:textId="77777777" w:rsidR="00EB683E" w:rsidRPr="006F168B" w:rsidRDefault="00EB683E" w:rsidP="00B57D8F">
            <w:pPr>
              <w:spacing w:after="0" w:line="240" w:lineRule="auto"/>
              <w:jc w:val="center"/>
              <w:rPr>
                <w:rFonts w:ascii="Arial" w:eastAsia="Times New Roman" w:hAnsi="Arial" w:cs="Arial"/>
                <w:b/>
                <w:bCs/>
                <w:sz w:val="24"/>
                <w:szCs w:val="24"/>
                <w:lang w:eastAsia="es-MX"/>
              </w:rPr>
            </w:pPr>
          </w:p>
          <w:p w14:paraId="304F48D8" w14:textId="77777777" w:rsidR="003625FE" w:rsidRPr="006F168B" w:rsidRDefault="003625FE" w:rsidP="00B57D8F">
            <w:pPr>
              <w:spacing w:after="0" w:line="240" w:lineRule="auto"/>
              <w:jc w:val="center"/>
              <w:rPr>
                <w:rFonts w:ascii="Arial" w:eastAsia="Times New Roman" w:hAnsi="Arial" w:cs="Arial"/>
                <w:b/>
                <w:bCs/>
                <w:sz w:val="24"/>
                <w:szCs w:val="24"/>
                <w:lang w:eastAsia="es-MX"/>
              </w:rPr>
            </w:pPr>
          </w:p>
          <w:p w14:paraId="6CAA524B" w14:textId="77777777" w:rsidR="003625FE" w:rsidRPr="006F168B" w:rsidRDefault="003625FE" w:rsidP="00B57D8F">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FELIPE DE LA MATA PIZAÑA</w:t>
            </w:r>
          </w:p>
        </w:tc>
      </w:tr>
    </w:tbl>
    <w:p w14:paraId="1B986DA8" w14:textId="456CFA26" w:rsidR="00794C27" w:rsidRDefault="00014ED3" w:rsidP="00EA1E6F">
      <w:pPr>
        <w:pStyle w:val="Ttulo3"/>
        <w:jc w:val="center"/>
        <w:rPr>
          <w:rFonts w:ascii="Gadugi" w:eastAsia="Times New Roman" w:hAnsi="Gadugi" w:cs="Times New Roman"/>
          <w:b/>
          <w:color w:val="auto"/>
          <w:lang w:eastAsia="es-MX"/>
        </w:rPr>
      </w:pPr>
      <w:r w:rsidRPr="00014ED3">
        <w:rPr>
          <w:rFonts w:ascii="Gadugi" w:eastAsia="Times New Roman" w:hAnsi="Gadugi" w:cs="Times New Roman"/>
          <w:b/>
          <w:color w:val="auto"/>
          <w:lang w:eastAsia="es-MX"/>
        </w:rPr>
        <w:lastRenderedPageBreak/>
        <w:t>CASOS RELACIONADOS</w:t>
      </w:r>
    </w:p>
    <w:p w14:paraId="00C56D75" w14:textId="77777777" w:rsidR="00EA1E6F" w:rsidRPr="00EA1E6F" w:rsidRDefault="00EA1E6F" w:rsidP="00EA1E6F">
      <w:pPr>
        <w:rPr>
          <w:lang w:eastAsia="es-MX"/>
        </w:rPr>
      </w:pPr>
    </w:p>
    <w:p w14:paraId="5B3819F1" w14:textId="78B8E332" w:rsidR="00794C27" w:rsidRDefault="00794C27" w:rsidP="00D033AF">
      <w:pPr>
        <w:pStyle w:val="Ttulo4"/>
        <w:rPr>
          <w:rFonts w:ascii="Gadugi" w:hAnsi="Gadugi"/>
          <w:b/>
          <w:bCs/>
          <w:i w:val="0"/>
          <w:iCs w:val="0"/>
          <w:color w:val="C00000"/>
          <w:sz w:val="24"/>
          <w:szCs w:val="24"/>
          <w:lang w:eastAsia="es-MX"/>
        </w:rPr>
      </w:pPr>
      <w:r w:rsidRPr="000562A9">
        <w:rPr>
          <w:rFonts w:ascii="Gadugi" w:hAnsi="Gadugi"/>
          <w:b/>
          <w:bCs/>
          <w:i w:val="0"/>
          <w:iCs w:val="0"/>
          <w:color w:val="C00000"/>
          <w:sz w:val="24"/>
          <w:szCs w:val="24"/>
          <w:lang w:eastAsia="es-MX"/>
        </w:rPr>
        <w:t>CASO 1:</w:t>
      </w:r>
      <w:r w:rsidR="00AE1DAC">
        <w:rPr>
          <w:rFonts w:ascii="Gadugi" w:hAnsi="Gadugi"/>
          <w:b/>
          <w:bCs/>
          <w:i w:val="0"/>
          <w:iCs w:val="0"/>
          <w:color w:val="C00000"/>
          <w:sz w:val="24"/>
          <w:szCs w:val="24"/>
          <w:lang w:eastAsia="es-MX"/>
        </w:rPr>
        <w:t xml:space="preserve"> </w:t>
      </w:r>
      <w:r w:rsidR="00AE1DAC" w:rsidRPr="00AE1DAC">
        <w:rPr>
          <w:rFonts w:ascii="Gadugi" w:hAnsi="Gadugi"/>
          <w:b/>
          <w:bCs/>
          <w:i w:val="0"/>
          <w:iCs w:val="0"/>
          <w:color w:val="C00000"/>
          <w:sz w:val="24"/>
          <w:szCs w:val="24"/>
          <w:lang w:eastAsia="es-MX"/>
        </w:rPr>
        <w:t>CASO ATALA RIFFO Y NIÑAS VS</w:t>
      </w:r>
      <w:r w:rsidR="00AE1DAC">
        <w:rPr>
          <w:rFonts w:ascii="Gadugi" w:hAnsi="Gadugi"/>
          <w:b/>
          <w:bCs/>
          <w:i w:val="0"/>
          <w:iCs w:val="0"/>
          <w:color w:val="C00000"/>
          <w:sz w:val="24"/>
          <w:szCs w:val="24"/>
          <w:lang w:eastAsia="es-MX"/>
        </w:rPr>
        <w:t xml:space="preserve"> </w:t>
      </w:r>
      <w:r w:rsidR="00AE1DAC" w:rsidRPr="00AE1DAC">
        <w:rPr>
          <w:rFonts w:ascii="Gadugi" w:hAnsi="Gadugi"/>
          <w:b/>
          <w:bCs/>
          <w:i w:val="0"/>
          <w:iCs w:val="0"/>
          <w:color w:val="C00000"/>
          <w:sz w:val="24"/>
          <w:szCs w:val="24"/>
          <w:lang w:eastAsia="es-MX"/>
        </w:rPr>
        <w:t>CHILE</w:t>
      </w:r>
    </w:p>
    <w:p w14:paraId="67F0FF68" w14:textId="3D3D96EA" w:rsidR="00AE1DAC" w:rsidRPr="00927F7E" w:rsidRDefault="00AE1DAC" w:rsidP="00927F7E">
      <w:pPr>
        <w:spacing w:after="0" w:line="240" w:lineRule="auto"/>
        <w:jc w:val="both"/>
        <w:rPr>
          <w:rFonts w:cstheme="minorHAnsi"/>
          <w:sz w:val="24"/>
          <w:szCs w:val="24"/>
          <w:lang w:eastAsia="es-MX"/>
        </w:rPr>
      </w:pPr>
    </w:p>
    <w:p w14:paraId="7ED35284" w14:textId="6629AA7F" w:rsidR="00AE1DAC" w:rsidRPr="00927F7E" w:rsidRDefault="00AE1DAC" w:rsidP="00927F7E">
      <w:pPr>
        <w:spacing w:after="0" w:line="240" w:lineRule="auto"/>
        <w:jc w:val="both"/>
        <w:rPr>
          <w:rFonts w:ascii="Gadugi" w:eastAsiaTheme="majorEastAsia" w:hAnsi="Gadugi" w:cstheme="minorHAnsi"/>
          <w:b/>
          <w:bCs/>
          <w:color w:val="C00000"/>
          <w:sz w:val="24"/>
          <w:szCs w:val="24"/>
          <w:lang w:eastAsia="es-MX"/>
        </w:rPr>
      </w:pPr>
      <w:proofErr w:type="spellStart"/>
      <w:r w:rsidRPr="00927F7E">
        <w:rPr>
          <w:rFonts w:ascii="Gadugi" w:eastAsiaTheme="majorEastAsia" w:hAnsi="Gadugi" w:cstheme="minorHAnsi"/>
          <w:b/>
          <w:bCs/>
          <w:color w:val="C00000"/>
          <w:sz w:val="24"/>
          <w:szCs w:val="24"/>
          <w:lang w:eastAsia="es-MX"/>
        </w:rPr>
        <w:t>Organo</w:t>
      </w:r>
      <w:proofErr w:type="spellEnd"/>
      <w:r w:rsidRPr="00927F7E">
        <w:rPr>
          <w:rFonts w:ascii="Gadugi" w:eastAsiaTheme="majorEastAsia" w:hAnsi="Gadugi" w:cstheme="minorHAnsi"/>
          <w:b/>
          <w:bCs/>
          <w:color w:val="C00000"/>
          <w:sz w:val="24"/>
          <w:szCs w:val="24"/>
          <w:lang w:eastAsia="es-MX"/>
        </w:rPr>
        <w:t xml:space="preserve"> </w:t>
      </w:r>
      <w:proofErr w:type="spellStart"/>
      <w:r w:rsidRPr="00927F7E">
        <w:rPr>
          <w:rFonts w:ascii="Gadugi" w:eastAsiaTheme="majorEastAsia" w:hAnsi="Gadugi" w:cstheme="minorHAnsi"/>
          <w:b/>
          <w:bCs/>
          <w:color w:val="C00000"/>
          <w:sz w:val="24"/>
          <w:szCs w:val="24"/>
          <w:lang w:eastAsia="es-MX"/>
        </w:rPr>
        <w:t>CoIDH</w:t>
      </w:r>
      <w:proofErr w:type="spellEnd"/>
      <w:r w:rsidRPr="00927F7E">
        <w:rPr>
          <w:rFonts w:ascii="Gadugi" w:eastAsiaTheme="majorEastAsia" w:hAnsi="Gadugi" w:cstheme="minorHAnsi"/>
          <w:b/>
          <w:bCs/>
          <w:color w:val="C00000"/>
          <w:sz w:val="24"/>
          <w:szCs w:val="24"/>
          <w:lang w:eastAsia="es-MX"/>
        </w:rPr>
        <w:t>.</w:t>
      </w:r>
    </w:p>
    <w:p w14:paraId="677EBE59" w14:textId="77777777" w:rsidR="00AE1DAC" w:rsidRPr="00927F7E" w:rsidRDefault="00AE1DAC" w:rsidP="00927F7E">
      <w:pPr>
        <w:spacing w:after="0" w:line="240" w:lineRule="auto"/>
        <w:jc w:val="both"/>
        <w:rPr>
          <w:rFonts w:ascii="Gadugi" w:eastAsiaTheme="majorEastAsia" w:hAnsi="Gadugi" w:cstheme="minorHAnsi"/>
          <w:b/>
          <w:bCs/>
          <w:color w:val="C00000"/>
          <w:sz w:val="24"/>
          <w:szCs w:val="24"/>
          <w:lang w:eastAsia="es-MX"/>
        </w:rPr>
      </w:pPr>
    </w:p>
    <w:p w14:paraId="5E5A51A0" w14:textId="70E39720" w:rsidR="00AE1DAC" w:rsidRPr="00927F7E" w:rsidRDefault="00AE1DAC" w:rsidP="00927F7E">
      <w:pPr>
        <w:spacing w:after="0" w:line="240" w:lineRule="auto"/>
        <w:jc w:val="both"/>
        <w:rPr>
          <w:rFonts w:ascii="Gadugi" w:eastAsiaTheme="majorEastAsia" w:hAnsi="Gadugi" w:cstheme="minorHAnsi"/>
          <w:b/>
          <w:bCs/>
          <w:color w:val="C00000"/>
          <w:sz w:val="24"/>
          <w:szCs w:val="24"/>
          <w:lang w:eastAsia="es-MX"/>
        </w:rPr>
      </w:pPr>
      <w:r w:rsidRPr="00927F7E">
        <w:rPr>
          <w:rFonts w:ascii="Gadugi" w:eastAsiaTheme="majorEastAsia" w:hAnsi="Gadugi" w:cstheme="minorHAnsi"/>
          <w:b/>
          <w:bCs/>
          <w:sz w:val="24"/>
          <w:szCs w:val="24"/>
          <w:lang w:eastAsia="es-MX"/>
        </w:rPr>
        <w:t>Corte Interamericana de Derechos Humanos</w:t>
      </w:r>
    </w:p>
    <w:p w14:paraId="1FFCFC84" w14:textId="77777777" w:rsidR="00AE1DAC" w:rsidRPr="00927F7E" w:rsidRDefault="00AE1DAC" w:rsidP="00927F7E">
      <w:pPr>
        <w:spacing w:after="0" w:line="240" w:lineRule="auto"/>
        <w:jc w:val="both"/>
        <w:rPr>
          <w:rFonts w:ascii="Gadugi" w:eastAsiaTheme="majorEastAsia" w:hAnsi="Gadugi" w:cstheme="minorHAnsi"/>
          <w:b/>
          <w:bCs/>
          <w:color w:val="C00000"/>
          <w:sz w:val="24"/>
          <w:szCs w:val="24"/>
          <w:lang w:eastAsia="es-MX"/>
        </w:rPr>
      </w:pPr>
      <w:r w:rsidRPr="00927F7E">
        <w:rPr>
          <w:rFonts w:ascii="Gadugi" w:eastAsiaTheme="majorEastAsia" w:hAnsi="Gadugi" w:cstheme="minorHAnsi"/>
          <w:b/>
          <w:bCs/>
          <w:color w:val="C00000"/>
          <w:sz w:val="24"/>
          <w:szCs w:val="24"/>
          <w:lang w:eastAsia="es-MX"/>
        </w:rPr>
        <w:t xml:space="preserve">Caso </w:t>
      </w:r>
      <w:proofErr w:type="spellStart"/>
      <w:r w:rsidRPr="00927F7E">
        <w:rPr>
          <w:rFonts w:ascii="Gadugi" w:eastAsiaTheme="majorEastAsia" w:hAnsi="Gadugi" w:cstheme="minorHAnsi"/>
          <w:b/>
          <w:bCs/>
          <w:color w:val="C00000"/>
          <w:sz w:val="24"/>
          <w:szCs w:val="24"/>
          <w:lang w:eastAsia="es-MX"/>
        </w:rPr>
        <w:t>Atala</w:t>
      </w:r>
      <w:proofErr w:type="spellEnd"/>
      <w:r w:rsidRPr="00927F7E">
        <w:rPr>
          <w:rFonts w:ascii="Gadugi" w:eastAsiaTheme="majorEastAsia" w:hAnsi="Gadugi" w:cstheme="minorHAnsi"/>
          <w:b/>
          <w:bCs/>
          <w:color w:val="C00000"/>
          <w:sz w:val="24"/>
          <w:szCs w:val="24"/>
          <w:lang w:eastAsia="es-MX"/>
        </w:rPr>
        <w:t xml:space="preserve"> Riffo y Niñas Vs. Chile</w:t>
      </w:r>
    </w:p>
    <w:p w14:paraId="477029D2" w14:textId="77777777" w:rsidR="00AE1DAC" w:rsidRPr="00927F7E" w:rsidRDefault="00AE1DAC" w:rsidP="00927F7E">
      <w:pPr>
        <w:spacing w:after="0" w:line="240" w:lineRule="auto"/>
        <w:jc w:val="both"/>
        <w:rPr>
          <w:rFonts w:ascii="Gadugi" w:eastAsiaTheme="majorEastAsia" w:hAnsi="Gadugi" w:cstheme="minorHAnsi"/>
          <w:b/>
          <w:bCs/>
          <w:sz w:val="24"/>
          <w:szCs w:val="24"/>
          <w:lang w:eastAsia="es-MX"/>
        </w:rPr>
      </w:pPr>
      <w:r w:rsidRPr="00927F7E">
        <w:rPr>
          <w:rFonts w:ascii="Gadugi" w:eastAsiaTheme="majorEastAsia" w:hAnsi="Gadugi" w:cstheme="minorHAnsi"/>
          <w:b/>
          <w:bCs/>
          <w:sz w:val="24"/>
          <w:szCs w:val="24"/>
          <w:lang w:eastAsia="es-MX"/>
        </w:rPr>
        <w:t>Resuelto el 24 de febrero de 2012</w:t>
      </w:r>
    </w:p>
    <w:p w14:paraId="0B98740F" w14:textId="77777777" w:rsidR="00AE1DAC" w:rsidRPr="00927F7E" w:rsidRDefault="00AE1DAC" w:rsidP="00927F7E">
      <w:pPr>
        <w:spacing w:after="0" w:line="240" w:lineRule="auto"/>
        <w:jc w:val="both"/>
        <w:rPr>
          <w:rFonts w:cstheme="minorHAnsi"/>
          <w:sz w:val="24"/>
          <w:szCs w:val="24"/>
          <w:lang w:eastAsia="es-MX"/>
        </w:rPr>
      </w:pPr>
    </w:p>
    <w:p w14:paraId="72A91DD1" w14:textId="77777777" w:rsidR="00AE1DAC" w:rsidRPr="00927F7E" w:rsidRDefault="00AE1DAC" w:rsidP="00927F7E">
      <w:pPr>
        <w:spacing w:after="0" w:line="240" w:lineRule="auto"/>
        <w:jc w:val="both"/>
        <w:rPr>
          <w:rFonts w:cstheme="minorHAnsi"/>
          <w:b/>
          <w:bCs/>
          <w:sz w:val="24"/>
          <w:szCs w:val="24"/>
          <w:lang w:eastAsia="es-MX"/>
        </w:rPr>
      </w:pPr>
      <w:r w:rsidRPr="00927F7E">
        <w:rPr>
          <w:rFonts w:cstheme="minorHAnsi"/>
          <w:b/>
          <w:bCs/>
          <w:sz w:val="24"/>
          <w:szCs w:val="24"/>
          <w:lang w:eastAsia="es-MX"/>
        </w:rPr>
        <w:t>Temática</w:t>
      </w:r>
    </w:p>
    <w:p w14:paraId="5CE9C7DF" w14:textId="46E909EA" w:rsidR="00AE1DAC" w:rsidRPr="00927F7E" w:rsidRDefault="00AE1DAC" w:rsidP="00927F7E">
      <w:pPr>
        <w:pStyle w:val="Prrafodelista"/>
        <w:numPr>
          <w:ilvl w:val="0"/>
          <w:numId w:val="12"/>
        </w:numPr>
        <w:spacing w:after="0" w:line="240" w:lineRule="auto"/>
        <w:jc w:val="both"/>
        <w:rPr>
          <w:rFonts w:cstheme="minorHAnsi"/>
          <w:sz w:val="24"/>
          <w:szCs w:val="24"/>
          <w:lang w:eastAsia="es-MX"/>
        </w:rPr>
      </w:pPr>
      <w:r w:rsidRPr="00927F7E">
        <w:rPr>
          <w:rFonts w:cstheme="minorHAnsi"/>
          <w:sz w:val="24"/>
          <w:szCs w:val="24"/>
          <w:lang w:eastAsia="es-MX"/>
        </w:rPr>
        <w:t>Discriminación por orientación sexual</w:t>
      </w:r>
    </w:p>
    <w:p w14:paraId="0FA5940D" w14:textId="0810E7F5" w:rsidR="00AE1DAC" w:rsidRPr="00927F7E" w:rsidRDefault="00AE1DAC" w:rsidP="00927F7E">
      <w:pPr>
        <w:pStyle w:val="Prrafodelista"/>
        <w:numPr>
          <w:ilvl w:val="0"/>
          <w:numId w:val="12"/>
        </w:numPr>
        <w:spacing w:after="0" w:line="240" w:lineRule="auto"/>
        <w:jc w:val="both"/>
        <w:rPr>
          <w:rFonts w:cstheme="minorHAnsi"/>
          <w:sz w:val="24"/>
          <w:szCs w:val="24"/>
          <w:lang w:eastAsia="es-MX"/>
        </w:rPr>
      </w:pPr>
      <w:r w:rsidRPr="00927F7E">
        <w:rPr>
          <w:rFonts w:cstheme="minorHAnsi"/>
          <w:sz w:val="24"/>
          <w:szCs w:val="24"/>
          <w:lang w:eastAsia="es-MX"/>
        </w:rPr>
        <w:t>Interés superior del niño</w:t>
      </w:r>
    </w:p>
    <w:p w14:paraId="5E2D68A0" w14:textId="78EA3503" w:rsidR="00AE1DAC" w:rsidRPr="00927F7E" w:rsidRDefault="00AE1DAC" w:rsidP="00927F7E">
      <w:pPr>
        <w:pStyle w:val="Prrafodelista"/>
        <w:numPr>
          <w:ilvl w:val="0"/>
          <w:numId w:val="12"/>
        </w:numPr>
        <w:spacing w:after="0" w:line="240" w:lineRule="auto"/>
        <w:jc w:val="both"/>
        <w:rPr>
          <w:rFonts w:cstheme="minorHAnsi"/>
          <w:sz w:val="24"/>
          <w:szCs w:val="24"/>
          <w:lang w:eastAsia="es-MX"/>
        </w:rPr>
      </w:pPr>
      <w:r w:rsidRPr="00927F7E">
        <w:rPr>
          <w:rFonts w:cstheme="minorHAnsi"/>
          <w:sz w:val="24"/>
          <w:szCs w:val="24"/>
          <w:lang w:eastAsia="es-MX"/>
        </w:rPr>
        <w:t>Derecho a la vida privada</w:t>
      </w:r>
    </w:p>
    <w:p w14:paraId="0F139AEB" w14:textId="4E236042" w:rsidR="00AE1DAC" w:rsidRPr="00927F7E" w:rsidRDefault="00AE1DAC" w:rsidP="00927F7E">
      <w:pPr>
        <w:pStyle w:val="Prrafodelista"/>
        <w:numPr>
          <w:ilvl w:val="0"/>
          <w:numId w:val="12"/>
        </w:numPr>
        <w:spacing w:after="0" w:line="240" w:lineRule="auto"/>
        <w:jc w:val="both"/>
        <w:rPr>
          <w:rFonts w:cstheme="minorHAnsi"/>
          <w:sz w:val="24"/>
          <w:szCs w:val="24"/>
          <w:lang w:eastAsia="es-MX"/>
        </w:rPr>
      </w:pPr>
      <w:r w:rsidRPr="00927F7E">
        <w:rPr>
          <w:rFonts w:cstheme="minorHAnsi"/>
          <w:sz w:val="24"/>
          <w:szCs w:val="24"/>
          <w:lang w:eastAsia="es-MX"/>
        </w:rPr>
        <w:t>Derecho a la igualdad y no discriminación</w:t>
      </w:r>
    </w:p>
    <w:p w14:paraId="7E2AE636" w14:textId="68CD1BFC" w:rsidR="00AE1DAC" w:rsidRPr="00927F7E" w:rsidRDefault="00AE1DAC" w:rsidP="00927F7E">
      <w:pPr>
        <w:pStyle w:val="Prrafodelista"/>
        <w:numPr>
          <w:ilvl w:val="0"/>
          <w:numId w:val="12"/>
        </w:numPr>
        <w:spacing w:after="0" w:line="240" w:lineRule="auto"/>
        <w:jc w:val="both"/>
        <w:rPr>
          <w:rFonts w:cstheme="minorHAnsi"/>
          <w:sz w:val="24"/>
          <w:szCs w:val="24"/>
          <w:lang w:eastAsia="es-MX"/>
        </w:rPr>
      </w:pPr>
      <w:r w:rsidRPr="00927F7E">
        <w:rPr>
          <w:rFonts w:cstheme="minorHAnsi"/>
          <w:sz w:val="24"/>
          <w:szCs w:val="24"/>
          <w:lang w:eastAsia="es-MX"/>
        </w:rPr>
        <w:t>Derecho a una familia normal y tradicional</w:t>
      </w:r>
    </w:p>
    <w:p w14:paraId="4ECE9256" w14:textId="5F35508D" w:rsidR="00AE1DAC" w:rsidRPr="00927F7E" w:rsidRDefault="00AE1DAC" w:rsidP="00927F7E">
      <w:pPr>
        <w:pStyle w:val="Prrafodelista"/>
        <w:numPr>
          <w:ilvl w:val="0"/>
          <w:numId w:val="12"/>
        </w:numPr>
        <w:spacing w:after="0" w:line="240" w:lineRule="auto"/>
        <w:jc w:val="both"/>
        <w:rPr>
          <w:rFonts w:cstheme="minorHAnsi"/>
          <w:sz w:val="24"/>
          <w:szCs w:val="24"/>
          <w:lang w:eastAsia="es-MX"/>
        </w:rPr>
      </w:pPr>
      <w:r w:rsidRPr="00927F7E">
        <w:rPr>
          <w:rFonts w:cstheme="minorHAnsi"/>
          <w:sz w:val="24"/>
          <w:szCs w:val="24"/>
          <w:lang w:eastAsia="es-MX"/>
        </w:rPr>
        <w:t>Principios de Independencia e Imparcialidad Judicial</w:t>
      </w:r>
    </w:p>
    <w:p w14:paraId="65D0DCA9" w14:textId="77777777" w:rsidR="00AE1DAC" w:rsidRPr="00927F7E" w:rsidRDefault="00AE1DAC" w:rsidP="00927F7E">
      <w:pPr>
        <w:spacing w:after="0" w:line="240" w:lineRule="auto"/>
        <w:jc w:val="both"/>
        <w:rPr>
          <w:rFonts w:cstheme="minorHAnsi"/>
          <w:sz w:val="24"/>
          <w:szCs w:val="24"/>
          <w:lang w:eastAsia="es-MX"/>
        </w:rPr>
      </w:pPr>
    </w:p>
    <w:p w14:paraId="18AE1D0F" w14:textId="5CAA4AC4" w:rsidR="00AE1DAC" w:rsidRPr="00927F7E" w:rsidRDefault="00AE1DAC" w:rsidP="00927F7E">
      <w:pPr>
        <w:spacing w:after="0" w:line="240" w:lineRule="auto"/>
        <w:jc w:val="both"/>
        <w:rPr>
          <w:rFonts w:cstheme="minorHAnsi"/>
          <w:b/>
          <w:bCs/>
          <w:sz w:val="24"/>
          <w:szCs w:val="24"/>
          <w:lang w:eastAsia="es-MX"/>
        </w:rPr>
      </w:pPr>
      <w:r w:rsidRPr="00927F7E">
        <w:rPr>
          <w:rFonts w:cstheme="minorHAnsi"/>
          <w:b/>
          <w:bCs/>
          <w:sz w:val="24"/>
          <w:szCs w:val="24"/>
          <w:lang w:eastAsia="es-MX"/>
        </w:rPr>
        <w:t>I.</w:t>
      </w:r>
      <w:r w:rsidR="00927F7E" w:rsidRPr="00927F7E">
        <w:rPr>
          <w:rFonts w:cstheme="minorHAnsi"/>
          <w:b/>
          <w:bCs/>
          <w:sz w:val="24"/>
          <w:szCs w:val="24"/>
          <w:lang w:eastAsia="es-MX"/>
        </w:rPr>
        <w:t xml:space="preserve"> </w:t>
      </w:r>
      <w:r w:rsidRPr="00927F7E">
        <w:rPr>
          <w:rFonts w:cstheme="minorHAnsi"/>
          <w:b/>
          <w:bCs/>
          <w:sz w:val="24"/>
          <w:szCs w:val="24"/>
          <w:lang w:eastAsia="es-MX"/>
        </w:rPr>
        <w:t>Hechos</w:t>
      </w:r>
    </w:p>
    <w:p w14:paraId="6A9D7DDF" w14:textId="77777777" w:rsidR="00AE1DAC" w:rsidRPr="00927F7E" w:rsidRDefault="00AE1DAC" w:rsidP="00927F7E">
      <w:pPr>
        <w:spacing w:after="0" w:line="240" w:lineRule="auto"/>
        <w:jc w:val="both"/>
        <w:rPr>
          <w:rFonts w:cstheme="minorHAnsi"/>
          <w:sz w:val="24"/>
          <w:szCs w:val="24"/>
          <w:lang w:eastAsia="es-MX"/>
        </w:rPr>
      </w:pPr>
    </w:p>
    <w:p w14:paraId="36F2C168" w14:textId="77777777" w:rsidR="00AE1DAC" w:rsidRPr="00927F7E" w:rsidRDefault="00AE1DAC" w:rsidP="00927F7E">
      <w:pPr>
        <w:spacing w:after="0" w:line="240" w:lineRule="auto"/>
        <w:jc w:val="both"/>
        <w:rPr>
          <w:rFonts w:cstheme="minorHAnsi"/>
          <w:sz w:val="24"/>
          <w:szCs w:val="24"/>
          <w:lang w:eastAsia="es-MX"/>
        </w:rPr>
      </w:pPr>
      <w:r w:rsidRPr="00927F7E">
        <w:rPr>
          <w:rFonts w:cstheme="minorHAnsi"/>
          <w:sz w:val="24"/>
          <w:szCs w:val="24"/>
          <w:lang w:eastAsia="es-MX"/>
        </w:rPr>
        <w:t xml:space="preserve">Se llevo a cabo un proceso de tuición (guarda y custodia) en contra de Karen </w:t>
      </w:r>
      <w:proofErr w:type="spellStart"/>
      <w:r w:rsidRPr="00927F7E">
        <w:rPr>
          <w:rFonts w:cstheme="minorHAnsi"/>
          <w:sz w:val="24"/>
          <w:szCs w:val="24"/>
          <w:lang w:eastAsia="es-MX"/>
        </w:rPr>
        <w:t>Atala</w:t>
      </w:r>
      <w:proofErr w:type="spellEnd"/>
      <w:r w:rsidRPr="00927F7E">
        <w:rPr>
          <w:rFonts w:cstheme="minorHAnsi"/>
          <w:sz w:val="24"/>
          <w:szCs w:val="24"/>
          <w:lang w:eastAsia="es-MX"/>
        </w:rPr>
        <w:t xml:space="preserve"> Riffo en el cual se alegó de manera central que la demandada no se encontraba capacitada para velar y cuidar de sus tres niñas, ya que su nueva opción de vida sexual sumada a una convivencia lésbica con otra mujer, estaban produciendo consecuencias dañinas al desarrollo de las menores, pues la madre no había demostrado interés alguno por velar y proteger el desarrollo integral de ellas. En este sentido, el proceso de tuición (guarda y custodia) giró, entre otras consideraciones, en torno a la orientación sexual de la señora </w:t>
      </w:r>
      <w:proofErr w:type="spellStart"/>
      <w:r w:rsidRPr="00927F7E">
        <w:rPr>
          <w:rFonts w:cstheme="minorHAnsi"/>
          <w:sz w:val="24"/>
          <w:szCs w:val="24"/>
          <w:lang w:eastAsia="es-MX"/>
        </w:rPr>
        <w:t>Atala</w:t>
      </w:r>
      <w:proofErr w:type="spellEnd"/>
      <w:r w:rsidRPr="00927F7E">
        <w:rPr>
          <w:rFonts w:cstheme="minorHAnsi"/>
          <w:sz w:val="24"/>
          <w:szCs w:val="24"/>
          <w:lang w:eastAsia="es-MX"/>
        </w:rPr>
        <w:t xml:space="preserve"> Riffo y las presuntas consecuencias que la convivencia con su pareja podría producir en las tres niñas.</w:t>
      </w:r>
    </w:p>
    <w:p w14:paraId="19F2941E" w14:textId="77777777" w:rsidR="00AE1DAC" w:rsidRPr="00927F7E" w:rsidRDefault="00AE1DAC" w:rsidP="00927F7E">
      <w:pPr>
        <w:spacing w:after="0" w:line="240" w:lineRule="auto"/>
        <w:jc w:val="both"/>
        <w:rPr>
          <w:rFonts w:cstheme="minorHAnsi"/>
          <w:sz w:val="24"/>
          <w:szCs w:val="24"/>
          <w:lang w:eastAsia="es-MX"/>
        </w:rPr>
      </w:pPr>
    </w:p>
    <w:p w14:paraId="0A28F481" w14:textId="77777777" w:rsidR="00AE1DAC" w:rsidRPr="00927F7E" w:rsidRDefault="00AE1DAC" w:rsidP="00927F7E">
      <w:pPr>
        <w:spacing w:after="0" w:line="240" w:lineRule="auto"/>
        <w:jc w:val="both"/>
        <w:rPr>
          <w:rFonts w:cstheme="minorHAnsi"/>
          <w:sz w:val="24"/>
          <w:szCs w:val="24"/>
          <w:lang w:eastAsia="es-MX"/>
        </w:rPr>
      </w:pPr>
      <w:r w:rsidRPr="00927F7E">
        <w:rPr>
          <w:rFonts w:cstheme="minorHAnsi"/>
          <w:sz w:val="24"/>
          <w:szCs w:val="24"/>
          <w:lang w:eastAsia="es-MX"/>
        </w:rPr>
        <w:t xml:space="preserve">Al respecto, la Corte Suprema de Justicia de Chile invocó las siguientes razones para fundamentar su sentencia: i) un presunto deterioro experimentado por el entorno social, familiar y educacional en que se desenvolvía la existencia de las menores de edad, desde que la madre empezó a convivir en el hogar con su pareja homosexual y los efectos que esa convivencia podía causar en el bienestar y desarrollo psíquico y emocional de las hijas; </w:t>
      </w:r>
      <w:proofErr w:type="spellStart"/>
      <w:r w:rsidRPr="00927F7E">
        <w:rPr>
          <w:rFonts w:cstheme="minorHAnsi"/>
          <w:sz w:val="24"/>
          <w:szCs w:val="24"/>
          <w:lang w:eastAsia="es-MX"/>
        </w:rPr>
        <w:t>ii</w:t>
      </w:r>
      <w:proofErr w:type="spellEnd"/>
      <w:r w:rsidRPr="00927F7E">
        <w:rPr>
          <w:rFonts w:cstheme="minorHAnsi"/>
          <w:sz w:val="24"/>
          <w:szCs w:val="24"/>
          <w:lang w:eastAsia="es-MX"/>
        </w:rPr>
        <w:t xml:space="preserve">) la existencia de una situación de riesgo para el desarrollo integral de las menores respecto de la cual debían ser protegidas por la eventual confusión de roles sexuales que podía producírseles por la carencia en el hogar de un padre de sexo masculino y su reemplazo por otra persona del género femenino; </w:t>
      </w:r>
      <w:proofErr w:type="spellStart"/>
      <w:r w:rsidRPr="00927F7E">
        <w:rPr>
          <w:rFonts w:cstheme="minorHAnsi"/>
          <w:sz w:val="24"/>
          <w:szCs w:val="24"/>
          <w:lang w:eastAsia="es-MX"/>
        </w:rPr>
        <w:t>iii</w:t>
      </w:r>
      <w:proofErr w:type="spellEnd"/>
      <w:r w:rsidRPr="00927F7E">
        <w:rPr>
          <w:rFonts w:cstheme="minorHAnsi"/>
          <w:sz w:val="24"/>
          <w:szCs w:val="24"/>
          <w:lang w:eastAsia="es-MX"/>
        </w:rPr>
        <w:t xml:space="preserve">) la supuesta existencia de un estado de vulnerabilidad en su medio social por el presunto riesgo de una estigmatización social, y </w:t>
      </w:r>
      <w:proofErr w:type="spellStart"/>
      <w:r w:rsidRPr="00927F7E">
        <w:rPr>
          <w:rFonts w:cstheme="minorHAnsi"/>
          <w:sz w:val="24"/>
          <w:szCs w:val="24"/>
          <w:lang w:eastAsia="es-MX"/>
        </w:rPr>
        <w:t>iv</w:t>
      </w:r>
      <w:proofErr w:type="spellEnd"/>
      <w:r w:rsidRPr="00927F7E">
        <w:rPr>
          <w:rFonts w:cstheme="minorHAnsi"/>
          <w:sz w:val="24"/>
          <w:szCs w:val="24"/>
          <w:lang w:eastAsia="es-MX"/>
        </w:rPr>
        <w:t xml:space="preserve">) la priorización de los intereses de la señora </w:t>
      </w:r>
      <w:proofErr w:type="spellStart"/>
      <w:r w:rsidRPr="00927F7E">
        <w:rPr>
          <w:rFonts w:cstheme="minorHAnsi"/>
          <w:sz w:val="24"/>
          <w:szCs w:val="24"/>
          <w:lang w:eastAsia="es-MX"/>
        </w:rPr>
        <w:t>Atala</w:t>
      </w:r>
      <w:proofErr w:type="spellEnd"/>
      <w:r w:rsidRPr="00927F7E">
        <w:rPr>
          <w:rFonts w:cstheme="minorHAnsi"/>
          <w:sz w:val="24"/>
          <w:szCs w:val="24"/>
          <w:lang w:eastAsia="es-MX"/>
        </w:rPr>
        <w:t xml:space="preserve"> Riffo a los de las menores de edad al tomar la decisión de explicitar su condición homosexual.</w:t>
      </w:r>
    </w:p>
    <w:p w14:paraId="6038B5C7" w14:textId="77777777" w:rsidR="00AE1DAC" w:rsidRPr="00927F7E" w:rsidRDefault="00AE1DAC" w:rsidP="00927F7E">
      <w:pPr>
        <w:spacing w:after="0" w:line="240" w:lineRule="auto"/>
        <w:jc w:val="both"/>
        <w:rPr>
          <w:rFonts w:cstheme="minorHAnsi"/>
          <w:sz w:val="24"/>
          <w:szCs w:val="24"/>
          <w:lang w:eastAsia="es-MX"/>
        </w:rPr>
      </w:pPr>
    </w:p>
    <w:p w14:paraId="7AA286FB" w14:textId="2961E16B" w:rsidR="00AE1DAC" w:rsidRPr="00927F7E" w:rsidRDefault="00AE1DAC" w:rsidP="00927F7E">
      <w:pPr>
        <w:spacing w:after="0" w:line="240" w:lineRule="auto"/>
        <w:jc w:val="both"/>
        <w:rPr>
          <w:rFonts w:cstheme="minorHAnsi"/>
          <w:b/>
          <w:bCs/>
          <w:sz w:val="24"/>
          <w:szCs w:val="24"/>
          <w:lang w:eastAsia="es-MX"/>
        </w:rPr>
      </w:pPr>
      <w:r w:rsidRPr="00927F7E">
        <w:rPr>
          <w:rFonts w:cstheme="minorHAnsi"/>
          <w:b/>
          <w:bCs/>
          <w:sz w:val="24"/>
          <w:szCs w:val="24"/>
          <w:lang w:eastAsia="es-MX"/>
        </w:rPr>
        <w:t>II.</w:t>
      </w:r>
      <w:r w:rsidR="00927F7E">
        <w:rPr>
          <w:rFonts w:cstheme="minorHAnsi"/>
          <w:b/>
          <w:bCs/>
          <w:sz w:val="24"/>
          <w:szCs w:val="24"/>
          <w:lang w:eastAsia="es-MX"/>
        </w:rPr>
        <w:t xml:space="preserve"> </w:t>
      </w:r>
      <w:r w:rsidRPr="00927F7E">
        <w:rPr>
          <w:rFonts w:cstheme="minorHAnsi"/>
          <w:b/>
          <w:bCs/>
          <w:sz w:val="24"/>
          <w:szCs w:val="24"/>
          <w:lang w:eastAsia="es-MX"/>
        </w:rPr>
        <w:t>Procedimiento ante órganos interamericanos</w:t>
      </w:r>
    </w:p>
    <w:p w14:paraId="48213668" w14:textId="77777777" w:rsidR="00AE1DAC" w:rsidRPr="00927F7E" w:rsidRDefault="00AE1DAC" w:rsidP="00927F7E">
      <w:pPr>
        <w:spacing w:after="0" w:line="240" w:lineRule="auto"/>
        <w:jc w:val="both"/>
        <w:rPr>
          <w:rFonts w:cstheme="minorHAnsi"/>
          <w:b/>
          <w:bCs/>
          <w:sz w:val="24"/>
          <w:szCs w:val="24"/>
          <w:lang w:eastAsia="es-MX"/>
        </w:rPr>
      </w:pPr>
    </w:p>
    <w:p w14:paraId="3D310AEC" w14:textId="19AC43A3" w:rsidR="00AE1DAC" w:rsidRPr="00927F7E" w:rsidRDefault="00AE1DAC" w:rsidP="00927F7E">
      <w:pPr>
        <w:pStyle w:val="Prrafodelista"/>
        <w:numPr>
          <w:ilvl w:val="0"/>
          <w:numId w:val="13"/>
        </w:numPr>
        <w:spacing w:after="0" w:line="240" w:lineRule="auto"/>
        <w:jc w:val="both"/>
        <w:rPr>
          <w:rFonts w:cstheme="minorHAnsi"/>
          <w:sz w:val="24"/>
          <w:szCs w:val="24"/>
          <w:lang w:eastAsia="es-MX"/>
        </w:rPr>
      </w:pPr>
      <w:r w:rsidRPr="00927F7E">
        <w:rPr>
          <w:rFonts w:cstheme="minorHAnsi"/>
          <w:sz w:val="24"/>
          <w:szCs w:val="24"/>
          <w:lang w:eastAsia="es-MX"/>
        </w:rPr>
        <w:t xml:space="preserve">La petición inicial fue presentada ante la Comisión el 24 de noviembre de 2004 por Karen </w:t>
      </w:r>
      <w:proofErr w:type="spellStart"/>
      <w:r w:rsidRPr="00927F7E">
        <w:rPr>
          <w:rFonts w:cstheme="minorHAnsi"/>
          <w:sz w:val="24"/>
          <w:szCs w:val="24"/>
          <w:lang w:eastAsia="es-MX"/>
        </w:rPr>
        <w:t>Atala</w:t>
      </w:r>
      <w:proofErr w:type="spellEnd"/>
      <w:r w:rsidRPr="00927F7E">
        <w:rPr>
          <w:rFonts w:cstheme="minorHAnsi"/>
          <w:sz w:val="24"/>
          <w:szCs w:val="24"/>
          <w:lang w:eastAsia="es-MX"/>
        </w:rPr>
        <w:t xml:space="preserve"> Riffo, la Clínica de Acciones de Interés Público de la Universidad Diego Portales y la Fundación Ideas.</w:t>
      </w:r>
    </w:p>
    <w:p w14:paraId="1D7CE317" w14:textId="77777777" w:rsidR="00AE1DAC" w:rsidRPr="00927F7E" w:rsidRDefault="00AE1DAC" w:rsidP="00927F7E">
      <w:pPr>
        <w:spacing w:after="0" w:line="240" w:lineRule="auto"/>
        <w:jc w:val="both"/>
        <w:rPr>
          <w:rFonts w:cstheme="minorHAnsi"/>
          <w:sz w:val="24"/>
          <w:szCs w:val="24"/>
          <w:lang w:eastAsia="es-MX"/>
        </w:rPr>
      </w:pPr>
    </w:p>
    <w:p w14:paraId="5B20BDA6" w14:textId="5143231F" w:rsidR="00AE1DAC" w:rsidRPr="00927F7E" w:rsidRDefault="00AE1DAC" w:rsidP="00927F7E">
      <w:pPr>
        <w:pStyle w:val="Prrafodelista"/>
        <w:numPr>
          <w:ilvl w:val="0"/>
          <w:numId w:val="13"/>
        </w:numPr>
        <w:spacing w:after="0" w:line="240" w:lineRule="auto"/>
        <w:jc w:val="both"/>
        <w:rPr>
          <w:rFonts w:cstheme="minorHAnsi"/>
          <w:sz w:val="24"/>
          <w:szCs w:val="24"/>
          <w:lang w:eastAsia="es-MX"/>
        </w:rPr>
      </w:pPr>
      <w:r w:rsidRPr="00927F7E">
        <w:rPr>
          <w:rFonts w:cstheme="minorHAnsi"/>
          <w:sz w:val="24"/>
          <w:szCs w:val="24"/>
          <w:lang w:eastAsia="es-MX"/>
        </w:rPr>
        <w:t>El 23 de julio de 2008 la Comisión aprobó el Informe de Admisibilidad No. 42/08 y el 18 de diciembre de 2009 emitió el Informe de Fondo No. 139/09, en el cual concluyó que el Estado era responsable e hizo varias recomendaciones.</w:t>
      </w:r>
    </w:p>
    <w:p w14:paraId="12187069" w14:textId="77777777" w:rsidR="00AE1DAC" w:rsidRPr="00927F7E" w:rsidRDefault="00AE1DAC" w:rsidP="00927F7E">
      <w:pPr>
        <w:spacing w:after="0" w:line="240" w:lineRule="auto"/>
        <w:jc w:val="both"/>
        <w:rPr>
          <w:rFonts w:cstheme="minorHAnsi"/>
          <w:sz w:val="24"/>
          <w:szCs w:val="24"/>
          <w:lang w:eastAsia="es-MX"/>
        </w:rPr>
      </w:pPr>
    </w:p>
    <w:p w14:paraId="4E9D1D39" w14:textId="0637D08C" w:rsidR="00AE1DAC" w:rsidRPr="00927F7E" w:rsidRDefault="00AE1DAC" w:rsidP="00927F7E">
      <w:pPr>
        <w:pStyle w:val="Prrafodelista"/>
        <w:numPr>
          <w:ilvl w:val="0"/>
          <w:numId w:val="13"/>
        </w:numPr>
        <w:spacing w:after="0" w:line="240" w:lineRule="auto"/>
        <w:jc w:val="both"/>
        <w:rPr>
          <w:rFonts w:cstheme="minorHAnsi"/>
          <w:sz w:val="24"/>
          <w:szCs w:val="24"/>
          <w:lang w:eastAsia="es-MX"/>
        </w:rPr>
      </w:pPr>
      <w:r w:rsidRPr="00927F7E">
        <w:rPr>
          <w:rFonts w:cstheme="minorHAnsi"/>
          <w:sz w:val="24"/>
          <w:szCs w:val="24"/>
          <w:lang w:eastAsia="es-MX"/>
        </w:rPr>
        <w:t>El 17 de septiembre de 2010 la Comisión Interamericana presentó la demanda ante la Corte Interamericana de Derechos Humanos.</w:t>
      </w:r>
    </w:p>
    <w:p w14:paraId="7C76EC92" w14:textId="77777777" w:rsidR="00AE1DAC" w:rsidRPr="00927F7E" w:rsidRDefault="00AE1DAC" w:rsidP="00927F7E">
      <w:pPr>
        <w:spacing w:after="0" w:line="240" w:lineRule="auto"/>
        <w:jc w:val="both"/>
        <w:rPr>
          <w:rFonts w:cstheme="minorHAnsi"/>
          <w:sz w:val="24"/>
          <w:szCs w:val="24"/>
          <w:lang w:eastAsia="es-MX"/>
        </w:rPr>
      </w:pPr>
    </w:p>
    <w:p w14:paraId="795E8736" w14:textId="3E9F1D82" w:rsidR="00AE1DAC" w:rsidRPr="00927F7E" w:rsidRDefault="00AE1DAC" w:rsidP="00927F7E">
      <w:pPr>
        <w:spacing w:after="0" w:line="240" w:lineRule="auto"/>
        <w:jc w:val="both"/>
        <w:rPr>
          <w:rFonts w:cstheme="minorHAnsi"/>
          <w:b/>
          <w:bCs/>
          <w:sz w:val="24"/>
          <w:szCs w:val="24"/>
          <w:lang w:eastAsia="es-MX"/>
        </w:rPr>
      </w:pPr>
      <w:r w:rsidRPr="00927F7E">
        <w:rPr>
          <w:rFonts w:cstheme="minorHAnsi"/>
          <w:b/>
          <w:bCs/>
          <w:sz w:val="24"/>
          <w:szCs w:val="24"/>
          <w:lang w:eastAsia="es-MX"/>
        </w:rPr>
        <w:t>III.</w:t>
      </w:r>
      <w:r w:rsidR="00927F7E">
        <w:rPr>
          <w:rFonts w:cstheme="minorHAnsi"/>
          <w:b/>
          <w:bCs/>
          <w:sz w:val="24"/>
          <w:szCs w:val="24"/>
          <w:lang w:eastAsia="es-MX"/>
        </w:rPr>
        <w:t xml:space="preserve"> </w:t>
      </w:r>
      <w:r w:rsidRPr="00927F7E">
        <w:rPr>
          <w:rFonts w:cstheme="minorHAnsi"/>
          <w:b/>
          <w:bCs/>
          <w:sz w:val="24"/>
          <w:szCs w:val="24"/>
          <w:lang w:eastAsia="es-MX"/>
        </w:rPr>
        <w:t xml:space="preserve">Sentencia </w:t>
      </w:r>
      <w:proofErr w:type="spellStart"/>
      <w:r w:rsidRPr="00927F7E">
        <w:rPr>
          <w:rFonts w:cstheme="minorHAnsi"/>
          <w:b/>
          <w:bCs/>
          <w:sz w:val="24"/>
          <w:szCs w:val="24"/>
          <w:lang w:eastAsia="es-MX"/>
        </w:rPr>
        <w:t>CoIDH</w:t>
      </w:r>
      <w:proofErr w:type="spellEnd"/>
      <w:r w:rsidRPr="00927F7E">
        <w:rPr>
          <w:rFonts w:cstheme="minorHAnsi"/>
          <w:b/>
          <w:bCs/>
          <w:sz w:val="24"/>
          <w:szCs w:val="24"/>
          <w:lang w:eastAsia="es-MX"/>
        </w:rPr>
        <w:t xml:space="preserve"> (Fondo, Reparaciones y Costas)</w:t>
      </w:r>
    </w:p>
    <w:p w14:paraId="3A760B4B" w14:textId="77777777" w:rsidR="00AE1DAC" w:rsidRPr="00927F7E" w:rsidRDefault="00AE1DAC" w:rsidP="00927F7E">
      <w:pPr>
        <w:spacing w:after="0" w:line="240" w:lineRule="auto"/>
        <w:jc w:val="both"/>
        <w:rPr>
          <w:rFonts w:cstheme="minorHAnsi"/>
          <w:sz w:val="24"/>
          <w:szCs w:val="24"/>
          <w:lang w:eastAsia="es-MX"/>
        </w:rPr>
      </w:pPr>
    </w:p>
    <w:p w14:paraId="5D9C0CA5" w14:textId="77777777" w:rsidR="00AE1DAC" w:rsidRPr="00927F7E" w:rsidRDefault="00AE1DAC" w:rsidP="00927F7E">
      <w:pPr>
        <w:spacing w:after="0" w:line="240" w:lineRule="auto"/>
        <w:jc w:val="both"/>
        <w:rPr>
          <w:rFonts w:cstheme="minorHAnsi"/>
          <w:sz w:val="24"/>
          <w:szCs w:val="24"/>
          <w:lang w:eastAsia="es-MX"/>
        </w:rPr>
      </w:pPr>
      <w:r w:rsidRPr="00927F7E">
        <w:rPr>
          <w:rFonts w:cstheme="minorHAnsi"/>
          <w:b/>
          <w:bCs/>
          <w:sz w:val="24"/>
          <w:szCs w:val="24"/>
          <w:lang w:eastAsia="es-MX"/>
        </w:rPr>
        <w:t>La Corte se pronuncia respecto a los siguientes aspectos destacables:</w:t>
      </w:r>
    </w:p>
    <w:p w14:paraId="469DEBF6" w14:textId="77777777" w:rsidR="00AE1DAC" w:rsidRPr="00927F7E" w:rsidRDefault="00AE1DAC" w:rsidP="00927F7E">
      <w:pPr>
        <w:spacing w:after="0" w:line="240" w:lineRule="auto"/>
        <w:jc w:val="both"/>
        <w:rPr>
          <w:rFonts w:cstheme="minorHAnsi"/>
          <w:sz w:val="24"/>
          <w:szCs w:val="24"/>
          <w:lang w:eastAsia="es-MX"/>
        </w:rPr>
      </w:pPr>
    </w:p>
    <w:p w14:paraId="337203ED" w14:textId="0AABADDE" w:rsidR="00AE1DAC" w:rsidRPr="00927F7E" w:rsidRDefault="00AE1DAC" w:rsidP="00927F7E">
      <w:pPr>
        <w:spacing w:after="0" w:line="240" w:lineRule="auto"/>
        <w:jc w:val="both"/>
        <w:rPr>
          <w:rFonts w:cstheme="minorHAnsi"/>
          <w:sz w:val="24"/>
          <w:szCs w:val="24"/>
          <w:lang w:eastAsia="es-MX"/>
        </w:rPr>
      </w:pPr>
      <w:r w:rsidRPr="00927F7E">
        <w:rPr>
          <w:rFonts w:cstheme="minorHAnsi"/>
          <w:b/>
          <w:bCs/>
          <w:sz w:val="24"/>
          <w:szCs w:val="24"/>
          <w:lang w:eastAsia="es-MX"/>
        </w:rPr>
        <w:t>A.</w:t>
      </w:r>
      <w:r w:rsidR="00927F7E">
        <w:rPr>
          <w:rFonts w:cstheme="minorHAnsi"/>
          <w:sz w:val="24"/>
          <w:szCs w:val="24"/>
          <w:lang w:eastAsia="es-MX"/>
        </w:rPr>
        <w:t xml:space="preserve"> </w:t>
      </w:r>
      <w:r w:rsidRPr="00927F7E">
        <w:rPr>
          <w:rFonts w:cstheme="minorHAnsi"/>
          <w:sz w:val="24"/>
          <w:szCs w:val="24"/>
          <w:lang w:eastAsia="es-MX"/>
        </w:rPr>
        <w:t xml:space="preserve">Principio de igualdad ante la ley y no discriminación.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En la actual etapa de la evolución del derecho internacional, el principio fundamental de igualdad y no discriminación ha ingresado en el dominio del </w:t>
      </w:r>
      <w:proofErr w:type="spellStart"/>
      <w:r w:rsidRPr="00927F7E">
        <w:rPr>
          <w:rFonts w:cstheme="minorHAnsi"/>
          <w:sz w:val="24"/>
          <w:szCs w:val="24"/>
          <w:lang w:eastAsia="es-MX"/>
        </w:rPr>
        <w:t>jus</w:t>
      </w:r>
      <w:proofErr w:type="spellEnd"/>
      <w:r w:rsidRPr="00927F7E">
        <w:rPr>
          <w:rFonts w:cstheme="minorHAnsi"/>
          <w:sz w:val="24"/>
          <w:szCs w:val="24"/>
          <w:lang w:eastAsia="es-MX"/>
        </w:rPr>
        <w:t xml:space="preserve"> cogens. Los Estados están obligados a adoptar medidas positivas para revertir o cambiar situaciones discriminatorias existentes en sus sociedades, en perjuicio de determinado grupo de personas. Esto implica el deber especial de protección que el Estado debe ejercer con respecto a actuaciones y prácticas de terceros que, bajo su tolerancia o aquiescencia, creen, mantengan o favorezcan las situaciones discriminatorias.</w:t>
      </w:r>
    </w:p>
    <w:p w14:paraId="380D607B" w14:textId="77777777" w:rsidR="00AE1DAC" w:rsidRPr="00927F7E" w:rsidRDefault="00AE1DAC" w:rsidP="00927F7E">
      <w:pPr>
        <w:spacing w:after="0" w:line="240" w:lineRule="auto"/>
        <w:jc w:val="both"/>
        <w:rPr>
          <w:rFonts w:cstheme="minorHAnsi"/>
          <w:sz w:val="24"/>
          <w:szCs w:val="24"/>
          <w:lang w:eastAsia="es-MX"/>
        </w:rPr>
      </w:pPr>
    </w:p>
    <w:p w14:paraId="743B302A" w14:textId="77777777" w:rsidR="00AE1DAC" w:rsidRPr="00927F7E" w:rsidRDefault="00AE1DAC" w:rsidP="00927F7E">
      <w:pPr>
        <w:spacing w:after="0" w:line="240" w:lineRule="auto"/>
        <w:jc w:val="both"/>
        <w:rPr>
          <w:rFonts w:cstheme="minorHAnsi"/>
          <w:sz w:val="24"/>
          <w:szCs w:val="24"/>
          <w:lang w:eastAsia="es-MX"/>
        </w:rPr>
      </w:pPr>
      <w:r w:rsidRPr="00927F7E">
        <w:rPr>
          <w:rFonts w:cstheme="minorHAnsi"/>
          <w:sz w:val="24"/>
          <w:szCs w:val="24"/>
          <w:lang w:eastAsia="es-MX"/>
        </w:rPr>
        <w:t>En este sentido, los tratados de derechos humanos son instrumentos vivos, cuya interpretación tiene que acompañar la evolución de los tiempos y las condiciones de vida actuales. Los criterios específicos en virtud de los cuales está prohibido discriminar, según el artículo 1.1 de la Convención Americana, no son un listado taxativo o limitativo sino meramente enunciativo. La redacción de dicho artículo deja abiertos los criterios con la inclusión del término “otra condición social” para incorporar así a otras categorías que no hubiesen sido explícitamente indicadas. La expresión “cualquier otra condición social” debe ser interpretada por la Corte, en consecuencia, en la perspectiva de la opción más favorable a la persona y de la evolución de los derechos fundamentales en el derecho internacional contemporáneo, en este sentido atendiendo a las determinaciones de diversos organismos internacionales se concluye que dentro de la expresión “otra condición social” debe también enmarcarse lo relativo a la “orientación sexual de las personas”.</w:t>
      </w:r>
    </w:p>
    <w:p w14:paraId="1DB3A12A" w14:textId="77777777" w:rsidR="00AE1DAC" w:rsidRPr="00927F7E" w:rsidRDefault="00AE1DAC" w:rsidP="00927F7E">
      <w:pPr>
        <w:spacing w:after="0" w:line="240" w:lineRule="auto"/>
        <w:jc w:val="both"/>
        <w:rPr>
          <w:rFonts w:cstheme="minorHAnsi"/>
          <w:sz w:val="24"/>
          <w:szCs w:val="24"/>
          <w:lang w:eastAsia="es-MX"/>
        </w:rPr>
      </w:pPr>
    </w:p>
    <w:p w14:paraId="0F3A7CF0" w14:textId="77777777" w:rsidR="00AE1DAC" w:rsidRPr="00927F7E" w:rsidRDefault="00AE1DAC" w:rsidP="00927F7E">
      <w:pPr>
        <w:spacing w:after="0" w:line="240" w:lineRule="auto"/>
        <w:jc w:val="both"/>
        <w:rPr>
          <w:rFonts w:cstheme="minorHAnsi"/>
          <w:sz w:val="24"/>
          <w:szCs w:val="24"/>
          <w:lang w:eastAsia="es-MX"/>
        </w:rPr>
      </w:pPr>
      <w:r w:rsidRPr="00927F7E">
        <w:rPr>
          <w:rFonts w:cstheme="minorHAnsi"/>
          <w:sz w:val="24"/>
          <w:szCs w:val="24"/>
          <w:lang w:eastAsia="es-MX"/>
        </w:rPr>
        <w:t>En este sentido, la Corte Interamericana establece que la orientación sexual y la identidad de género de las personas son categorías protegidas por la Convención. Por ello está proscrita por la Convención cualquier norma, acto o práctica discriminatoria basada en la orientación sexual de la persona. En consecuencia, ninguna norma, decisión o práctica de derecho interno, sea por parte de autoridades estatales o por particulares, pueden disminuir o restringir, de modo alguno, los derechos de una persona a partir de su orientación sexual.</w:t>
      </w:r>
    </w:p>
    <w:p w14:paraId="51D7AAE6" w14:textId="77777777" w:rsidR="00AE1DAC" w:rsidRPr="00927F7E" w:rsidRDefault="00AE1DAC" w:rsidP="00927F7E">
      <w:pPr>
        <w:spacing w:after="0" w:line="240" w:lineRule="auto"/>
        <w:jc w:val="both"/>
        <w:rPr>
          <w:rFonts w:cstheme="minorHAnsi"/>
          <w:sz w:val="24"/>
          <w:szCs w:val="24"/>
          <w:lang w:eastAsia="es-MX"/>
        </w:rPr>
      </w:pPr>
    </w:p>
    <w:p w14:paraId="59C41DBC" w14:textId="283C21B1" w:rsidR="00AE1DAC" w:rsidRPr="00927F7E" w:rsidRDefault="00AE1DAC" w:rsidP="00A828C0">
      <w:pPr>
        <w:spacing w:after="0" w:line="240" w:lineRule="auto"/>
        <w:jc w:val="both"/>
        <w:rPr>
          <w:rFonts w:cstheme="minorHAnsi"/>
          <w:sz w:val="24"/>
          <w:szCs w:val="24"/>
          <w:lang w:eastAsia="es-MX"/>
        </w:rPr>
      </w:pPr>
      <w:r w:rsidRPr="00927F7E">
        <w:rPr>
          <w:rFonts w:cstheme="minorHAnsi"/>
          <w:b/>
          <w:bCs/>
          <w:sz w:val="24"/>
          <w:szCs w:val="24"/>
          <w:lang w:eastAsia="es-MX"/>
        </w:rPr>
        <w:t>B.</w:t>
      </w:r>
      <w:r w:rsidR="00927F7E">
        <w:rPr>
          <w:rFonts w:cstheme="minorHAnsi"/>
          <w:b/>
          <w:bCs/>
          <w:sz w:val="24"/>
          <w:szCs w:val="24"/>
          <w:lang w:eastAsia="es-MX"/>
        </w:rPr>
        <w:t xml:space="preserve"> </w:t>
      </w:r>
      <w:r w:rsidRPr="00927F7E">
        <w:rPr>
          <w:rFonts w:cstheme="minorHAnsi"/>
          <w:sz w:val="24"/>
          <w:szCs w:val="24"/>
          <w:lang w:eastAsia="es-MX"/>
        </w:rPr>
        <w:t xml:space="preserve">Interés superior del niño. La Corte considera que la determinación del interés superior del niño, en casos de cuidado y custodia de menores de edad se debe hacer a partir de la evaluación de los comportamientos parentales específicos y su impacto negativo en el bienestar y desarrollo del niño según el caso, los daños o riesgos reales y probados, y no especulativos o imaginarios. Por tanto, no resultan admisibles las especulaciones, presunciones, estereotipos o consideraciones generalizadas sobre características personales de los padres o preferencias culturales respecto a ciertos conceptos tradicionales de la familia. </w:t>
      </w:r>
    </w:p>
    <w:p w14:paraId="53B58984" w14:textId="77777777" w:rsidR="00AE1DAC" w:rsidRPr="00927F7E" w:rsidRDefault="00AE1DAC" w:rsidP="00927F7E">
      <w:pPr>
        <w:spacing w:after="0" w:line="240" w:lineRule="auto"/>
        <w:jc w:val="both"/>
        <w:rPr>
          <w:rFonts w:cstheme="minorHAnsi"/>
          <w:sz w:val="24"/>
          <w:szCs w:val="24"/>
          <w:lang w:eastAsia="es-MX"/>
        </w:rPr>
      </w:pPr>
    </w:p>
    <w:p w14:paraId="76696D15" w14:textId="77777777" w:rsidR="00AE1DAC" w:rsidRPr="00927F7E" w:rsidRDefault="00AE1DAC" w:rsidP="00927F7E">
      <w:pPr>
        <w:spacing w:after="0" w:line="240" w:lineRule="auto"/>
        <w:jc w:val="both"/>
        <w:rPr>
          <w:rFonts w:cstheme="minorHAnsi"/>
          <w:sz w:val="24"/>
          <w:szCs w:val="24"/>
          <w:lang w:eastAsia="es-MX"/>
        </w:rPr>
      </w:pPr>
      <w:r w:rsidRPr="00927F7E">
        <w:rPr>
          <w:rFonts w:cstheme="minorHAnsi"/>
          <w:sz w:val="24"/>
          <w:szCs w:val="24"/>
          <w:lang w:eastAsia="es-MX"/>
        </w:rPr>
        <w:t xml:space="preserve">La Corte Interamericana considera que no es válido afirmar, como en el caso, en abstracto, que la decisión se funda en el “interés superior del niño”, lo cual es sin duda un fin legítimo, pues la sola referencia al mismo sin probar, en concreto, los riesgos o daños que podrían conllevar la orientación sexual de la madre, no puede servir de medida idónea para la restricción de un derecho protegido como el de poder ejercer todos los derechos humanos sin discriminación alguna por la orientación sexual de la persona. El interés superior del niño no puede ser utilizado para amparar la discriminación en contra de la madre o el padre por la orientación sexual de cualquiera de ellos. De este modo, el juzgador no puede tomar en consideración esta condición social como elemento para decidir sobre una tuición o custodia. </w:t>
      </w:r>
    </w:p>
    <w:p w14:paraId="458AC08E" w14:textId="77777777" w:rsidR="00AE1DAC" w:rsidRPr="00927F7E" w:rsidRDefault="00AE1DAC" w:rsidP="00927F7E">
      <w:pPr>
        <w:spacing w:after="0" w:line="240" w:lineRule="auto"/>
        <w:jc w:val="both"/>
        <w:rPr>
          <w:rFonts w:cstheme="minorHAnsi"/>
          <w:sz w:val="24"/>
          <w:szCs w:val="24"/>
          <w:lang w:eastAsia="es-MX"/>
        </w:rPr>
      </w:pPr>
    </w:p>
    <w:p w14:paraId="7709E039" w14:textId="77777777" w:rsidR="00AE1DAC" w:rsidRPr="00927F7E" w:rsidRDefault="00AE1DAC" w:rsidP="00927F7E">
      <w:pPr>
        <w:spacing w:after="0" w:line="240" w:lineRule="auto"/>
        <w:jc w:val="both"/>
        <w:rPr>
          <w:rFonts w:cstheme="minorHAnsi"/>
          <w:sz w:val="24"/>
          <w:szCs w:val="24"/>
          <w:lang w:eastAsia="es-MX"/>
        </w:rPr>
      </w:pPr>
      <w:r w:rsidRPr="00927F7E">
        <w:rPr>
          <w:rFonts w:cstheme="minorHAnsi"/>
          <w:sz w:val="24"/>
          <w:szCs w:val="24"/>
          <w:lang w:eastAsia="es-MX"/>
        </w:rPr>
        <w:t xml:space="preserve">Destaca la Corte, que los Estados partes no pueden alegar condiciones de atraso o poca evolución social, como es el hecho de que la sociedad chilena sea mayoritariamente conservadora y reticente a aceptar la convivencia con parejas homosexuales para justificar el interés superior del menor, bajo la idea de prevenir posibles actos de rechazo social a las menores debido a su situación </w:t>
      </w:r>
      <w:proofErr w:type="spellStart"/>
      <w:r w:rsidRPr="00927F7E">
        <w:rPr>
          <w:rFonts w:cstheme="minorHAnsi"/>
          <w:sz w:val="24"/>
          <w:szCs w:val="24"/>
          <w:lang w:eastAsia="es-MX"/>
        </w:rPr>
        <w:t>familar</w:t>
      </w:r>
      <w:proofErr w:type="spellEnd"/>
      <w:r w:rsidRPr="00927F7E">
        <w:rPr>
          <w:rFonts w:cstheme="minorHAnsi"/>
          <w:sz w:val="24"/>
          <w:szCs w:val="24"/>
          <w:lang w:eastAsia="es-MX"/>
        </w:rPr>
        <w:t>, la toma de decisiones de carácter discriminatorio pues, en todo caso, es obligación de los Estados parte, tomar las acciones necesarias para asegurar el cumplimiento de los derechos por parte de sus nacionales.</w:t>
      </w:r>
    </w:p>
    <w:p w14:paraId="50EBE657" w14:textId="77777777" w:rsidR="00AE1DAC" w:rsidRPr="00927F7E" w:rsidRDefault="00AE1DAC" w:rsidP="00927F7E">
      <w:pPr>
        <w:spacing w:after="0" w:line="240" w:lineRule="auto"/>
        <w:jc w:val="both"/>
        <w:rPr>
          <w:rFonts w:cstheme="minorHAnsi"/>
          <w:sz w:val="24"/>
          <w:szCs w:val="24"/>
          <w:lang w:eastAsia="es-MX"/>
        </w:rPr>
      </w:pPr>
    </w:p>
    <w:p w14:paraId="04F0665C" w14:textId="05BED28B" w:rsidR="00AE1DAC" w:rsidRPr="00927F7E" w:rsidRDefault="00AE1DAC" w:rsidP="00927F7E">
      <w:pPr>
        <w:spacing w:after="0" w:line="240" w:lineRule="auto"/>
        <w:jc w:val="both"/>
        <w:rPr>
          <w:rFonts w:cstheme="minorHAnsi"/>
          <w:sz w:val="24"/>
          <w:szCs w:val="24"/>
          <w:lang w:eastAsia="es-MX"/>
        </w:rPr>
      </w:pPr>
      <w:r w:rsidRPr="00927F7E">
        <w:rPr>
          <w:rFonts w:cstheme="minorHAnsi"/>
          <w:b/>
          <w:bCs/>
          <w:sz w:val="24"/>
          <w:szCs w:val="24"/>
          <w:lang w:eastAsia="es-MX"/>
        </w:rPr>
        <w:t>C.</w:t>
      </w:r>
      <w:r w:rsidR="00927F7E">
        <w:rPr>
          <w:rFonts w:cstheme="minorHAnsi"/>
          <w:b/>
          <w:bCs/>
          <w:sz w:val="24"/>
          <w:szCs w:val="24"/>
          <w:lang w:eastAsia="es-MX"/>
        </w:rPr>
        <w:t xml:space="preserve"> </w:t>
      </w:r>
      <w:r w:rsidRPr="00927F7E">
        <w:rPr>
          <w:rFonts w:cstheme="minorHAnsi"/>
          <w:sz w:val="24"/>
          <w:szCs w:val="24"/>
          <w:lang w:eastAsia="es-MX"/>
        </w:rPr>
        <w:t xml:space="preserve">Derecho a la vida privada. Abarca la identidad física y social, el desarrollo personal su autonomía, así como su derecho de establecer y desarrollar relaciones con otras personas y su entorno social. El ámbito de la privacidad se caracteriza por quedar exento e inmune a las invasiones o agresiones abusivas o arbitrarias por parte de terceros o de la </w:t>
      </w:r>
      <w:proofErr w:type="gramStart"/>
      <w:r w:rsidRPr="00927F7E">
        <w:rPr>
          <w:rFonts w:cstheme="minorHAnsi"/>
          <w:sz w:val="24"/>
          <w:szCs w:val="24"/>
          <w:lang w:eastAsia="es-MX"/>
        </w:rPr>
        <w:t>autoridad pública</w:t>
      </w:r>
      <w:proofErr w:type="gramEnd"/>
      <w:r w:rsidRPr="00927F7E">
        <w:rPr>
          <w:rFonts w:cstheme="minorHAnsi"/>
          <w:sz w:val="24"/>
          <w:szCs w:val="24"/>
          <w:lang w:eastAsia="es-MX"/>
        </w:rPr>
        <w:t xml:space="preserve">. La vida privada es un concepto amplio que no es susceptible de definiciones exhaustivas y comprende, entre otros ámbitos protegidos, la vida sexual y el derecho a establecer y desarrollar relaciones con otros seres humanos, tanto en el ámbito privado </w:t>
      </w:r>
      <w:r w:rsidRPr="00927F7E">
        <w:rPr>
          <w:rFonts w:cstheme="minorHAnsi"/>
          <w:sz w:val="24"/>
          <w:szCs w:val="24"/>
          <w:lang w:eastAsia="es-MX"/>
        </w:rPr>
        <w:lastRenderedPageBreak/>
        <w:t>como de hacer público sus preferencias. Incluye la forma en que el individuo se ve a sí mismo y cómo y cuándo decide proyectar a los demás.</w:t>
      </w:r>
    </w:p>
    <w:p w14:paraId="1593873B" w14:textId="77777777" w:rsidR="00AE1DAC" w:rsidRPr="00927F7E" w:rsidRDefault="00AE1DAC" w:rsidP="00927F7E">
      <w:pPr>
        <w:spacing w:after="0" w:line="240" w:lineRule="auto"/>
        <w:jc w:val="both"/>
        <w:rPr>
          <w:rFonts w:cstheme="minorHAnsi"/>
          <w:sz w:val="24"/>
          <w:szCs w:val="24"/>
          <w:lang w:eastAsia="es-MX"/>
        </w:rPr>
      </w:pPr>
    </w:p>
    <w:p w14:paraId="57B79190" w14:textId="00D71FB0" w:rsidR="00AE1DAC" w:rsidRPr="00927F7E" w:rsidRDefault="00AE1DAC" w:rsidP="00927F7E">
      <w:pPr>
        <w:spacing w:after="0" w:line="240" w:lineRule="auto"/>
        <w:jc w:val="both"/>
        <w:rPr>
          <w:rFonts w:cstheme="minorHAnsi"/>
          <w:sz w:val="24"/>
          <w:szCs w:val="24"/>
          <w:lang w:eastAsia="es-MX"/>
        </w:rPr>
      </w:pPr>
      <w:r w:rsidRPr="00927F7E">
        <w:rPr>
          <w:rFonts w:cstheme="minorHAnsi"/>
          <w:b/>
          <w:bCs/>
          <w:sz w:val="24"/>
          <w:szCs w:val="24"/>
          <w:lang w:eastAsia="es-MX"/>
        </w:rPr>
        <w:t>D.</w:t>
      </w:r>
      <w:r w:rsidR="00927F7E">
        <w:rPr>
          <w:rFonts w:cstheme="minorHAnsi"/>
          <w:sz w:val="24"/>
          <w:szCs w:val="24"/>
          <w:lang w:eastAsia="es-MX"/>
        </w:rPr>
        <w:t xml:space="preserve"> </w:t>
      </w:r>
      <w:r w:rsidRPr="00927F7E">
        <w:rPr>
          <w:rFonts w:cstheme="minorHAnsi"/>
          <w:sz w:val="24"/>
          <w:szCs w:val="24"/>
          <w:lang w:eastAsia="es-MX"/>
        </w:rPr>
        <w:t>Principio de Independencia Judicial. Uno de los objetivos principales que tiene la separación de los poderes públicos, es la garantía de la independencia de los jueces, cuyo objetivo radica en evitar que el sistema judicial y sus integrantes se vean sometidos a restricciones indebidas en el ejercicio de su función por parte de órganos ajenos al Poder Judicial o incluso por parte de aquellos magistrados que ejercen funciones de revisión o apelación, evitando en todo momento la existencia de presiones externas que tengan por objeto incidir en la decisión jurisdiccional. Por ello, el Estado debe abstenerse de realizar injerencias indebidas en el Poder Judicial o en sus integrantes, además de prevenir la existencia de dichas injerencias e investigar y sancionar a quienes las cometan.</w:t>
      </w:r>
    </w:p>
    <w:p w14:paraId="385824D1" w14:textId="77777777" w:rsidR="00AE1DAC" w:rsidRPr="00927F7E" w:rsidRDefault="00AE1DAC" w:rsidP="00927F7E">
      <w:pPr>
        <w:spacing w:after="0" w:line="240" w:lineRule="auto"/>
        <w:jc w:val="both"/>
        <w:rPr>
          <w:rFonts w:cstheme="minorHAnsi"/>
          <w:sz w:val="24"/>
          <w:szCs w:val="24"/>
          <w:lang w:eastAsia="es-MX"/>
        </w:rPr>
      </w:pPr>
    </w:p>
    <w:p w14:paraId="28894829" w14:textId="42588CB7" w:rsidR="00AE1DAC" w:rsidRPr="00927F7E" w:rsidRDefault="00AE1DAC" w:rsidP="00927F7E">
      <w:pPr>
        <w:spacing w:after="0" w:line="240" w:lineRule="auto"/>
        <w:jc w:val="both"/>
        <w:rPr>
          <w:rFonts w:cstheme="minorHAnsi"/>
          <w:sz w:val="24"/>
          <w:szCs w:val="24"/>
          <w:lang w:eastAsia="es-MX"/>
        </w:rPr>
      </w:pPr>
      <w:r w:rsidRPr="00927F7E">
        <w:rPr>
          <w:rFonts w:cstheme="minorHAnsi"/>
          <w:b/>
          <w:bCs/>
          <w:sz w:val="24"/>
          <w:szCs w:val="24"/>
          <w:lang w:eastAsia="es-MX"/>
        </w:rPr>
        <w:t>E.</w:t>
      </w:r>
      <w:r w:rsidR="00927F7E">
        <w:rPr>
          <w:rFonts w:cstheme="minorHAnsi"/>
          <w:b/>
          <w:bCs/>
          <w:sz w:val="24"/>
          <w:szCs w:val="24"/>
          <w:lang w:eastAsia="es-MX"/>
        </w:rPr>
        <w:t xml:space="preserve"> </w:t>
      </w:r>
      <w:r w:rsidRPr="00927F7E">
        <w:rPr>
          <w:rFonts w:cstheme="minorHAnsi"/>
          <w:sz w:val="24"/>
          <w:szCs w:val="24"/>
          <w:lang w:eastAsia="es-MX"/>
        </w:rPr>
        <w:t xml:space="preserve">Principio de Imparcialidad Judicial. Exige que el juez que interviene en una contienda particular se aproxime a los hechos de la causa careciendo, de manera subjetiva, de todo prejuicio. </w:t>
      </w:r>
      <w:proofErr w:type="gramStart"/>
      <w:r w:rsidRPr="00927F7E">
        <w:rPr>
          <w:rFonts w:cstheme="minorHAnsi"/>
          <w:sz w:val="24"/>
          <w:szCs w:val="24"/>
          <w:lang w:eastAsia="es-MX"/>
        </w:rPr>
        <w:t>Asimismo</w:t>
      </w:r>
      <w:proofErr w:type="gramEnd"/>
      <w:r w:rsidRPr="00927F7E">
        <w:rPr>
          <w:rFonts w:cstheme="minorHAnsi"/>
          <w:sz w:val="24"/>
          <w:szCs w:val="24"/>
          <w:lang w:eastAsia="es-MX"/>
        </w:rPr>
        <w:t xml:space="preserve"> debe ofrecer garantías suficientes de índole objetiva que permitan desterrar toda duda de parcialidad que el justiciable o la comunidad puedan albergar. Por otra parte, la imparcialidad personal o subjetiva se presume a menos que exista prueba en contrario, para ellos es necesario determinar, mediante prueba objetiva, si el juez cuestionado brindó elementos convincentes que permitan eliminar temores legítimos o fundadas sospechas de parcialidad sobre su persona. En todo caso, el juez debe actuar sin estar sujeto a influencia, aliciente, presión, amenaza o intromisión, directa o indirecta. La presunta falta de imparcialidad judicial debe establecerse a partir de elementos probatorios específicos y concretos que indiquen que se está, efectivamente, ante un caso en el que los jueces claramente se han dejado influenciar por aspectos o criterios ajenos a las normas legales.</w:t>
      </w:r>
    </w:p>
    <w:p w14:paraId="35A20564" w14:textId="77777777" w:rsidR="00AE1DAC" w:rsidRPr="00927F7E" w:rsidRDefault="00AE1DAC" w:rsidP="00927F7E">
      <w:pPr>
        <w:spacing w:after="0" w:line="240" w:lineRule="auto"/>
        <w:jc w:val="both"/>
        <w:rPr>
          <w:rFonts w:cstheme="minorHAnsi"/>
          <w:sz w:val="24"/>
          <w:szCs w:val="24"/>
          <w:lang w:eastAsia="es-MX"/>
        </w:rPr>
      </w:pPr>
    </w:p>
    <w:p w14:paraId="23B5A585" w14:textId="5B209691" w:rsidR="00AE1DAC" w:rsidRPr="00927F7E" w:rsidRDefault="00AE1DAC" w:rsidP="00927F7E">
      <w:pPr>
        <w:spacing w:after="0" w:line="240" w:lineRule="auto"/>
        <w:jc w:val="both"/>
        <w:rPr>
          <w:rFonts w:cstheme="minorHAnsi"/>
          <w:sz w:val="24"/>
          <w:szCs w:val="24"/>
          <w:lang w:eastAsia="es-MX"/>
        </w:rPr>
      </w:pPr>
      <w:r w:rsidRPr="00927F7E">
        <w:rPr>
          <w:rFonts w:cstheme="minorHAnsi"/>
          <w:b/>
          <w:bCs/>
          <w:sz w:val="24"/>
          <w:szCs w:val="24"/>
          <w:lang w:eastAsia="es-MX"/>
        </w:rPr>
        <w:t>F.</w:t>
      </w:r>
      <w:r w:rsidR="00927F7E">
        <w:rPr>
          <w:rFonts w:cstheme="minorHAnsi"/>
          <w:sz w:val="24"/>
          <w:szCs w:val="24"/>
          <w:lang w:eastAsia="es-MX"/>
        </w:rPr>
        <w:t xml:space="preserve"> </w:t>
      </w:r>
      <w:r w:rsidRPr="00927F7E">
        <w:rPr>
          <w:rFonts w:cstheme="minorHAnsi"/>
          <w:sz w:val="24"/>
          <w:szCs w:val="24"/>
          <w:lang w:eastAsia="es-MX"/>
        </w:rPr>
        <w:t xml:space="preserve">Derecho a una familia normal y tradicional. En la Convención Americana no se encuentra determinado un concepto cerrado de familia, ni mucho menos se protege sólo un modelo “tradicional” de la misma. El concepto de vida familiar no está reducido únicamente al matrimonio y debe abarcar otros lazos familiares de hecho donde las partes tienen vida en común por fuera del matrimonio. En el caso Salgueiro da Silva </w:t>
      </w:r>
      <w:proofErr w:type="spellStart"/>
      <w:r w:rsidRPr="00927F7E">
        <w:rPr>
          <w:rFonts w:cstheme="minorHAnsi"/>
          <w:sz w:val="24"/>
          <w:szCs w:val="24"/>
          <w:lang w:eastAsia="es-MX"/>
        </w:rPr>
        <w:t>Mouta</w:t>
      </w:r>
      <w:proofErr w:type="spellEnd"/>
      <w:r w:rsidRPr="00927F7E">
        <w:rPr>
          <w:rFonts w:cstheme="minorHAnsi"/>
          <w:sz w:val="24"/>
          <w:szCs w:val="24"/>
          <w:lang w:eastAsia="es-MX"/>
        </w:rPr>
        <w:t xml:space="preserve"> Vs. Portugal, el Tribunal Europeo consideró que la decisión de un tribunal nacional de retirar a un padre homosexual la custodia de su hija menor de edad, con el argumento que la niña debería vivir en una familia portuguesa tradicional, carecía de relación razonable de proporcionalidad entre la medida tomada (retiro de la custodia) y el fin perseguido (protección del interés superior de la menor de edad).</w:t>
      </w:r>
    </w:p>
    <w:p w14:paraId="0A9BB124" w14:textId="77777777" w:rsidR="00AE1DAC" w:rsidRPr="00927F7E" w:rsidRDefault="00AE1DAC" w:rsidP="00927F7E">
      <w:pPr>
        <w:spacing w:after="0" w:line="240" w:lineRule="auto"/>
        <w:jc w:val="both"/>
        <w:rPr>
          <w:rFonts w:cstheme="minorHAnsi"/>
          <w:sz w:val="24"/>
          <w:szCs w:val="24"/>
          <w:lang w:eastAsia="es-MX"/>
        </w:rPr>
      </w:pPr>
    </w:p>
    <w:p w14:paraId="11E7730B" w14:textId="75280ADE" w:rsidR="00AE1DAC" w:rsidRPr="00927F7E" w:rsidRDefault="00AE1DAC" w:rsidP="00927F7E">
      <w:pPr>
        <w:spacing w:after="0" w:line="240" w:lineRule="auto"/>
        <w:jc w:val="both"/>
        <w:rPr>
          <w:rFonts w:cstheme="minorHAnsi"/>
          <w:sz w:val="24"/>
          <w:szCs w:val="24"/>
          <w:lang w:eastAsia="es-MX"/>
        </w:rPr>
      </w:pPr>
      <w:r w:rsidRPr="00927F7E">
        <w:rPr>
          <w:rFonts w:cstheme="minorHAnsi"/>
          <w:b/>
          <w:bCs/>
          <w:sz w:val="24"/>
          <w:szCs w:val="24"/>
          <w:lang w:eastAsia="es-MX"/>
        </w:rPr>
        <w:t>G.</w:t>
      </w:r>
      <w:r w:rsidR="00927F7E">
        <w:rPr>
          <w:rFonts w:cstheme="minorHAnsi"/>
          <w:sz w:val="24"/>
          <w:szCs w:val="24"/>
          <w:lang w:eastAsia="es-MX"/>
        </w:rPr>
        <w:t xml:space="preserve"> </w:t>
      </w:r>
      <w:r w:rsidRPr="00927F7E">
        <w:rPr>
          <w:rFonts w:cstheme="minorHAnsi"/>
          <w:sz w:val="24"/>
          <w:szCs w:val="24"/>
          <w:lang w:eastAsia="es-MX"/>
        </w:rPr>
        <w:t xml:space="preserve">Derecho de los niños a ser escuchados en proceso judicial. Los niños y las niñas ejercen sus derechos de manera progresiva a medida que desarrollan un mayor nivel de autonomía personal. El aplicador del derecho deberá tomar en consideración las condiciones específicas del menor de edad y su interés superior para acordar la participación de éste, según corresponda, en la determinación de sus derechos. En esta ponderación se procurará el mayor acceso del menor de edad, en la medida de lo posible, al examen de su propio </w:t>
      </w:r>
      <w:r w:rsidRPr="00927F7E">
        <w:rPr>
          <w:rFonts w:cstheme="minorHAnsi"/>
          <w:sz w:val="24"/>
          <w:szCs w:val="24"/>
          <w:lang w:eastAsia="es-MX"/>
        </w:rPr>
        <w:lastRenderedPageBreak/>
        <w:t xml:space="preserve">caso. Las niñas y los niños deben ser informados de su derecho a ser escuchados directamente o por medio de un representante, si así lo desean. En casos en que se presenten conflictos de intereses entre la madre y el padre, es necesario que el Estado garantice, en lo posible, que los intereses del menor de edad sean representados por alguien ajeno a dicho conflicto. De la misma forma, no basta con escuchar al niño, sino que las opiniones del niño tienen que tomarse en consideración seriamente a partir de que el niño sea capaz de formarse un juicio propio, lo que requiere que las opiniones del niño sean evaluadas mediante un examen caso por caso. Si el niño está en condiciones de formarse un juicio propio de manera razonable e independiente, el encargado de adoptar decisiones debe tener en cuenta las opiniones del niño como factor destacado en la resolución de la cuestión. Por tanto, en el contexto de decisiones judiciales sobre la custodia, toda la legislación sobre separación y divorcio debe incluir el derecho del niño a ser escuchado por los encargados de adoptar decisiones. </w:t>
      </w:r>
    </w:p>
    <w:p w14:paraId="773532FA" w14:textId="77777777" w:rsidR="00AE1DAC" w:rsidRPr="00927F7E" w:rsidRDefault="00AE1DAC" w:rsidP="00927F7E">
      <w:pPr>
        <w:spacing w:after="0" w:line="240" w:lineRule="auto"/>
        <w:jc w:val="both"/>
        <w:rPr>
          <w:rFonts w:cstheme="minorHAnsi"/>
          <w:sz w:val="24"/>
          <w:szCs w:val="24"/>
          <w:lang w:eastAsia="es-MX"/>
        </w:rPr>
      </w:pPr>
    </w:p>
    <w:p w14:paraId="4EF193AF" w14:textId="77777777" w:rsidR="00AE1DAC" w:rsidRPr="00927F7E" w:rsidRDefault="00AE1DAC" w:rsidP="00927F7E">
      <w:pPr>
        <w:spacing w:after="0" w:line="240" w:lineRule="auto"/>
        <w:jc w:val="both"/>
        <w:rPr>
          <w:rFonts w:cstheme="minorHAnsi"/>
          <w:b/>
          <w:bCs/>
          <w:sz w:val="24"/>
          <w:szCs w:val="24"/>
          <w:lang w:eastAsia="es-MX"/>
        </w:rPr>
      </w:pPr>
      <w:r w:rsidRPr="00927F7E">
        <w:rPr>
          <w:rFonts w:cstheme="minorHAnsi"/>
          <w:b/>
          <w:bCs/>
          <w:sz w:val="24"/>
          <w:szCs w:val="24"/>
          <w:lang w:eastAsia="es-MX"/>
        </w:rPr>
        <w:t>La Corte determinó la responsabilidad del Estado por:</w:t>
      </w:r>
    </w:p>
    <w:p w14:paraId="24BB8BF3" w14:textId="77777777" w:rsidR="00AE1DAC" w:rsidRPr="00927F7E" w:rsidRDefault="00AE1DAC" w:rsidP="00927F7E">
      <w:pPr>
        <w:spacing w:after="0" w:line="240" w:lineRule="auto"/>
        <w:jc w:val="both"/>
        <w:rPr>
          <w:rFonts w:cstheme="minorHAnsi"/>
          <w:sz w:val="24"/>
          <w:szCs w:val="24"/>
          <w:lang w:eastAsia="es-MX"/>
        </w:rPr>
      </w:pPr>
    </w:p>
    <w:p w14:paraId="49F4A7EB" w14:textId="59145FE4" w:rsidR="00AE1DAC" w:rsidRPr="00927F7E" w:rsidRDefault="00AE1DAC" w:rsidP="00927F7E">
      <w:pPr>
        <w:spacing w:after="0" w:line="240" w:lineRule="auto"/>
        <w:jc w:val="both"/>
        <w:rPr>
          <w:rFonts w:cstheme="minorHAnsi"/>
          <w:sz w:val="24"/>
          <w:szCs w:val="24"/>
          <w:lang w:eastAsia="es-MX"/>
        </w:rPr>
      </w:pPr>
      <w:r w:rsidRPr="00927F7E">
        <w:rPr>
          <w:rFonts w:cstheme="minorHAnsi"/>
          <w:b/>
          <w:bCs/>
          <w:sz w:val="24"/>
          <w:szCs w:val="24"/>
          <w:lang w:eastAsia="es-MX"/>
        </w:rPr>
        <w:t>i.</w:t>
      </w:r>
      <w:r w:rsidR="00927F7E">
        <w:rPr>
          <w:rFonts w:cstheme="minorHAnsi"/>
          <w:sz w:val="24"/>
          <w:szCs w:val="24"/>
          <w:lang w:eastAsia="es-MX"/>
        </w:rPr>
        <w:t xml:space="preserve"> </w:t>
      </w:r>
      <w:r w:rsidRPr="00927F7E">
        <w:rPr>
          <w:rFonts w:cstheme="minorHAnsi"/>
          <w:sz w:val="24"/>
          <w:szCs w:val="24"/>
          <w:lang w:eastAsia="es-MX"/>
        </w:rPr>
        <w:t xml:space="preserve">la violación del derecho a la igualdad y la no discriminación consagrado en el artículo 24 de la Convención, en perjuicio de Karen </w:t>
      </w:r>
      <w:proofErr w:type="spellStart"/>
      <w:r w:rsidRPr="00927F7E">
        <w:rPr>
          <w:rFonts w:cstheme="minorHAnsi"/>
          <w:sz w:val="24"/>
          <w:szCs w:val="24"/>
          <w:lang w:eastAsia="es-MX"/>
        </w:rPr>
        <w:t>Atala</w:t>
      </w:r>
      <w:proofErr w:type="spellEnd"/>
      <w:r w:rsidRPr="00927F7E">
        <w:rPr>
          <w:rFonts w:cstheme="minorHAnsi"/>
          <w:sz w:val="24"/>
          <w:szCs w:val="24"/>
          <w:lang w:eastAsia="es-MX"/>
        </w:rPr>
        <w:t xml:space="preserve"> Riffo y de sus menores hijas, </w:t>
      </w:r>
    </w:p>
    <w:p w14:paraId="49DAB684" w14:textId="77777777" w:rsidR="00AE1DAC" w:rsidRPr="00927F7E" w:rsidRDefault="00AE1DAC" w:rsidP="00927F7E">
      <w:pPr>
        <w:spacing w:after="0" w:line="240" w:lineRule="auto"/>
        <w:jc w:val="both"/>
        <w:rPr>
          <w:rFonts w:cstheme="minorHAnsi"/>
          <w:sz w:val="24"/>
          <w:szCs w:val="24"/>
          <w:lang w:eastAsia="es-MX"/>
        </w:rPr>
      </w:pPr>
    </w:p>
    <w:p w14:paraId="6698BF1E" w14:textId="09D263FE" w:rsidR="00AE1DAC" w:rsidRPr="00927F7E" w:rsidRDefault="00AE1DAC" w:rsidP="00927F7E">
      <w:pPr>
        <w:spacing w:after="0" w:line="240" w:lineRule="auto"/>
        <w:jc w:val="both"/>
        <w:rPr>
          <w:rFonts w:cstheme="minorHAnsi"/>
          <w:sz w:val="24"/>
          <w:szCs w:val="24"/>
          <w:lang w:eastAsia="es-MX"/>
        </w:rPr>
      </w:pPr>
      <w:proofErr w:type="spellStart"/>
      <w:r w:rsidRPr="00927F7E">
        <w:rPr>
          <w:rFonts w:cstheme="minorHAnsi"/>
          <w:b/>
          <w:bCs/>
          <w:sz w:val="24"/>
          <w:szCs w:val="24"/>
          <w:lang w:eastAsia="es-MX"/>
        </w:rPr>
        <w:t>ii</w:t>
      </w:r>
      <w:proofErr w:type="spellEnd"/>
      <w:r w:rsidRPr="00927F7E">
        <w:rPr>
          <w:rFonts w:cstheme="minorHAnsi"/>
          <w:b/>
          <w:bCs/>
          <w:sz w:val="24"/>
          <w:szCs w:val="24"/>
          <w:lang w:eastAsia="es-MX"/>
        </w:rPr>
        <w:t>.</w:t>
      </w:r>
      <w:r w:rsidR="00927F7E">
        <w:rPr>
          <w:rFonts w:cstheme="minorHAnsi"/>
          <w:sz w:val="24"/>
          <w:szCs w:val="24"/>
          <w:lang w:eastAsia="es-MX"/>
        </w:rPr>
        <w:t xml:space="preserve"> </w:t>
      </w:r>
      <w:r w:rsidRPr="00927F7E">
        <w:rPr>
          <w:rFonts w:cstheme="minorHAnsi"/>
          <w:sz w:val="24"/>
          <w:szCs w:val="24"/>
          <w:lang w:eastAsia="es-MX"/>
        </w:rPr>
        <w:t xml:space="preserve">la violación del derecho a la vida privada y familiar consagrado en el artículo 11.2 y 17.1, de la Convención, en perjuicio de Karen </w:t>
      </w:r>
      <w:proofErr w:type="spellStart"/>
      <w:r w:rsidRPr="00927F7E">
        <w:rPr>
          <w:rFonts w:cstheme="minorHAnsi"/>
          <w:sz w:val="24"/>
          <w:szCs w:val="24"/>
          <w:lang w:eastAsia="es-MX"/>
        </w:rPr>
        <w:t>Atala</w:t>
      </w:r>
      <w:proofErr w:type="spellEnd"/>
      <w:r w:rsidRPr="00927F7E">
        <w:rPr>
          <w:rFonts w:cstheme="minorHAnsi"/>
          <w:sz w:val="24"/>
          <w:szCs w:val="24"/>
          <w:lang w:eastAsia="es-MX"/>
        </w:rPr>
        <w:t xml:space="preserve"> Riffo y de sus menores hijas, y</w:t>
      </w:r>
    </w:p>
    <w:p w14:paraId="0CE8C196" w14:textId="77777777" w:rsidR="00AE1DAC" w:rsidRPr="00927F7E" w:rsidRDefault="00AE1DAC" w:rsidP="00927F7E">
      <w:pPr>
        <w:spacing w:after="0" w:line="240" w:lineRule="auto"/>
        <w:jc w:val="both"/>
        <w:rPr>
          <w:rFonts w:cstheme="minorHAnsi"/>
          <w:sz w:val="24"/>
          <w:szCs w:val="24"/>
          <w:lang w:eastAsia="es-MX"/>
        </w:rPr>
      </w:pPr>
    </w:p>
    <w:p w14:paraId="5857493E" w14:textId="6EA1C916" w:rsidR="00AE1DAC" w:rsidRPr="00927F7E" w:rsidRDefault="00AE1DAC" w:rsidP="00927F7E">
      <w:pPr>
        <w:spacing w:after="0" w:line="240" w:lineRule="auto"/>
        <w:jc w:val="both"/>
        <w:rPr>
          <w:rFonts w:cstheme="minorHAnsi"/>
          <w:sz w:val="24"/>
          <w:szCs w:val="24"/>
          <w:lang w:eastAsia="es-MX"/>
        </w:rPr>
      </w:pPr>
      <w:proofErr w:type="spellStart"/>
      <w:r w:rsidRPr="00927F7E">
        <w:rPr>
          <w:rFonts w:cstheme="minorHAnsi"/>
          <w:b/>
          <w:bCs/>
          <w:sz w:val="24"/>
          <w:szCs w:val="24"/>
          <w:lang w:eastAsia="es-MX"/>
        </w:rPr>
        <w:t>iii</w:t>
      </w:r>
      <w:proofErr w:type="spellEnd"/>
      <w:r w:rsidRPr="00927F7E">
        <w:rPr>
          <w:rFonts w:cstheme="minorHAnsi"/>
          <w:b/>
          <w:bCs/>
          <w:sz w:val="24"/>
          <w:szCs w:val="24"/>
          <w:lang w:eastAsia="es-MX"/>
        </w:rPr>
        <w:t>.</w:t>
      </w:r>
      <w:r w:rsidR="00927F7E">
        <w:rPr>
          <w:rFonts w:cstheme="minorHAnsi"/>
          <w:sz w:val="24"/>
          <w:szCs w:val="24"/>
          <w:lang w:eastAsia="es-MX"/>
        </w:rPr>
        <w:t xml:space="preserve"> </w:t>
      </w:r>
      <w:r w:rsidRPr="00927F7E">
        <w:rPr>
          <w:rFonts w:cstheme="minorHAnsi"/>
          <w:sz w:val="24"/>
          <w:szCs w:val="24"/>
          <w:lang w:eastAsia="es-MX"/>
        </w:rPr>
        <w:t>la violación del derecho a ser oído consagrado en el artículo 8.1, de la Convención en perjuicio de las niñas M., V. y R.</w:t>
      </w:r>
    </w:p>
    <w:p w14:paraId="772BE6E5" w14:textId="0915CA92" w:rsidR="00AE1DAC" w:rsidRPr="00927F7E" w:rsidRDefault="00AE1DAC" w:rsidP="00927F7E">
      <w:pPr>
        <w:spacing w:after="0" w:line="240" w:lineRule="auto"/>
        <w:jc w:val="both"/>
        <w:rPr>
          <w:rFonts w:cstheme="minorHAnsi"/>
          <w:sz w:val="24"/>
          <w:szCs w:val="24"/>
          <w:lang w:eastAsia="es-MX"/>
        </w:rPr>
      </w:pPr>
    </w:p>
    <w:p w14:paraId="24090521" w14:textId="09167E69" w:rsidR="00A53145" w:rsidRDefault="00A53145" w:rsidP="00AE1DAC">
      <w:pPr>
        <w:rPr>
          <w:lang w:eastAsia="es-MX"/>
        </w:rPr>
      </w:pPr>
    </w:p>
    <w:p w14:paraId="3EFC3732" w14:textId="62E0CAA7" w:rsidR="00A53145" w:rsidRDefault="005F2482" w:rsidP="005F2482">
      <w:pPr>
        <w:pStyle w:val="Ttulo4"/>
        <w:rPr>
          <w:rFonts w:ascii="Gadugi" w:hAnsi="Gadugi"/>
          <w:b/>
          <w:bCs/>
          <w:i w:val="0"/>
          <w:iCs w:val="0"/>
          <w:color w:val="C00000"/>
          <w:sz w:val="24"/>
          <w:szCs w:val="24"/>
          <w:lang w:eastAsia="es-MX"/>
        </w:rPr>
      </w:pPr>
      <w:r w:rsidRPr="000562A9">
        <w:rPr>
          <w:rFonts w:ascii="Gadugi" w:hAnsi="Gadugi"/>
          <w:b/>
          <w:bCs/>
          <w:i w:val="0"/>
          <w:iCs w:val="0"/>
          <w:color w:val="C00000"/>
          <w:sz w:val="24"/>
          <w:szCs w:val="24"/>
          <w:lang w:eastAsia="es-MX"/>
        </w:rPr>
        <w:t xml:space="preserve">CASO </w:t>
      </w:r>
      <w:r>
        <w:rPr>
          <w:rFonts w:ascii="Gadugi" w:hAnsi="Gadugi"/>
          <w:b/>
          <w:bCs/>
          <w:i w:val="0"/>
          <w:iCs w:val="0"/>
          <w:color w:val="C00000"/>
          <w:sz w:val="24"/>
          <w:szCs w:val="24"/>
          <w:lang w:eastAsia="es-MX"/>
        </w:rPr>
        <w:t>2</w:t>
      </w:r>
      <w:r w:rsidRPr="000562A9">
        <w:rPr>
          <w:rFonts w:ascii="Gadugi" w:hAnsi="Gadugi"/>
          <w:b/>
          <w:bCs/>
          <w:i w:val="0"/>
          <w:iCs w:val="0"/>
          <w:color w:val="C00000"/>
          <w:sz w:val="24"/>
          <w:szCs w:val="24"/>
          <w:lang w:eastAsia="es-MX"/>
        </w:rPr>
        <w:t>:</w:t>
      </w:r>
      <w:r>
        <w:rPr>
          <w:rFonts w:ascii="Gadugi" w:hAnsi="Gadugi"/>
          <w:b/>
          <w:bCs/>
          <w:i w:val="0"/>
          <w:iCs w:val="0"/>
          <w:color w:val="C00000"/>
          <w:sz w:val="24"/>
          <w:szCs w:val="24"/>
          <w:lang w:eastAsia="es-MX"/>
        </w:rPr>
        <w:t xml:space="preserve"> </w:t>
      </w:r>
      <w:r w:rsidRPr="005F2482">
        <w:rPr>
          <w:rFonts w:ascii="Gadugi" w:hAnsi="Gadugi"/>
          <w:b/>
          <w:bCs/>
          <w:i w:val="0"/>
          <w:iCs w:val="0"/>
          <w:color w:val="C00000"/>
          <w:sz w:val="24"/>
          <w:szCs w:val="24"/>
          <w:lang w:eastAsia="es-MX"/>
        </w:rPr>
        <w:t>CASO DE LAS NIÑAS YEAN Y BOSICO VS REPÚBLICA DOMINICANA</w:t>
      </w:r>
    </w:p>
    <w:p w14:paraId="15A382FC" w14:textId="12EA51F5" w:rsidR="003C40A8" w:rsidRDefault="003C40A8" w:rsidP="003C40A8">
      <w:pPr>
        <w:rPr>
          <w:lang w:eastAsia="es-MX"/>
        </w:rPr>
      </w:pPr>
    </w:p>
    <w:p w14:paraId="4256DADA" w14:textId="6341EE15" w:rsidR="003C40A8" w:rsidRPr="003C40A8" w:rsidRDefault="003C40A8" w:rsidP="003C40A8">
      <w:pPr>
        <w:rPr>
          <w:rFonts w:ascii="Gadugi" w:hAnsi="Gadugi"/>
          <w:b/>
          <w:bCs/>
          <w:color w:val="C00000"/>
          <w:lang w:eastAsia="es-MX"/>
        </w:rPr>
      </w:pPr>
      <w:r w:rsidRPr="003C40A8">
        <w:rPr>
          <w:rFonts w:ascii="Gadugi" w:hAnsi="Gadugi" w:cs="Arial"/>
          <w:b/>
          <w:bCs/>
          <w:color w:val="C00000"/>
          <w:shd w:val="clear" w:color="auto" w:fill="FFFFFF"/>
        </w:rPr>
        <w:t xml:space="preserve">Órgano </w:t>
      </w:r>
      <w:proofErr w:type="spellStart"/>
      <w:r w:rsidRPr="003C40A8">
        <w:rPr>
          <w:rFonts w:ascii="Gadugi" w:hAnsi="Gadugi" w:cs="Arial"/>
          <w:b/>
          <w:bCs/>
          <w:color w:val="C00000"/>
          <w:shd w:val="clear" w:color="auto" w:fill="FFFFFF"/>
        </w:rPr>
        <w:t>CoIDH</w:t>
      </w:r>
      <w:proofErr w:type="spellEnd"/>
      <w:r w:rsidRPr="003C40A8">
        <w:rPr>
          <w:rFonts w:ascii="Gadugi" w:hAnsi="Gadugi" w:cs="Arial"/>
          <w:b/>
          <w:bCs/>
          <w:color w:val="C00000"/>
          <w:shd w:val="clear" w:color="auto" w:fill="FFFFFF"/>
        </w:rPr>
        <w:t>.</w:t>
      </w:r>
    </w:p>
    <w:p w14:paraId="173F2888" w14:textId="77777777" w:rsidR="003C40A8" w:rsidRDefault="003C40A8" w:rsidP="003C40A8">
      <w:pPr>
        <w:spacing w:after="0" w:line="240" w:lineRule="auto"/>
        <w:rPr>
          <w:lang w:eastAsia="es-MX"/>
        </w:rPr>
      </w:pPr>
    </w:p>
    <w:p w14:paraId="22797403" w14:textId="5AD87B21" w:rsidR="003C40A8" w:rsidRPr="003C40A8" w:rsidRDefault="003C40A8" w:rsidP="003C40A8">
      <w:pPr>
        <w:spacing w:after="0" w:line="240" w:lineRule="auto"/>
        <w:rPr>
          <w:rFonts w:ascii="Gadugi" w:hAnsi="Gadugi" w:cs="Arial"/>
          <w:b/>
          <w:bCs/>
          <w:shd w:val="clear" w:color="auto" w:fill="FFFFFF"/>
        </w:rPr>
      </w:pPr>
      <w:r w:rsidRPr="003C40A8">
        <w:rPr>
          <w:rFonts w:ascii="Gadugi" w:hAnsi="Gadugi" w:cs="Arial"/>
          <w:b/>
          <w:bCs/>
          <w:shd w:val="clear" w:color="auto" w:fill="FFFFFF"/>
        </w:rPr>
        <w:t>Corte Interamericana de Derechos Humanos</w:t>
      </w:r>
    </w:p>
    <w:p w14:paraId="2864574E" w14:textId="77777777" w:rsidR="003C40A8" w:rsidRPr="003C40A8" w:rsidRDefault="003C40A8" w:rsidP="003C40A8">
      <w:pPr>
        <w:spacing w:after="0" w:line="240" w:lineRule="auto"/>
        <w:rPr>
          <w:rFonts w:ascii="Gadugi" w:hAnsi="Gadugi" w:cs="Arial"/>
          <w:b/>
          <w:bCs/>
          <w:color w:val="C00000"/>
          <w:shd w:val="clear" w:color="auto" w:fill="FFFFFF"/>
        </w:rPr>
      </w:pPr>
      <w:r w:rsidRPr="003C40A8">
        <w:rPr>
          <w:rFonts w:ascii="Gadugi" w:hAnsi="Gadugi" w:cs="Arial"/>
          <w:b/>
          <w:bCs/>
          <w:color w:val="C00000"/>
          <w:shd w:val="clear" w:color="auto" w:fill="FFFFFF"/>
        </w:rPr>
        <w:t xml:space="preserve">Caso de las Niñas </w:t>
      </w:r>
      <w:proofErr w:type="spellStart"/>
      <w:r w:rsidRPr="003C40A8">
        <w:rPr>
          <w:rFonts w:ascii="Gadugi" w:hAnsi="Gadugi" w:cs="Arial"/>
          <w:b/>
          <w:bCs/>
          <w:color w:val="C00000"/>
          <w:shd w:val="clear" w:color="auto" w:fill="FFFFFF"/>
        </w:rPr>
        <w:t>Yean</w:t>
      </w:r>
      <w:proofErr w:type="spellEnd"/>
      <w:r w:rsidRPr="003C40A8">
        <w:rPr>
          <w:rFonts w:ascii="Gadugi" w:hAnsi="Gadugi" w:cs="Arial"/>
          <w:b/>
          <w:bCs/>
          <w:color w:val="C00000"/>
          <w:shd w:val="clear" w:color="auto" w:fill="FFFFFF"/>
        </w:rPr>
        <w:t xml:space="preserve"> y </w:t>
      </w:r>
      <w:proofErr w:type="spellStart"/>
      <w:r w:rsidRPr="003C40A8">
        <w:rPr>
          <w:rFonts w:ascii="Gadugi" w:hAnsi="Gadugi" w:cs="Arial"/>
          <w:b/>
          <w:bCs/>
          <w:color w:val="C00000"/>
          <w:shd w:val="clear" w:color="auto" w:fill="FFFFFF"/>
        </w:rPr>
        <w:t>Bosico</w:t>
      </w:r>
      <w:proofErr w:type="spellEnd"/>
      <w:r w:rsidRPr="003C40A8">
        <w:rPr>
          <w:rFonts w:ascii="Gadugi" w:hAnsi="Gadugi" w:cs="Arial"/>
          <w:b/>
          <w:bCs/>
          <w:color w:val="C00000"/>
          <w:shd w:val="clear" w:color="auto" w:fill="FFFFFF"/>
        </w:rPr>
        <w:t xml:space="preserve"> vs. </w:t>
      </w:r>
      <w:proofErr w:type="gramStart"/>
      <w:r w:rsidRPr="003C40A8">
        <w:rPr>
          <w:rFonts w:ascii="Gadugi" w:hAnsi="Gadugi" w:cs="Arial"/>
          <w:b/>
          <w:bCs/>
          <w:color w:val="C00000"/>
          <w:shd w:val="clear" w:color="auto" w:fill="FFFFFF"/>
        </w:rPr>
        <w:t>República  Dominicana</w:t>
      </w:r>
      <w:proofErr w:type="gramEnd"/>
    </w:p>
    <w:p w14:paraId="2C76185D" w14:textId="77777777" w:rsidR="003C40A8" w:rsidRPr="003C40A8" w:rsidRDefault="003C40A8" w:rsidP="003C40A8">
      <w:pPr>
        <w:spacing w:after="0" w:line="240" w:lineRule="auto"/>
        <w:rPr>
          <w:rFonts w:ascii="Gadugi" w:hAnsi="Gadugi" w:cs="Arial"/>
          <w:b/>
          <w:bCs/>
          <w:shd w:val="clear" w:color="auto" w:fill="FFFFFF"/>
        </w:rPr>
      </w:pPr>
      <w:r w:rsidRPr="003C40A8">
        <w:rPr>
          <w:rFonts w:ascii="Gadugi" w:hAnsi="Gadugi" w:cs="Arial"/>
          <w:b/>
          <w:bCs/>
          <w:shd w:val="clear" w:color="auto" w:fill="FFFFFF"/>
        </w:rPr>
        <w:t>Resuelto el 8 de septiembre de 2005</w:t>
      </w:r>
    </w:p>
    <w:p w14:paraId="0DA48ACF" w14:textId="77777777" w:rsidR="003C40A8" w:rsidRPr="00AB32EA" w:rsidRDefault="003C40A8" w:rsidP="00AB32EA">
      <w:pPr>
        <w:spacing w:after="0" w:line="240" w:lineRule="auto"/>
        <w:jc w:val="both"/>
        <w:rPr>
          <w:rFonts w:cstheme="minorHAnsi"/>
          <w:sz w:val="24"/>
          <w:szCs w:val="24"/>
          <w:lang w:eastAsia="es-MX"/>
        </w:rPr>
      </w:pPr>
    </w:p>
    <w:p w14:paraId="7C6DE769" w14:textId="77777777" w:rsidR="003C40A8" w:rsidRPr="00A828C0" w:rsidRDefault="003C40A8" w:rsidP="00AB32EA">
      <w:pPr>
        <w:spacing w:after="0" w:line="240" w:lineRule="auto"/>
        <w:jc w:val="both"/>
        <w:rPr>
          <w:rFonts w:cstheme="minorHAnsi"/>
          <w:b/>
          <w:bCs/>
          <w:sz w:val="24"/>
          <w:szCs w:val="24"/>
          <w:lang w:eastAsia="es-MX"/>
        </w:rPr>
      </w:pPr>
      <w:r w:rsidRPr="00A828C0">
        <w:rPr>
          <w:rFonts w:cstheme="minorHAnsi"/>
          <w:b/>
          <w:bCs/>
          <w:sz w:val="24"/>
          <w:szCs w:val="24"/>
          <w:lang w:eastAsia="es-MX"/>
        </w:rPr>
        <w:t>Temática</w:t>
      </w:r>
    </w:p>
    <w:p w14:paraId="1F539A89" w14:textId="7D89EEEF" w:rsidR="003C40A8" w:rsidRPr="00A65E1D" w:rsidRDefault="003C40A8" w:rsidP="00A65E1D">
      <w:pPr>
        <w:pStyle w:val="Prrafodelista"/>
        <w:numPr>
          <w:ilvl w:val="0"/>
          <w:numId w:val="14"/>
        </w:numPr>
        <w:spacing w:after="0" w:line="240" w:lineRule="auto"/>
        <w:jc w:val="both"/>
        <w:rPr>
          <w:rFonts w:cstheme="minorHAnsi"/>
          <w:sz w:val="24"/>
          <w:szCs w:val="24"/>
          <w:lang w:eastAsia="es-MX"/>
        </w:rPr>
      </w:pPr>
      <w:r w:rsidRPr="00A65E1D">
        <w:rPr>
          <w:rFonts w:cstheme="minorHAnsi"/>
          <w:sz w:val="24"/>
          <w:szCs w:val="24"/>
          <w:lang w:eastAsia="es-MX"/>
        </w:rPr>
        <w:t>Libertad de conciencia y religión;</w:t>
      </w:r>
    </w:p>
    <w:p w14:paraId="655C491E" w14:textId="34F99076" w:rsidR="003C40A8" w:rsidRPr="00A65E1D" w:rsidRDefault="003C40A8" w:rsidP="00A65E1D">
      <w:pPr>
        <w:pStyle w:val="Prrafodelista"/>
        <w:numPr>
          <w:ilvl w:val="0"/>
          <w:numId w:val="14"/>
        </w:numPr>
        <w:spacing w:after="0" w:line="240" w:lineRule="auto"/>
        <w:jc w:val="both"/>
        <w:rPr>
          <w:rFonts w:cstheme="minorHAnsi"/>
          <w:sz w:val="24"/>
          <w:szCs w:val="24"/>
          <w:lang w:eastAsia="es-MX"/>
        </w:rPr>
      </w:pPr>
      <w:r w:rsidRPr="00A65E1D">
        <w:rPr>
          <w:rFonts w:cstheme="minorHAnsi"/>
          <w:sz w:val="24"/>
          <w:szCs w:val="24"/>
          <w:lang w:eastAsia="es-MX"/>
        </w:rPr>
        <w:t>Derechos de los niños y las niñas</w:t>
      </w:r>
    </w:p>
    <w:p w14:paraId="206DEB74" w14:textId="4213A78F" w:rsidR="003C40A8" w:rsidRPr="00A65E1D" w:rsidRDefault="003C40A8" w:rsidP="00A65E1D">
      <w:pPr>
        <w:pStyle w:val="Prrafodelista"/>
        <w:numPr>
          <w:ilvl w:val="0"/>
          <w:numId w:val="14"/>
        </w:numPr>
        <w:spacing w:after="0" w:line="240" w:lineRule="auto"/>
        <w:jc w:val="both"/>
        <w:rPr>
          <w:rFonts w:cstheme="minorHAnsi"/>
          <w:sz w:val="24"/>
          <w:szCs w:val="24"/>
          <w:lang w:eastAsia="es-MX"/>
        </w:rPr>
      </w:pPr>
      <w:r w:rsidRPr="00A65E1D">
        <w:rPr>
          <w:rFonts w:cstheme="minorHAnsi"/>
          <w:sz w:val="24"/>
          <w:szCs w:val="24"/>
          <w:lang w:eastAsia="es-MX"/>
        </w:rPr>
        <w:t>Derecho a la integridad personal</w:t>
      </w:r>
    </w:p>
    <w:p w14:paraId="33EE75AB" w14:textId="09FBDFE5" w:rsidR="003C40A8" w:rsidRPr="00A65E1D" w:rsidRDefault="003C40A8" w:rsidP="00A65E1D">
      <w:pPr>
        <w:pStyle w:val="Prrafodelista"/>
        <w:numPr>
          <w:ilvl w:val="0"/>
          <w:numId w:val="14"/>
        </w:numPr>
        <w:spacing w:after="0" w:line="240" w:lineRule="auto"/>
        <w:jc w:val="both"/>
        <w:rPr>
          <w:rFonts w:cstheme="minorHAnsi"/>
          <w:sz w:val="24"/>
          <w:szCs w:val="24"/>
          <w:lang w:eastAsia="es-MX"/>
        </w:rPr>
      </w:pPr>
      <w:r w:rsidRPr="00A65E1D">
        <w:rPr>
          <w:rFonts w:cstheme="minorHAnsi"/>
          <w:sz w:val="24"/>
          <w:szCs w:val="24"/>
          <w:lang w:eastAsia="es-MX"/>
        </w:rPr>
        <w:t>Derecho al nombre</w:t>
      </w:r>
    </w:p>
    <w:p w14:paraId="47E28D66" w14:textId="77777777" w:rsidR="003C40A8" w:rsidRPr="00A65E1D" w:rsidRDefault="003C40A8" w:rsidP="00AB32EA">
      <w:pPr>
        <w:spacing w:after="0" w:line="240" w:lineRule="auto"/>
        <w:jc w:val="both"/>
        <w:rPr>
          <w:rFonts w:cstheme="minorHAnsi"/>
          <w:b/>
          <w:bCs/>
          <w:sz w:val="24"/>
          <w:szCs w:val="24"/>
          <w:lang w:eastAsia="es-MX"/>
        </w:rPr>
      </w:pPr>
    </w:p>
    <w:p w14:paraId="24F0B603" w14:textId="77777777" w:rsidR="00A65E1D" w:rsidRDefault="003C40A8" w:rsidP="00AB32EA">
      <w:pPr>
        <w:spacing w:after="0" w:line="240" w:lineRule="auto"/>
        <w:jc w:val="both"/>
        <w:rPr>
          <w:rFonts w:cstheme="minorHAnsi"/>
          <w:b/>
          <w:bCs/>
          <w:sz w:val="24"/>
          <w:szCs w:val="24"/>
          <w:lang w:eastAsia="es-MX"/>
        </w:rPr>
      </w:pPr>
      <w:r w:rsidRPr="00A65E1D">
        <w:rPr>
          <w:rFonts w:cstheme="minorHAnsi"/>
          <w:b/>
          <w:bCs/>
          <w:sz w:val="24"/>
          <w:szCs w:val="24"/>
          <w:lang w:eastAsia="es-MX"/>
        </w:rPr>
        <w:t>Caso concreto</w:t>
      </w:r>
    </w:p>
    <w:p w14:paraId="0678DCDC" w14:textId="3529F033" w:rsidR="003C40A8" w:rsidRPr="00A65E1D" w:rsidRDefault="003C40A8" w:rsidP="00AB32EA">
      <w:pPr>
        <w:spacing w:after="0" w:line="240" w:lineRule="auto"/>
        <w:jc w:val="both"/>
        <w:rPr>
          <w:rFonts w:cstheme="minorHAnsi"/>
          <w:b/>
          <w:bCs/>
          <w:sz w:val="24"/>
          <w:szCs w:val="24"/>
          <w:lang w:eastAsia="es-MX"/>
        </w:rPr>
      </w:pPr>
      <w:r w:rsidRPr="00AB32EA">
        <w:rPr>
          <w:rFonts w:cstheme="minorHAnsi"/>
          <w:sz w:val="24"/>
          <w:szCs w:val="24"/>
          <w:lang w:eastAsia="es-MX"/>
        </w:rPr>
        <w:lastRenderedPageBreak/>
        <w:t xml:space="preserve">El caso se refiere a la responsabilidad internacional del Estado por la negación de la emisión de las actas de nacimiento a favor de Dilcia Oliven </w:t>
      </w:r>
      <w:proofErr w:type="spellStart"/>
      <w:r w:rsidRPr="00AB32EA">
        <w:rPr>
          <w:rFonts w:cstheme="minorHAnsi"/>
          <w:sz w:val="24"/>
          <w:szCs w:val="24"/>
          <w:lang w:eastAsia="es-MX"/>
        </w:rPr>
        <w:t>Yean</w:t>
      </w:r>
      <w:proofErr w:type="spellEnd"/>
      <w:r w:rsidRPr="00AB32EA">
        <w:rPr>
          <w:rFonts w:cstheme="minorHAnsi"/>
          <w:sz w:val="24"/>
          <w:szCs w:val="24"/>
          <w:lang w:eastAsia="es-MX"/>
        </w:rPr>
        <w:t xml:space="preserve"> y Violeta </w:t>
      </w:r>
      <w:proofErr w:type="spellStart"/>
      <w:r w:rsidRPr="00AB32EA">
        <w:rPr>
          <w:rFonts w:cstheme="minorHAnsi"/>
          <w:sz w:val="24"/>
          <w:szCs w:val="24"/>
          <w:lang w:eastAsia="es-MX"/>
        </w:rPr>
        <w:t>Bosico</w:t>
      </w:r>
      <w:proofErr w:type="spellEnd"/>
      <w:r w:rsidRPr="00AB32EA">
        <w:rPr>
          <w:rFonts w:cstheme="minorHAnsi"/>
          <w:sz w:val="24"/>
          <w:szCs w:val="24"/>
          <w:lang w:eastAsia="es-MX"/>
        </w:rPr>
        <w:t xml:space="preserve"> </w:t>
      </w:r>
      <w:proofErr w:type="spellStart"/>
      <w:r w:rsidRPr="00AB32EA">
        <w:rPr>
          <w:rFonts w:cstheme="minorHAnsi"/>
          <w:sz w:val="24"/>
          <w:szCs w:val="24"/>
          <w:lang w:eastAsia="es-MX"/>
        </w:rPr>
        <w:t>Cofi</w:t>
      </w:r>
      <w:proofErr w:type="spellEnd"/>
      <w:r w:rsidRPr="00AB32EA">
        <w:rPr>
          <w:rFonts w:cstheme="minorHAnsi"/>
          <w:sz w:val="24"/>
          <w:szCs w:val="24"/>
          <w:lang w:eastAsia="es-MX"/>
        </w:rPr>
        <w:t xml:space="preserve"> a través de las autoridades del Registro Civil, y las perjudiciales consecuencias que dicha situación generó en ellas.</w:t>
      </w:r>
    </w:p>
    <w:p w14:paraId="36154DD7" w14:textId="77777777" w:rsidR="003C40A8" w:rsidRPr="00AB32EA" w:rsidRDefault="003C40A8" w:rsidP="00AB32EA">
      <w:pPr>
        <w:spacing w:after="0" w:line="240" w:lineRule="auto"/>
        <w:jc w:val="both"/>
        <w:rPr>
          <w:rFonts w:cstheme="minorHAnsi"/>
          <w:sz w:val="24"/>
          <w:szCs w:val="24"/>
          <w:lang w:eastAsia="es-MX"/>
        </w:rPr>
      </w:pPr>
    </w:p>
    <w:p w14:paraId="6A57F54A" w14:textId="40CB8E0B" w:rsidR="003C40A8" w:rsidRDefault="003C40A8" w:rsidP="00AB32EA">
      <w:pPr>
        <w:spacing w:after="0" w:line="240" w:lineRule="auto"/>
        <w:jc w:val="both"/>
        <w:rPr>
          <w:rFonts w:cstheme="minorHAnsi"/>
          <w:b/>
          <w:bCs/>
          <w:sz w:val="24"/>
          <w:szCs w:val="24"/>
          <w:lang w:eastAsia="es-MX"/>
        </w:rPr>
      </w:pPr>
      <w:r w:rsidRPr="00A65E1D">
        <w:rPr>
          <w:rFonts w:cstheme="minorHAnsi"/>
          <w:b/>
          <w:bCs/>
          <w:sz w:val="24"/>
          <w:szCs w:val="24"/>
          <w:lang w:eastAsia="es-MX"/>
        </w:rPr>
        <w:t>Hechos</w:t>
      </w:r>
    </w:p>
    <w:p w14:paraId="5C150294" w14:textId="77777777" w:rsidR="00A65E1D" w:rsidRPr="00A65E1D" w:rsidRDefault="00A65E1D" w:rsidP="00AB32EA">
      <w:pPr>
        <w:spacing w:after="0" w:line="240" w:lineRule="auto"/>
        <w:jc w:val="both"/>
        <w:rPr>
          <w:rFonts w:cstheme="minorHAnsi"/>
          <w:b/>
          <w:bCs/>
          <w:sz w:val="24"/>
          <w:szCs w:val="24"/>
          <w:lang w:eastAsia="es-MX"/>
        </w:rPr>
      </w:pPr>
    </w:p>
    <w:p w14:paraId="4B69FCF6" w14:textId="65B90B86" w:rsidR="003C40A8" w:rsidRPr="00AB32EA" w:rsidRDefault="003C40A8" w:rsidP="00AB32EA">
      <w:pPr>
        <w:spacing w:after="0" w:line="240" w:lineRule="auto"/>
        <w:jc w:val="both"/>
        <w:rPr>
          <w:rFonts w:cstheme="minorHAnsi"/>
          <w:sz w:val="24"/>
          <w:szCs w:val="24"/>
          <w:lang w:eastAsia="es-MX"/>
        </w:rPr>
      </w:pPr>
      <w:r w:rsidRPr="00AB32EA">
        <w:rPr>
          <w:rFonts w:cstheme="minorHAnsi"/>
          <w:sz w:val="24"/>
          <w:szCs w:val="24"/>
          <w:lang w:eastAsia="es-MX"/>
        </w:rPr>
        <w:t>1.</w:t>
      </w:r>
      <w:r w:rsidR="00A65E1D">
        <w:rPr>
          <w:rFonts w:cstheme="minorHAnsi"/>
          <w:sz w:val="24"/>
          <w:szCs w:val="24"/>
          <w:lang w:eastAsia="es-MX"/>
        </w:rPr>
        <w:t xml:space="preserve"> </w:t>
      </w:r>
      <w:r w:rsidRPr="00AB32EA">
        <w:rPr>
          <w:rFonts w:cstheme="minorHAnsi"/>
          <w:sz w:val="24"/>
          <w:szCs w:val="24"/>
          <w:lang w:eastAsia="es-MX"/>
        </w:rPr>
        <w:t xml:space="preserve">El 5 de marzo de 1997, cuando Dilcia </w:t>
      </w:r>
      <w:proofErr w:type="spellStart"/>
      <w:r w:rsidRPr="00AB32EA">
        <w:rPr>
          <w:rFonts w:cstheme="minorHAnsi"/>
          <w:sz w:val="24"/>
          <w:szCs w:val="24"/>
          <w:lang w:eastAsia="es-MX"/>
        </w:rPr>
        <w:t>Yean</w:t>
      </w:r>
      <w:proofErr w:type="spellEnd"/>
      <w:r w:rsidRPr="00AB32EA">
        <w:rPr>
          <w:rFonts w:cstheme="minorHAnsi"/>
          <w:sz w:val="24"/>
          <w:szCs w:val="24"/>
          <w:lang w:eastAsia="es-MX"/>
        </w:rPr>
        <w:t xml:space="preserve"> tenía 10 meses de edad y Violeta </w:t>
      </w:r>
      <w:proofErr w:type="spellStart"/>
      <w:r w:rsidRPr="00AB32EA">
        <w:rPr>
          <w:rFonts w:cstheme="minorHAnsi"/>
          <w:sz w:val="24"/>
          <w:szCs w:val="24"/>
          <w:lang w:eastAsia="es-MX"/>
        </w:rPr>
        <w:t>Bosico</w:t>
      </w:r>
      <w:proofErr w:type="spellEnd"/>
      <w:r w:rsidRPr="00AB32EA">
        <w:rPr>
          <w:rFonts w:cstheme="minorHAnsi"/>
          <w:sz w:val="24"/>
          <w:szCs w:val="24"/>
          <w:lang w:eastAsia="es-MX"/>
        </w:rPr>
        <w:t xml:space="preserve"> tenía 12 años de edad, comparecieron ante la Oficialía Civil de Sabana Grande de </w:t>
      </w:r>
      <w:proofErr w:type="spellStart"/>
      <w:r w:rsidRPr="00AB32EA">
        <w:rPr>
          <w:rFonts w:cstheme="minorHAnsi"/>
          <w:sz w:val="24"/>
          <w:szCs w:val="24"/>
          <w:lang w:eastAsia="es-MX"/>
        </w:rPr>
        <w:t>Boyá</w:t>
      </w:r>
      <w:proofErr w:type="spellEnd"/>
      <w:r w:rsidRPr="00AB32EA">
        <w:rPr>
          <w:rFonts w:cstheme="minorHAnsi"/>
          <w:sz w:val="24"/>
          <w:szCs w:val="24"/>
          <w:lang w:eastAsia="es-MX"/>
        </w:rPr>
        <w:t xml:space="preserve"> el señor Genaro Rincón </w:t>
      </w:r>
      <w:proofErr w:type="spellStart"/>
      <w:r w:rsidRPr="00AB32EA">
        <w:rPr>
          <w:rFonts w:cstheme="minorHAnsi"/>
          <w:sz w:val="24"/>
          <w:szCs w:val="24"/>
          <w:lang w:eastAsia="es-MX"/>
        </w:rPr>
        <w:t>Miesse</w:t>
      </w:r>
      <w:proofErr w:type="spellEnd"/>
      <w:r w:rsidRPr="00AB32EA">
        <w:rPr>
          <w:rFonts w:cstheme="minorHAnsi"/>
          <w:sz w:val="24"/>
          <w:szCs w:val="24"/>
          <w:lang w:eastAsia="es-MX"/>
        </w:rPr>
        <w:t xml:space="preserve">, quien en aquella época era abogado de MUDHA, la señora </w:t>
      </w:r>
      <w:proofErr w:type="spellStart"/>
      <w:r w:rsidRPr="00AB32EA">
        <w:rPr>
          <w:rFonts w:cstheme="minorHAnsi"/>
          <w:sz w:val="24"/>
          <w:szCs w:val="24"/>
          <w:lang w:eastAsia="es-MX"/>
        </w:rPr>
        <w:t>Tiramen</w:t>
      </w:r>
      <w:proofErr w:type="spellEnd"/>
      <w:r w:rsidRPr="00AB32EA">
        <w:rPr>
          <w:rFonts w:cstheme="minorHAnsi"/>
          <w:sz w:val="24"/>
          <w:szCs w:val="24"/>
          <w:lang w:eastAsia="es-MX"/>
        </w:rPr>
        <w:t xml:space="preserve"> </w:t>
      </w:r>
      <w:proofErr w:type="spellStart"/>
      <w:r w:rsidRPr="00AB32EA">
        <w:rPr>
          <w:rFonts w:cstheme="minorHAnsi"/>
          <w:sz w:val="24"/>
          <w:szCs w:val="24"/>
          <w:lang w:eastAsia="es-MX"/>
        </w:rPr>
        <w:t>Bosico</w:t>
      </w:r>
      <w:proofErr w:type="spellEnd"/>
      <w:r w:rsidRPr="00AB32EA">
        <w:rPr>
          <w:rFonts w:cstheme="minorHAnsi"/>
          <w:sz w:val="24"/>
          <w:szCs w:val="24"/>
          <w:lang w:eastAsia="es-MX"/>
        </w:rPr>
        <w:t xml:space="preserve"> </w:t>
      </w:r>
      <w:proofErr w:type="spellStart"/>
      <w:r w:rsidRPr="00AB32EA">
        <w:rPr>
          <w:rFonts w:cstheme="minorHAnsi"/>
          <w:sz w:val="24"/>
          <w:szCs w:val="24"/>
          <w:lang w:eastAsia="es-MX"/>
        </w:rPr>
        <w:t>Cofi</w:t>
      </w:r>
      <w:proofErr w:type="spellEnd"/>
      <w:r w:rsidRPr="00AB32EA">
        <w:rPr>
          <w:rFonts w:cstheme="minorHAnsi"/>
          <w:sz w:val="24"/>
          <w:szCs w:val="24"/>
          <w:lang w:eastAsia="es-MX"/>
        </w:rPr>
        <w:t xml:space="preserve">, quien acompañaba a su hija Violeta </w:t>
      </w:r>
      <w:proofErr w:type="spellStart"/>
      <w:r w:rsidRPr="00AB32EA">
        <w:rPr>
          <w:rFonts w:cstheme="minorHAnsi"/>
          <w:sz w:val="24"/>
          <w:szCs w:val="24"/>
          <w:lang w:eastAsia="es-MX"/>
        </w:rPr>
        <w:t>Bosico</w:t>
      </w:r>
      <w:proofErr w:type="spellEnd"/>
      <w:r w:rsidRPr="00AB32EA">
        <w:rPr>
          <w:rFonts w:cstheme="minorHAnsi"/>
          <w:sz w:val="24"/>
          <w:szCs w:val="24"/>
          <w:lang w:eastAsia="es-MX"/>
        </w:rPr>
        <w:t xml:space="preserve">, y la señora Martha Remigio, prima de la madre de Dilcia </w:t>
      </w:r>
      <w:proofErr w:type="spellStart"/>
      <w:r w:rsidRPr="00AB32EA">
        <w:rPr>
          <w:rFonts w:cstheme="minorHAnsi"/>
          <w:sz w:val="24"/>
          <w:szCs w:val="24"/>
          <w:lang w:eastAsia="es-MX"/>
        </w:rPr>
        <w:t>Yean</w:t>
      </w:r>
      <w:proofErr w:type="spellEnd"/>
      <w:r w:rsidRPr="00AB32EA">
        <w:rPr>
          <w:rFonts w:cstheme="minorHAnsi"/>
          <w:sz w:val="24"/>
          <w:szCs w:val="24"/>
          <w:lang w:eastAsia="es-MX"/>
        </w:rPr>
        <w:t xml:space="preserve"> y quien acompañaba a ésta niña, con la finalidad de solicitar el registro tardío de nacimiento para, entre otros niños, Dilcia </w:t>
      </w:r>
      <w:proofErr w:type="spellStart"/>
      <w:r w:rsidRPr="00AB32EA">
        <w:rPr>
          <w:rFonts w:cstheme="minorHAnsi"/>
          <w:sz w:val="24"/>
          <w:szCs w:val="24"/>
          <w:lang w:eastAsia="es-MX"/>
        </w:rPr>
        <w:t>Yean</w:t>
      </w:r>
      <w:proofErr w:type="spellEnd"/>
      <w:r w:rsidRPr="00AB32EA">
        <w:rPr>
          <w:rFonts w:cstheme="minorHAnsi"/>
          <w:sz w:val="24"/>
          <w:szCs w:val="24"/>
          <w:lang w:eastAsia="es-MX"/>
        </w:rPr>
        <w:t xml:space="preserve"> y Violeta </w:t>
      </w:r>
      <w:proofErr w:type="spellStart"/>
      <w:r w:rsidRPr="00AB32EA">
        <w:rPr>
          <w:rFonts w:cstheme="minorHAnsi"/>
          <w:sz w:val="24"/>
          <w:szCs w:val="24"/>
          <w:lang w:eastAsia="es-MX"/>
        </w:rPr>
        <w:t>Bosico</w:t>
      </w:r>
      <w:proofErr w:type="spellEnd"/>
      <w:r w:rsidRPr="00AB32EA">
        <w:rPr>
          <w:rFonts w:cstheme="minorHAnsi"/>
          <w:sz w:val="24"/>
          <w:szCs w:val="24"/>
          <w:lang w:eastAsia="es-MX"/>
        </w:rPr>
        <w:t>.</w:t>
      </w:r>
    </w:p>
    <w:p w14:paraId="3C1A447B" w14:textId="77777777" w:rsidR="003C40A8" w:rsidRPr="00AB32EA" w:rsidRDefault="003C40A8" w:rsidP="00AB32EA">
      <w:pPr>
        <w:spacing w:after="0" w:line="240" w:lineRule="auto"/>
        <w:jc w:val="both"/>
        <w:rPr>
          <w:rFonts w:cstheme="minorHAnsi"/>
          <w:sz w:val="24"/>
          <w:szCs w:val="24"/>
          <w:lang w:eastAsia="es-MX"/>
        </w:rPr>
      </w:pPr>
    </w:p>
    <w:p w14:paraId="56C1F7BA" w14:textId="777B61FE" w:rsidR="003C40A8" w:rsidRPr="00AB32EA" w:rsidRDefault="003C40A8" w:rsidP="00AB32EA">
      <w:pPr>
        <w:spacing w:after="0" w:line="240" w:lineRule="auto"/>
        <w:jc w:val="both"/>
        <w:rPr>
          <w:rFonts w:cstheme="minorHAnsi"/>
          <w:sz w:val="24"/>
          <w:szCs w:val="24"/>
          <w:lang w:eastAsia="es-MX"/>
        </w:rPr>
      </w:pPr>
      <w:r w:rsidRPr="00AB32EA">
        <w:rPr>
          <w:rFonts w:cstheme="minorHAnsi"/>
          <w:sz w:val="24"/>
          <w:szCs w:val="24"/>
          <w:lang w:eastAsia="es-MX"/>
        </w:rPr>
        <w:t>2.</w:t>
      </w:r>
      <w:r w:rsidR="00A65E1D">
        <w:rPr>
          <w:rFonts w:cstheme="minorHAnsi"/>
          <w:sz w:val="24"/>
          <w:szCs w:val="24"/>
          <w:lang w:eastAsia="es-MX"/>
        </w:rPr>
        <w:t xml:space="preserve"> </w:t>
      </w:r>
      <w:r w:rsidRPr="00AB32EA">
        <w:rPr>
          <w:rFonts w:cstheme="minorHAnsi"/>
          <w:sz w:val="24"/>
          <w:szCs w:val="24"/>
          <w:lang w:eastAsia="es-MX"/>
        </w:rPr>
        <w:t xml:space="preserve">En la Oficialía Civil de Sabana Grande de </w:t>
      </w:r>
      <w:proofErr w:type="spellStart"/>
      <w:r w:rsidRPr="00AB32EA">
        <w:rPr>
          <w:rFonts w:cstheme="minorHAnsi"/>
          <w:sz w:val="24"/>
          <w:szCs w:val="24"/>
          <w:lang w:eastAsia="es-MX"/>
        </w:rPr>
        <w:t>Boyá</w:t>
      </w:r>
      <w:proofErr w:type="spellEnd"/>
      <w:r w:rsidRPr="00AB32EA">
        <w:rPr>
          <w:rFonts w:cstheme="minorHAnsi"/>
          <w:sz w:val="24"/>
          <w:szCs w:val="24"/>
          <w:lang w:eastAsia="es-MX"/>
        </w:rPr>
        <w:t xml:space="preserve"> la oficial civil encargada de los registros de nacimiento, señora Thelma Bienvenida Reyes, informó al señor Genaro Rincón </w:t>
      </w:r>
      <w:proofErr w:type="spellStart"/>
      <w:r w:rsidRPr="00AB32EA">
        <w:rPr>
          <w:rFonts w:cstheme="minorHAnsi"/>
          <w:sz w:val="24"/>
          <w:szCs w:val="24"/>
          <w:lang w:eastAsia="es-MX"/>
        </w:rPr>
        <w:t>Miesse</w:t>
      </w:r>
      <w:proofErr w:type="spellEnd"/>
      <w:r w:rsidRPr="00AB32EA">
        <w:rPr>
          <w:rFonts w:cstheme="minorHAnsi"/>
          <w:sz w:val="24"/>
          <w:szCs w:val="24"/>
          <w:lang w:eastAsia="es-MX"/>
        </w:rPr>
        <w:t xml:space="preserve"> que no era posible registrar a las niñas, porque los solicitantes no contaban con todos los documentos requeridos por la Junta Central Electoral para dicho procedimiento.</w:t>
      </w:r>
    </w:p>
    <w:p w14:paraId="6A497AA0" w14:textId="77777777" w:rsidR="003C40A8" w:rsidRPr="00AB32EA" w:rsidRDefault="003C40A8" w:rsidP="00AB32EA">
      <w:pPr>
        <w:spacing w:after="0" w:line="240" w:lineRule="auto"/>
        <w:jc w:val="both"/>
        <w:rPr>
          <w:rFonts w:cstheme="minorHAnsi"/>
          <w:sz w:val="24"/>
          <w:szCs w:val="24"/>
          <w:lang w:eastAsia="es-MX"/>
        </w:rPr>
      </w:pPr>
    </w:p>
    <w:p w14:paraId="1FF24716" w14:textId="72E5BEF4" w:rsidR="003C40A8" w:rsidRPr="00AB32EA" w:rsidRDefault="003C40A8" w:rsidP="00AB32EA">
      <w:pPr>
        <w:spacing w:after="0" w:line="240" w:lineRule="auto"/>
        <w:jc w:val="both"/>
        <w:rPr>
          <w:rFonts w:cstheme="minorHAnsi"/>
          <w:sz w:val="24"/>
          <w:szCs w:val="24"/>
          <w:lang w:eastAsia="es-MX"/>
        </w:rPr>
      </w:pPr>
      <w:r w:rsidRPr="00AB32EA">
        <w:rPr>
          <w:rFonts w:cstheme="minorHAnsi"/>
          <w:sz w:val="24"/>
          <w:szCs w:val="24"/>
          <w:lang w:eastAsia="es-MX"/>
        </w:rPr>
        <w:t>3.</w:t>
      </w:r>
      <w:r w:rsidR="00A65E1D">
        <w:rPr>
          <w:rFonts w:cstheme="minorHAnsi"/>
          <w:sz w:val="24"/>
          <w:szCs w:val="24"/>
          <w:lang w:eastAsia="es-MX"/>
        </w:rPr>
        <w:t xml:space="preserve"> </w:t>
      </w:r>
      <w:r w:rsidRPr="00AB32EA">
        <w:rPr>
          <w:rFonts w:cstheme="minorHAnsi"/>
          <w:sz w:val="24"/>
          <w:szCs w:val="24"/>
          <w:lang w:eastAsia="es-MX"/>
        </w:rPr>
        <w:t xml:space="preserve">El 11 de septiembre de 1997 MUDHA y el Comité Dominicano de Derechos Humanos (CDH), a través de sus abogados Genaro Rincón </w:t>
      </w:r>
      <w:proofErr w:type="spellStart"/>
      <w:r w:rsidRPr="00AB32EA">
        <w:rPr>
          <w:rFonts w:cstheme="minorHAnsi"/>
          <w:sz w:val="24"/>
          <w:szCs w:val="24"/>
          <w:lang w:eastAsia="es-MX"/>
        </w:rPr>
        <w:t>Miesse</w:t>
      </w:r>
      <w:proofErr w:type="spellEnd"/>
      <w:r w:rsidRPr="00AB32EA">
        <w:rPr>
          <w:rFonts w:cstheme="minorHAnsi"/>
          <w:sz w:val="24"/>
          <w:szCs w:val="24"/>
          <w:lang w:eastAsia="es-MX"/>
        </w:rPr>
        <w:t xml:space="preserve"> y Marcelino de la Cruz </w:t>
      </w:r>
      <w:proofErr w:type="spellStart"/>
      <w:r w:rsidRPr="00AB32EA">
        <w:rPr>
          <w:rFonts w:cstheme="minorHAnsi"/>
          <w:sz w:val="24"/>
          <w:szCs w:val="24"/>
          <w:lang w:eastAsia="es-MX"/>
        </w:rPr>
        <w:t>Nuñez</w:t>
      </w:r>
      <w:proofErr w:type="spellEnd"/>
      <w:r w:rsidRPr="00AB32EA">
        <w:rPr>
          <w:rFonts w:cstheme="minorHAnsi"/>
          <w:sz w:val="24"/>
          <w:szCs w:val="24"/>
          <w:lang w:eastAsia="es-MX"/>
        </w:rPr>
        <w:t xml:space="preserve">, interpusieron una "demanda en solicitud de autorización de declaraciones tardías", ante el Procurador Fiscal del Juzgado de Primera Instancia del Distrito Judicial de la Provincia de Monte Plata, a favor de un grupo determinado de niños, entre los cuales se encontraban las niñas Dilcia </w:t>
      </w:r>
      <w:proofErr w:type="spellStart"/>
      <w:r w:rsidRPr="00AB32EA">
        <w:rPr>
          <w:rFonts w:cstheme="minorHAnsi"/>
          <w:sz w:val="24"/>
          <w:szCs w:val="24"/>
          <w:lang w:eastAsia="es-MX"/>
        </w:rPr>
        <w:t>Yean</w:t>
      </w:r>
      <w:proofErr w:type="spellEnd"/>
      <w:r w:rsidRPr="00AB32EA">
        <w:rPr>
          <w:rFonts w:cstheme="minorHAnsi"/>
          <w:sz w:val="24"/>
          <w:szCs w:val="24"/>
          <w:lang w:eastAsia="es-MX"/>
        </w:rPr>
        <w:t xml:space="preserve"> y Violeta </w:t>
      </w:r>
      <w:proofErr w:type="spellStart"/>
      <w:r w:rsidRPr="00AB32EA">
        <w:rPr>
          <w:rFonts w:cstheme="minorHAnsi"/>
          <w:sz w:val="24"/>
          <w:szCs w:val="24"/>
          <w:lang w:eastAsia="es-MX"/>
        </w:rPr>
        <w:t>Bosico</w:t>
      </w:r>
      <w:proofErr w:type="spellEnd"/>
      <w:r w:rsidRPr="00AB32EA">
        <w:rPr>
          <w:rFonts w:cstheme="minorHAnsi"/>
          <w:sz w:val="24"/>
          <w:szCs w:val="24"/>
          <w:lang w:eastAsia="es-MX"/>
        </w:rPr>
        <w:t>.</w:t>
      </w:r>
    </w:p>
    <w:p w14:paraId="2C9DCD3E" w14:textId="77777777" w:rsidR="003C40A8" w:rsidRPr="00AB32EA" w:rsidRDefault="003C40A8" w:rsidP="00AB32EA">
      <w:pPr>
        <w:spacing w:after="0" w:line="240" w:lineRule="auto"/>
        <w:jc w:val="both"/>
        <w:rPr>
          <w:rFonts w:cstheme="minorHAnsi"/>
          <w:sz w:val="24"/>
          <w:szCs w:val="24"/>
          <w:lang w:eastAsia="es-MX"/>
        </w:rPr>
      </w:pPr>
    </w:p>
    <w:p w14:paraId="3CD78A7B" w14:textId="0468FB9E" w:rsidR="003C40A8" w:rsidRPr="00AB32EA" w:rsidRDefault="003C40A8" w:rsidP="00AB32EA">
      <w:pPr>
        <w:spacing w:after="0" w:line="240" w:lineRule="auto"/>
        <w:jc w:val="both"/>
        <w:rPr>
          <w:rFonts w:cstheme="minorHAnsi"/>
          <w:sz w:val="24"/>
          <w:szCs w:val="24"/>
          <w:lang w:eastAsia="es-MX"/>
        </w:rPr>
      </w:pPr>
      <w:r w:rsidRPr="00AB32EA">
        <w:rPr>
          <w:rFonts w:cstheme="minorHAnsi"/>
          <w:sz w:val="24"/>
          <w:szCs w:val="24"/>
          <w:lang w:eastAsia="es-MX"/>
        </w:rPr>
        <w:t>4.</w:t>
      </w:r>
      <w:r w:rsidR="00A65E1D">
        <w:rPr>
          <w:rFonts w:cstheme="minorHAnsi"/>
          <w:sz w:val="24"/>
          <w:szCs w:val="24"/>
          <w:lang w:eastAsia="es-MX"/>
        </w:rPr>
        <w:t xml:space="preserve"> </w:t>
      </w:r>
      <w:r w:rsidRPr="00AB32EA">
        <w:rPr>
          <w:rFonts w:cstheme="minorHAnsi"/>
          <w:sz w:val="24"/>
          <w:szCs w:val="24"/>
          <w:lang w:eastAsia="es-MX"/>
        </w:rPr>
        <w:t xml:space="preserve">El 25 de marzo de 1999, cuando la República Dominicana reconoció la competencia contenciosa de la Corte Interamericana, las niñas Dilcia </w:t>
      </w:r>
      <w:proofErr w:type="spellStart"/>
      <w:r w:rsidRPr="00AB32EA">
        <w:rPr>
          <w:rFonts w:cstheme="minorHAnsi"/>
          <w:sz w:val="24"/>
          <w:szCs w:val="24"/>
          <w:lang w:eastAsia="es-MX"/>
        </w:rPr>
        <w:t>Yean</w:t>
      </w:r>
      <w:proofErr w:type="spellEnd"/>
      <w:r w:rsidRPr="00AB32EA">
        <w:rPr>
          <w:rFonts w:cstheme="minorHAnsi"/>
          <w:sz w:val="24"/>
          <w:szCs w:val="24"/>
          <w:lang w:eastAsia="es-MX"/>
        </w:rPr>
        <w:t xml:space="preserve"> y Violeta </w:t>
      </w:r>
      <w:proofErr w:type="spellStart"/>
      <w:r w:rsidRPr="00AB32EA">
        <w:rPr>
          <w:rFonts w:cstheme="minorHAnsi"/>
          <w:sz w:val="24"/>
          <w:szCs w:val="24"/>
          <w:lang w:eastAsia="es-MX"/>
        </w:rPr>
        <w:t>Bosico</w:t>
      </w:r>
      <w:proofErr w:type="spellEnd"/>
      <w:r w:rsidRPr="00AB32EA">
        <w:rPr>
          <w:rFonts w:cstheme="minorHAnsi"/>
          <w:sz w:val="24"/>
          <w:szCs w:val="24"/>
          <w:lang w:eastAsia="es-MX"/>
        </w:rPr>
        <w:t xml:space="preserve"> no tenían sus actas de nacimiento ni la nacionalidad dominicana.</w:t>
      </w:r>
    </w:p>
    <w:p w14:paraId="33E86B0C" w14:textId="77777777" w:rsidR="003C40A8" w:rsidRPr="00AB32EA" w:rsidRDefault="003C40A8" w:rsidP="00AB32EA">
      <w:pPr>
        <w:spacing w:after="0" w:line="240" w:lineRule="auto"/>
        <w:jc w:val="both"/>
        <w:rPr>
          <w:rFonts w:cstheme="minorHAnsi"/>
          <w:sz w:val="24"/>
          <w:szCs w:val="24"/>
          <w:lang w:eastAsia="es-MX"/>
        </w:rPr>
      </w:pPr>
    </w:p>
    <w:p w14:paraId="765F8771" w14:textId="1833AF24" w:rsidR="003C40A8" w:rsidRPr="00AB32EA" w:rsidRDefault="003C40A8" w:rsidP="00AB32EA">
      <w:pPr>
        <w:spacing w:after="0" w:line="240" w:lineRule="auto"/>
        <w:jc w:val="both"/>
        <w:rPr>
          <w:rFonts w:cstheme="minorHAnsi"/>
          <w:sz w:val="24"/>
          <w:szCs w:val="24"/>
          <w:lang w:eastAsia="es-MX"/>
        </w:rPr>
      </w:pPr>
      <w:r w:rsidRPr="00AB32EA">
        <w:rPr>
          <w:rFonts w:cstheme="minorHAnsi"/>
          <w:sz w:val="24"/>
          <w:szCs w:val="24"/>
          <w:lang w:eastAsia="es-MX"/>
        </w:rPr>
        <w:t>5.</w:t>
      </w:r>
      <w:r w:rsidR="00A65E1D">
        <w:rPr>
          <w:rFonts w:cstheme="minorHAnsi"/>
          <w:sz w:val="24"/>
          <w:szCs w:val="24"/>
          <w:lang w:eastAsia="es-MX"/>
        </w:rPr>
        <w:t xml:space="preserve"> </w:t>
      </w:r>
      <w:r w:rsidRPr="00AB32EA">
        <w:rPr>
          <w:rFonts w:cstheme="minorHAnsi"/>
          <w:sz w:val="24"/>
          <w:szCs w:val="24"/>
          <w:lang w:eastAsia="es-MX"/>
        </w:rPr>
        <w:t xml:space="preserve">El 8 de septiembre de 1999, </w:t>
      </w:r>
      <w:proofErr w:type="gramStart"/>
      <w:r w:rsidRPr="00AB32EA">
        <w:rPr>
          <w:rFonts w:cstheme="minorHAnsi"/>
          <w:sz w:val="24"/>
          <w:szCs w:val="24"/>
          <w:lang w:eastAsia="es-MX"/>
        </w:rPr>
        <w:t>en razón de</w:t>
      </w:r>
      <w:proofErr w:type="gramEnd"/>
      <w:r w:rsidRPr="00AB32EA">
        <w:rPr>
          <w:rFonts w:cstheme="minorHAnsi"/>
          <w:sz w:val="24"/>
          <w:szCs w:val="24"/>
          <w:lang w:eastAsia="es-MX"/>
        </w:rPr>
        <w:t xml:space="preserve"> las medidas cautelares ordenadas por la Comisión Interamericana a favor de las niñas Dilcia y Violeta, el Estado ordenó a la Dirección General de Migración que emitiera, a favor de las presuntas víctimas, "certificaciones temporales de estadía en el país hasta tanto se conociera y se definiera su status migratorio en la República Dominicana".</w:t>
      </w:r>
    </w:p>
    <w:p w14:paraId="49DC0352" w14:textId="77777777" w:rsidR="003C40A8" w:rsidRPr="00AB32EA" w:rsidRDefault="003C40A8" w:rsidP="00AB32EA">
      <w:pPr>
        <w:spacing w:after="0" w:line="240" w:lineRule="auto"/>
        <w:jc w:val="both"/>
        <w:rPr>
          <w:rFonts w:cstheme="minorHAnsi"/>
          <w:sz w:val="24"/>
          <w:szCs w:val="24"/>
          <w:lang w:eastAsia="es-MX"/>
        </w:rPr>
      </w:pPr>
    </w:p>
    <w:p w14:paraId="187831A4" w14:textId="590F43A3" w:rsidR="003C40A8" w:rsidRPr="00AB32EA" w:rsidRDefault="003C40A8" w:rsidP="00AB32EA">
      <w:pPr>
        <w:spacing w:after="0" w:line="240" w:lineRule="auto"/>
        <w:jc w:val="both"/>
        <w:rPr>
          <w:rFonts w:cstheme="minorHAnsi"/>
          <w:sz w:val="24"/>
          <w:szCs w:val="24"/>
          <w:lang w:eastAsia="es-MX"/>
        </w:rPr>
      </w:pPr>
      <w:r w:rsidRPr="00AB32EA">
        <w:rPr>
          <w:rFonts w:cstheme="minorHAnsi"/>
          <w:sz w:val="24"/>
          <w:szCs w:val="24"/>
          <w:lang w:eastAsia="es-MX"/>
        </w:rPr>
        <w:t>6.</w:t>
      </w:r>
      <w:r w:rsidR="00A65E1D">
        <w:rPr>
          <w:rFonts w:cstheme="minorHAnsi"/>
          <w:sz w:val="24"/>
          <w:szCs w:val="24"/>
          <w:lang w:eastAsia="es-MX"/>
        </w:rPr>
        <w:t xml:space="preserve"> </w:t>
      </w:r>
      <w:r w:rsidRPr="00AB32EA">
        <w:rPr>
          <w:rFonts w:cstheme="minorHAnsi"/>
          <w:sz w:val="24"/>
          <w:szCs w:val="24"/>
          <w:lang w:eastAsia="es-MX"/>
        </w:rPr>
        <w:t xml:space="preserve">El 21 de septiembre de 2001, luego de comunicarse con funcionarios de la Secretaría de Relaciones Exteriores, las señoras </w:t>
      </w:r>
      <w:proofErr w:type="spellStart"/>
      <w:r w:rsidRPr="00AB32EA">
        <w:rPr>
          <w:rFonts w:cstheme="minorHAnsi"/>
          <w:sz w:val="24"/>
          <w:szCs w:val="24"/>
          <w:lang w:eastAsia="es-MX"/>
        </w:rPr>
        <w:t>Leonidas</w:t>
      </w:r>
      <w:proofErr w:type="spellEnd"/>
      <w:r w:rsidRPr="00AB32EA">
        <w:rPr>
          <w:rFonts w:cstheme="minorHAnsi"/>
          <w:sz w:val="24"/>
          <w:szCs w:val="24"/>
          <w:lang w:eastAsia="es-MX"/>
        </w:rPr>
        <w:t xml:space="preserve"> Oliven </w:t>
      </w:r>
      <w:proofErr w:type="spellStart"/>
      <w:r w:rsidRPr="00AB32EA">
        <w:rPr>
          <w:rFonts w:cstheme="minorHAnsi"/>
          <w:sz w:val="24"/>
          <w:szCs w:val="24"/>
          <w:lang w:eastAsia="es-MX"/>
        </w:rPr>
        <w:t>Yean</w:t>
      </w:r>
      <w:proofErr w:type="spellEnd"/>
      <w:r w:rsidRPr="00AB32EA">
        <w:rPr>
          <w:rFonts w:cstheme="minorHAnsi"/>
          <w:sz w:val="24"/>
          <w:szCs w:val="24"/>
          <w:lang w:eastAsia="es-MX"/>
        </w:rPr>
        <w:t xml:space="preserve"> y </w:t>
      </w:r>
      <w:proofErr w:type="spellStart"/>
      <w:r w:rsidRPr="00AB32EA">
        <w:rPr>
          <w:rFonts w:cstheme="minorHAnsi"/>
          <w:sz w:val="24"/>
          <w:szCs w:val="24"/>
          <w:lang w:eastAsia="es-MX"/>
        </w:rPr>
        <w:t>Tiramen</w:t>
      </w:r>
      <w:proofErr w:type="spellEnd"/>
      <w:r w:rsidRPr="00AB32EA">
        <w:rPr>
          <w:rFonts w:cstheme="minorHAnsi"/>
          <w:sz w:val="24"/>
          <w:szCs w:val="24"/>
          <w:lang w:eastAsia="es-MX"/>
        </w:rPr>
        <w:t xml:space="preserve"> </w:t>
      </w:r>
      <w:proofErr w:type="spellStart"/>
      <w:r w:rsidRPr="00AB32EA">
        <w:rPr>
          <w:rFonts w:cstheme="minorHAnsi"/>
          <w:sz w:val="24"/>
          <w:szCs w:val="24"/>
          <w:lang w:eastAsia="es-MX"/>
        </w:rPr>
        <w:t>Bosico</w:t>
      </w:r>
      <w:proofErr w:type="spellEnd"/>
      <w:r w:rsidRPr="00AB32EA">
        <w:rPr>
          <w:rFonts w:cstheme="minorHAnsi"/>
          <w:sz w:val="24"/>
          <w:szCs w:val="24"/>
          <w:lang w:eastAsia="es-MX"/>
        </w:rPr>
        <w:t xml:space="preserve"> </w:t>
      </w:r>
      <w:proofErr w:type="spellStart"/>
      <w:r w:rsidRPr="00AB32EA">
        <w:rPr>
          <w:rFonts w:cstheme="minorHAnsi"/>
          <w:sz w:val="24"/>
          <w:szCs w:val="24"/>
          <w:lang w:eastAsia="es-MX"/>
        </w:rPr>
        <w:t>Cofi</w:t>
      </w:r>
      <w:proofErr w:type="spellEnd"/>
      <w:r w:rsidRPr="00AB32EA">
        <w:rPr>
          <w:rFonts w:cstheme="minorHAnsi"/>
          <w:sz w:val="24"/>
          <w:szCs w:val="24"/>
          <w:lang w:eastAsia="es-MX"/>
        </w:rPr>
        <w:t xml:space="preserve">, acompañadas del señor Genaro Rincón </w:t>
      </w:r>
      <w:proofErr w:type="spellStart"/>
      <w:r w:rsidRPr="00AB32EA">
        <w:rPr>
          <w:rFonts w:cstheme="minorHAnsi"/>
          <w:sz w:val="24"/>
          <w:szCs w:val="24"/>
          <w:lang w:eastAsia="es-MX"/>
        </w:rPr>
        <w:t>Miesse</w:t>
      </w:r>
      <w:proofErr w:type="spellEnd"/>
      <w:r w:rsidRPr="00AB32EA">
        <w:rPr>
          <w:rFonts w:cstheme="minorHAnsi"/>
          <w:sz w:val="24"/>
          <w:szCs w:val="24"/>
          <w:lang w:eastAsia="es-MX"/>
        </w:rPr>
        <w:t xml:space="preserve">, se dirigieron a la Oficialía del Estado Civil de la Primera Circunscripción para realizar las inscripciones de nacimiento de sus hijas Dilcia </w:t>
      </w:r>
      <w:proofErr w:type="spellStart"/>
      <w:r w:rsidRPr="00AB32EA">
        <w:rPr>
          <w:rFonts w:cstheme="minorHAnsi"/>
          <w:sz w:val="24"/>
          <w:szCs w:val="24"/>
          <w:lang w:eastAsia="es-MX"/>
        </w:rPr>
        <w:t>Yean</w:t>
      </w:r>
      <w:proofErr w:type="spellEnd"/>
      <w:r w:rsidRPr="00AB32EA">
        <w:rPr>
          <w:rFonts w:cstheme="minorHAnsi"/>
          <w:sz w:val="24"/>
          <w:szCs w:val="24"/>
          <w:lang w:eastAsia="es-MX"/>
        </w:rPr>
        <w:t xml:space="preserve"> y Violeta </w:t>
      </w:r>
      <w:proofErr w:type="spellStart"/>
      <w:r w:rsidRPr="00AB32EA">
        <w:rPr>
          <w:rFonts w:cstheme="minorHAnsi"/>
          <w:sz w:val="24"/>
          <w:szCs w:val="24"/>
          <w:lang w:eastAsia="es-MX"/>
        </w:rPr>
        <w:t>Bosico</w:t>
      </w:r>
      <w:proofErr w:type="spellEnd"/>
      <w:r w:rsidRPr="00AB32EA">
        <w:rPr>
          <w:rFonts w:cstheme="minorHAnsi"/>
          <w:sz w:val="24"/>
          <w:szCs w:val="24"/>
          <w:lang w:eastAsia="es-MX"/>
        </w:rPr>
        <w:t>, respectivamente.  En la Oficialía no se les requirió que pagaran impuesto alguno, ni que firmaran documentos o que prestaran una declaración pública.</w:t>
      </w:r>
    </w:p>
    <w:p w14:paraId="561513AE" w14:textId="77777777" w:rsidR="003C40A8" w:rsidRPr="00AB32EA" w:rsidRDefault="003C40A8" w:rsidP="00AB32EA">
      <w:pPr>
        <w:spacing w:after="0" w:line="240" w:lineRule="auto"/>
        <w:jc w:val="both"/>
        <w:rPr>
          <w:rFonts w:cstheme="minorHAnsi"/>
          <w:sz w:val="24"/>
          <w:szCs w:val="24"/>
          <w:lang w:eastAsia="es-MX"/>
        </w:rPr>
      </w:pPr>
    </w:p>
    <w:p w14:paraId="01A0CF69" w14:textId="311FF388" w:rsidR="003C40A8" w:rsidRPr="00AB32EA" w:rsidRDefault="003C40A8" w:rsidP="00AB32EA">
      <w:pPr>
        <w:spacing w:after="0" w:line="240" w:lineRule="auto"/>
        <w:jc w:val="both"/>
        <w:rPr>
          <w:rFonts w:cstheme="minorHAnsi"/>
          <w:sz w:val="24"/>
          <w:szCs w:val="24"/>
          <w:lang w:eastAsia="es-MX"/>
        </w:rPr>
      </w:pPr>
      <w:r w:rsidRPr="00AB32EA">
        <w:rPr>
          <w:rFonts w:cstheme="minorHAnsi"/>
          <w:sz w:val="24"/>
          <w:szCs w:val="24"/>
          <w:lang w:eastAsia="es-MX"/>
        </w:rPr>
        <w:lastRenderedPageBreak/>
        <w:t>7.</w:t>
      </w:r>
      <w:r w:rsidR="00A65E1D">
        <w:rPr>
          <w:rFonts w:cstheme="minorHAnsi"/>
          <w:sz w:val="24"/>
          <w:szCs w:val="24"/>
          <w:lang w:eastAsia="es-MX"/>
        </w:rPr>
        <w:t xml:space="preserve"> </w:t>
      </w:r>
      <w:r w:rsidRPr="00AB32EA">
        <w:rPr>
          <w:rFonts w:cstheme="minorHAnsi"/>
          <w:sz w:val="24"/>
          <w:szCs w:val="24"/>
          <w:lang w:eastAsia="es-MX"/>
        </w:rPr>
        <w:t xml:space="preserve">El 25 de septiembre de 2001 el Estado otorgó a la niña Dilcia Oliven </w:t>
      </w:r>
      <w:proofErr w:type="spellStart"/>
      <w:r w:rsidRPr="00AB32EA">
        <w:rPr>
          <w:rFonts w:cstheme="minorHAnsi"/>
          <w:sz w:val="24"/>
          <w:szCs w:val="24"/>
          <w:lang w:eastAsia="es-MX"/>
        </w:rPr>
        <w:t>Yean</w:t>
      </w:r>
      <w:proofErr w:type="spellEnd"/>
      <w:r w:rsidRPr="00AB32EA">
        <w:rPr>
          <w:rFonts w:cstheme="minorHAnsi"/>
          <w:sz w:val="24"/>
          <w:szCs w:val="24"/>
          <w:lang w:eastAsia="es-MX"/>
        </w:rPr>
        <w:t xml:space="preserve"> el acta de nacimiento emitida por la Oficialía del Estado Civil de la Primera Circunscripción de Distrito Nacional de la República Dominicana.</w:t>
      </w:r>
    </w:p>
    <w:p w14:paraId="1141906A" w14:textId="77777777" w:rsidR="003C40A8" w:rsidRPr="00AB32EA" w:rsidRDefault="003C40A8" w:rsidP="00AB32EA">
      <w:pPr>
        <w:spacing w:after="0" w:line="240" w:lineRule="auto"/>
        <w:jc w:val="both"/>
        <w:rPr>
          <w:rFonts w:cstheme="minorHAnsi"/>
          <w:sz w:val="24"/>
          <w:szCs w:val="24"/>
          <w:lang w:eastAsia="es-MX"/>
        </w:rPr>
      </w:pPr>
    </w:p>
    <w:p w14:paraId="1B4DFEDD" w14:textId="58BE0FB3" w:rsidR="003C40A8" w:rsidRPr="00AB32EA" w:rsidRDefault="003C40A8" w:rsidP="00AB32EA">
      <w:pPr>
        <w:spacing w:after="0" w:line="240" w:lineRule="auto"/>
        <w:jc w:val="both"/>
        <w:rPr>
          <w:rFonts w:cstheme="minorHAnsi"/>
          <w:sz w:val="24"/>
          <w:szCs w:val="24"/>
          <w:lang w:eastAsia="es-MX"/>
        </w:rPr>
      </w:pPr>
      <w:r w:rsidRPr="00AB32EA">
        <w:rPr>
          <w:rFonts w:cstheme="minorHAnsi"/>
          <w:sz w:val="24"/>
          <w:szCs w:val="24"/>
          <w:lang w:eastAsia="es-MX"/>
        </w:rPr>
        <w:t>8.</w:t>
      </w:r>
      <w:r w:rsidR="00A65E1D">
        <w:rPr>
          <w:rFonts w:cstheme="minorHAnsi"/>
          <w:sz w:val="24"/>
          <w:szCs w:val="24"/>
          <w:lang w:eastAsia="es-MX"/>
        </w:rPr>
        <w:t xml:space="preserve"> </w:t>
      </w:r>
      <w:r w:rsidRPr="00AB32EA">
        <w:rPr>
          <w:rFonts w:cstheme="minorHAnsi"/>
          <w:sz w:val="24"/>
          <w:szCs w:val="24"/>
          <w:lang w:eastAsia="es-MX"/>
        </w:rPr>
        <w:t xml:space="preserve">El 25 de septiembre de 2001 el Estado otorgó a la niña Violeta </w:t>
      </w:r>
      <w:proofErr w:type="spellStart"/>
      <w:r w:rsidRPr="00AB32EA">
        <w:rPr>
          <w:rFonts w:cstheme="minorHAnsi"/>
          <w:sz w:val="24"/>
          <w:szCs w:val="24"/>
          <w:lang w:eastAsia="es-MX"/>
        </w:rPr>
        <w:t>Bosico</w:t>
      </w:r>
      <w:proofErr w:type="spellEnd"/>
      <w:r w:rsidRPr="00AB32EA">
        <w:rPr>
          <w:rFonts w:cstheme="minorHAnsi"/>
          <w:sz w:val="24"/>
          <w:szCs w:val="24"/>
          <w:lang w:eastAsia="es-MX"/>
        </w:rPr>
        <w:t xml:space="preserve"> el acta de nacimiento emitida por la Oficialía del Estado Civil de la Primera Circunscripción de Distrito Nacional de la República Dominicana</w:t>
      </w:r>
    </w:p>
    <w:p w14:paraId="1A3726C9" w14:textId="77777777" w:rsidR="003C40A8" w:rsidRPr="00AB32EA" w:rsidRDefault="003C40A8" w:rsidP="00AB32EA">
      <w:pPr>
        <w:spacing w:after="0" w:line="240" w:lineRule="auto"/>
        <w:jc w:val="both"/>
        <w:rPr>
          <w:rFonts w:cstheme="minorHAnsi"/>
          <w:sz w:val="24"/>
          <w:szCs w:val="24"/>
          <w:lang w:eastAsia="es-MX"/>
        </w:rPr>
      </w:pPr>
    </w:p>
    <w:p w14:paraId="50D7BB95" w14:textId="0E6D1B86" w:rsidR="003C40A8" w:rsidRDefault="003C40A8" w:rsidP="00AB32EA">
      <w:pPr>
        <w:spacing w:after="0" w:line="240" w:lineRule="auto"/>
        <w:jc w:val="both"/>
        <w:rPr>
          <w:rFonts w:cstheme="minorHAnsi"/>
          <w:b/>
          <w:bCs/>
          <w:sz w:val="24"/>
          <w:szCs w:val="24"/>
          <w:lang w:eastAsia="es-MX"/>
        </w:rPr>
      </w:pPr>
      <w:r w:rsidRPr="00A65E1D">
        <w:rPr>
          <w:rFonts w:cstheme="minorHAnsi"/>
          <w:b/>
          <w:bCs/>
          <w:sz w:val="24"/>
          <w:szCs w:val="24"/>
          <w:lang w:eastAsia="es-MX"/>
        </w:rPr>
        <w:t xml:space="preserve">Consideraciones de la </w:t>
      </w:r>
      <w:proofErr w:type="spellStart"/>
      <w:r w:rsidRPr="00A65E1D">
        <w:rPr>
          <w:rFonts w:cstheme="minorHAnsi"/>
          <w:b/>
          <w:bCs/>
          <w:sz w:val="24"/>
          <w:szCs w:val="24"/>
          <w:lang w:eastAsia="es-MX"/>
        </w:rPr>
        <w:t>CoIDH</w:t>
      </w:r>
      <w:proofErr w:type="spellEnd"/>
    </w:p>
    <w:p w14:paraId="0AC5A0D3" w14:textId="77777777" w:rsidR="00A65E1D" w:rsidRPr="00A65E1D" w:rsidRDefault="00A65E1D" w:rsidP="00AB32EA">
      <w:pPr>
        <w:spacing w:after="0" w:line="240" w:lineRule="auto"/>
        <w:jc w:val="both"/>
        <w:rPr>
          <w:rFonts w:cstheme="minorHAnsi"/>
          <w:b/>
          <w:bCs/>
          <w:sz w:val="24"/>
          <w:szCs w:val="24"/>
          <w:lang w:eastAsia="es-MX"/>
        </w:rPr>
      </w:pPr>
    </w:p>
    <w:p w14:paraId="7F441B0E" w14:textId="77777777" w:rsidR="003C40A8" w:rsidRPr="00AB32EA" w:rsidRDefault="003C40A8" w:rsidP="00AB32EA">
      <w:pPr>
        <w:spacing w:after="0" w:line="240" w:lineRule="auto"/>
        <w:jc w:val="both"/>
        <w:rPr>
          <w:rFonts w:cstheme="minorHAnsi"/>
          <w:sz w:val="24"/>
          <w:szCs w:val="24"/>
          <w:lang w:eastAsia="es-MX"/>
        </w:rPr>
      </w:pPr>
      <w:r w:rsidRPr="00AB32EA">
        <w:rPr>
          <w:rFonts w:cstheme="minorHAnsi"/>
          <w:sz w:val="24"/>
          <w:szCs w:val="24"/>
          <w:lang w:eastAsia="es-MX"/>
        </w:rPr>
        <w:t>La Corte consideró que el Estado, al no indicar expresamente durante el procedimiento de admisibilidad ante la Comisión Interamericana cuáles serían los recursos idóneos y efectivos que deberían haber sido agotados, renunció implícitamente a un medio de defensa que la Convención Americana establece en su favor e incurrió en admisión tácita de la inexistencia de dichos recursos o del oportuno agotamiento de éstos.  Dado lo anterior, el Estado estaba impedido de alegar el no agotamiento de los recursos jerárquico, de amparo, de inconstitucionalidad, y de reconsideración ante el Oficial del Estado Civil y ante el juzgado de primera instancia, en el procedimiento ante la Corte.</w:t>
      </w:r>
    </w:p>
    <w:p w14:paraId="72CEDB06" w14:textId="77777777" w:rsidR="003C40A8" w:rsidRPr="00AB32EA" w:rsidRDefault="003C40A8" w:rsidP="00AB32EA">
      <w:pPr>
        <w:spacing w:after="0" w:line="240" w:lineRule="auto"/>
        <w:jc w:val="both"/>
        <w:rPr>
          <w:rFonts w:cstheme="minorHAnsi"/>
          <w:sz w:val="24"/>
          <w:szCs w:val="24"/>
          <w:lang w:eastAsia="es-MX"/>
        </w:rPr>
      </w:pPr>
    </w:p>
    <w:p w14:paraId="04B56799" w14:textId="77777777" w:rsidR="003C40A8" w:rsidRPr="00AB32EA" w:rsidRDefault="003C40A8" w:rsidP="00AB32EA">
      <w:pPr>
        <w:spacing w:after="0" w:line="240" w:lineRule="auto"/>
        <w:jc w:val="both"/>
        <w:rPr>
          <w:rFonts w:cstheme="minorHAnsi"/>
          <w:sz w:val="24"/>
          <w:szCs w:val="24"/>
          <w:lang w:eastAsia="es-MX"/>
        </w:rPr>
      </w:pPr>
      <w:r w:rsidRPr="00AB32EA">
        <w:rPr>
          <w:rFonts w:cstheme="minorHAnsi"/>
          <w:sz w:val="24"/>
          <w:szCs w:val="24"/>
          <w:lang w:eastAsia="es-MX"/>
        </w:rPr>
        <w:t xml:space="preserve">La Corte estimó necesario resaltar que, si bien la denegación de la solicitud de inscripción tardía de nacimiento en el registro civil de las niñas ocurrió el 5 de marzo de 1997 y la decisión del Procurador Fiscal que confirmó dicha denegación fue dictada el 20 de julio de 1998, ambos hechos determinaron que las niñas Dilcia </w:t>
      </w:r>
      <w:proofErr w:type="spellStart"/>
      <w:r w:rsidRPr="00AB32EA">
        <w:rPr>
          <w:rFonts w:cstheme="minorHAnsi"/>
          <w:sz w:val="24"/>
          <w:szCs w:val="24"/>
          <w:lang w:eastAsia="es-MX"/>
        </w:rPr>
        <w:t>Yean</w:t>
      </w:r>
      <w:proofErr w:type="spellEnd"/>
      <w:r w:rsidRPr="00AB32EA">
        <w:rPr>
          <w:rFonts w:cstheme="minorHAnsi"/>
          <w:sz w:val="24"/>
          <w:szCs w:val="24"/>
          <w:lang w:eastAsia="es-MX"/>
        </w:rPr>
        <w:t xml:space="preserve"> y Violeta </w:t>
      </w:r>
      <w:proofErr w:type="spellStart"/>
      <w:r w:rsidRPr="00AB32EA">
        <w:rPr>
          <w:rFonts w:cstheme="minorHAnsi"/>
          <w:sz w:val="24"/>
          <w:szCs w:val="24"/>
          <w:lang w:eastAsia="es-MX"/>
        </w:rPr>
        <w:t>Bosico</w:t>
      </w:r>
      <w:proofErr w:type="spellEnd"/>
      <w:r w:rsidRPr="00AB32EA">
        <w:rPr>
          <w:rFonts w:cstheme="minorHAnsi"/>
          <w:sz w:val="24"/>
          <w:szCs w:val="24"/>
          <w:lang w:eastAsia="es-MX"/>
        </w:rPr>
        <w:t xml:space="preserve"> estuviesen sin nacionalidad hasta el 25 de septiembre de 2001. Consecuentemente, dicha denegación persistió después del 25 de marzo de 1999, fecha de reconocimiento de la competencia contenciosa de la Corte por la República Dominicana, razón por la cual este Tribunal afirma su competencia para conocer de dicha denegación.</w:t>
      </w:r>
    </w:p>
    <w:p w14:paraId="3E541A25" w14:textId="77777777" w:rsidR="003C40A8" w:rsidRPr="00AB32EA" w:rsidRDefault="003C40A8" w:rsidP="00AB32EA">
      <w:pPr>
        <w:spacing w:after="0" w:line="240" w:lineRule="auto"/>
        <w:jc w:val="both"/>
        <w:rPr>
          <w:rFonts w:cstheme="minorHAnsi"/>
          <w:sz w:val="24"/>
          <w:szCs w:val="24"/>
          <w:lang w:eastAsia="es-MX"/>
        </w:rPr>
      </w:pPr>
    </w:p>
    <w:p w14:paraId="3B7BD4CF" w14:textId="77777777" w:rsidR="003C40A8" w:rsidRPr="00AB32EA" w:rsidRDefault="003C40A8" w:rsidP="00AB32EA">
      <w:pPr>
        <w:spacing w:after="0" w:line="240" w:lineRule="auto"/>
        <w:jc w:val="both"/>
        <w:rPr>
          <w:rFonts w:cstheme="minorHAnsi"/>
          <w:sz w:val="24"/>
          <w:szCs w:val="24"/>
          <w:lang w:eastAsia="es-MX"/>
        </w:rPr>
      </w:pPr>
      <w:r w:rsidRPr="00AB32EA">
        <w:rPr>
          <w:rFonts w:cstheme="minorHAnsi"/>
          <w:sz w:val="24"/>
          <w:szCs w:val="24"/>
          <w:lang w:eastAsia="es-MX"/>
        </w:rPr>
        <w:t>La Corte consideró que el principio de derecho imperativo de protección igualitaria y efectiva de la ley y no discriminación determinaba que los Estados, al regular los mecanismos de otorgamiento de la nacionalidad, deben abstenerse de producir regulaciones discriminatorias o que tengan efectos discriminatorios en los diferentes grupos de una población al momento de ejercer sus derechos.  Además, los Estados deben combatir las prácticas discriminatorias en todos sus niveles, en especial en los órganos públicos, y finalmente debe adoptar las medidas afirmativas necesarias para asegurar una efectiva igualdad ante la ley de todas las personas.</w:t>
      </w:r>
    </w:p>
    <w:p w14:paraId="189FDB19" w14:textId="77777777" w:rsidR="003C40A8" w:rsidRPr="00AB32EA" w:rsidRDefault="003C40A8" w:rsidP="00AB32EA">
      <w:pPr>
        <w:spacing w:after="0" w:line="240" w:lineRule="auto"/>
        <w:jc w:val="both"/>
        <w:rPr>
          <w:rFonts w:cstheme="minorHAnsi"/>
          <w:sz w:val="24"/>
          <w:szCs w:val="24"/>
          <w:lang w:eastAsia="es-MX"/>
        </w:rPr>
      </w:pPr>
    </w:p>
    <w:p w14:paraId="47A51603" w14:textId="77777777" w:rsidR="003C40A8" w:rsidRPr="00AB32EA" w:rsidRDefault="003C40A8" w:rsidP="00AB32EA">
      <w:pPr>
        <w:spacing w:after="0" w:line="240" w:lineRule="auto"/>
        <w:jc w:val="both"/>
        <w:rPr>
          <w:rFonts w:cstheme="minorHAnsi"/>
          <w:sz w:val="24"/>
          <w:szCs w:val="24"/>
          <w:lang w:eastAsia="es-MX"/>
        </w:rPr>
      </w:pPr>
      <w:r w:rsidRPr="00AB32EA">
        <w:rPr>
          <w:rFonts w:cstheme="minorHAnsi"/>
          <w:sz w:val="24"/>
          <w:szCs w:val="24"/>
          <w:lang w:eastAsia="es-MX"/>
        </w:rPr>
        <w:t>La Corte consideró necesario señalar que el deber de respetar y garantizar el principio de la igualdad ante la ley y no discriminación es independiente del estatus migratorio de una persona en un Estado.  Es decir, los Estados tienen la obligación de garantizar este principio fundamental a sus ciudadanos y a toda persona extranjera que se encuentre en su territorio, sin discriminación alguna por su estancia regular o irregular, su nacionalidad, raza, género o cualquier otra causa.</w:t>
      </w:r>
    </w:p>
    <w:p w14:paraId="234A5951" w14:textId="77777777" w:rsidR="003C40A8" w:rsidRPr="00AB32EA" w:rsidRDefault="003C40A8" w:rsidP="00AB32EA">
      <w:pPr>
        <w:spacing w:after="0" w:line="240" w:lineRule="auto"/>
        <w:jc w:val="both"/>
        <w:rPr>
          <w:rFonts w:cstheme="minorHAnsi"/>
          <w:sz w:val="24"/>
          <w:szCs w:val="24"/>
          <w:lang w:eastAsia="es-MX"/>
        </w:rPr>
      </w:pPr>
    </w:p>
    <w:p w14:paraId="7651454D" w14:textId="77777777" w:rsidR="003C40A8" w:rsidRPr="00AB32EA" w:rsidRDefault="003C40A8" w:rsidP="00AB32EA">
      <w:pPr>
        <w:spacing w:after="0" w:line="240" w:lineRule="auto"/>
        <w:jc w:val="both"/>
        <w:rPr>
          <w:rFonts w:cstheme="minorHAnsi"/>
          <w:sz w:val="24"/>
          <w:szCs w:val="24"/>
          <w:lang w:eastAsia="es-MX"/>
        </w:rPr>
      </w:pPr>
      <w:r w:rsidRPr="00AB32EA">
        <w:rPr>
          <w:rFonts w:cstheme="minorHAnsi"/>
          <w:sz w:val="24"/>
          <w:szCs w:val="24"/>
          <w:lang w:eastAsia="es-MX"/>
        </w:rPr>
        <w:lastRenderedPageBreak/>
        <w:t xml:space="preserve">La Corte consideró que al presentarse ante la Oficialía del Estado Civil y realizar la solicitud de inscripción tardía las niñas hicieron exigible su derecho a la nacionalidad, para lo cual cumplieron con la presentación de la constancia de nacimiento y de la cédula de sus madres, que eran los dos requisitos que se les debía aplicar, conforme a la legislación interna pertinente y </w:t>
      </w:r>
      <w:proofErr w:type="gramStart"/>
      <w:r w:rsidRPr="00AB32EA">
        <w:rPr>
          <w:rFonts w:cstheme="minorHAnsi"/>
          <w:sz w:val="24"/>
          <w:szCs w:val="24"/>
          <w:lang w:eastAsia="es-MX"/>
        </w:rPr>
        <w:t>de acuerdo a</w:t>
      </w:r>
      <w:proofErr w:type="gramEnd"/>
      <w:r w:rsidRPr="00AB32EA">
        <w:rPr>
          <w:rFonts w:cstheme="minorHAnsi"/>
          <w:sz w:val="24"/>
          <w:szCs w:val="24"/>
          <w:lang w:eastAsia="es-MX"/>
        </w:rPr>
        <w:t xml:space="preserve"> sus edades. Pese a lo anterior, el Estado rechazó la solicitud, y denegó la nacionalidad dominicana a las presuntas víctimas.</w:t>
      </w:r>
    </w:p>
    <w:p w14:paraId="26DC82C0" w14:textId="77777777" w:rsidR="003C40A8" w:rsidRPr="00AB32EA" w:rsidRDefault="003C40A8" w:rsidP="00AB32EA">
      <w:pPr>
        <w:spacing w:after="0" w:line="240" w:lineRule="auto"/>
        <w:jc w:val="both"/>
        <w:rPr>
          <w:rFonts w:cstheme="minorHAnsi"/>
          <w:sz w:val="24"/>
          <w:szCs w:val="24"/>
          <w:lang w:eastAsia="es-MX"/>
        </w:rPr>
      </w:pPr>
    </w:p>
    <w:p w14:paraId="7490C940" w14:textId="77777777" w:rsidR="003C40A8" w:rsidRPr="00AB32EA" w:rsidRDefault="003C40A8" w:rsidP="00AB32EA">
      <w:pPr>
        <w:spacing w:after="0" w:line="240" w:lineRule="auto"/>
        <w:jc w:val="both"/>
        <w:rPr>
          <w:rFonts w:cstheme="minorHAnsi"/>
          <w:sz w:val="24"/>
          <w:szCs w:val="24"/>
          <w:lang w:eastAsia="es-MX"/>
        </w:rPr>
      </w:pPr>
      <w:r w:rsidRPr="00AB32EA">
        <w:rPr>
          <w:rFonts w:cstheme="minorHAnsi"/>
          <w:sz w:val="24"/>
          <w:szCs w:val="24"/>
          <w:lang w:eastAsia="es-MX"/>
        </w:rPr>
        <w:t xml:space="preserve">La Corte encontró que por razones discriminatorias y contrarias a la normativa interna pertinente, el Estado dejó de otorgar la nacionalidad a las niñas, lo que constituyó una privación arbitraria de su nacionalidad, y las dejó apátridas por más de cuatro años y cuatro meses, en violación de los artículos 20 y 24 de la Convención Americana, en relación con el artículo 19 de la misma, y también en relación con el artículo 1.1 de este instrumento, en perjuicio de las niñas Dilcia </w:t>
      </w:r>
      <w:proofErr w:type="spellStart"/>
      <w:r w:rsidRPr="00AB32EA">
        <w:rPr>
          <w:rFonts w:cstheme="minorHAnsi"/>
          <w:sz w:val="24"/>
          <w:szCs w:val="24"/>
          <w:lang w:eastAsia="es-MX"/>
        </w:rPr>
        <w:t>Yean</w:t>
      </w:r>
      <w:proofErr w:type="spellEnd"/>
      <w:r w:rsidRPr="00AB32EA">
        <w:rPr>
          <w:rFonts w:cstheme="minorHAnsi"/>
          <w:sz w:val="24"/>
          <w:szCs w:val="24"/>
          <w:lang w:eastAsia="es-MX"/>
        </w:rPr>
        <w:t xml:space="preserve"> y Violeta </w:t>
      </w:r>
      <w:proofErr w:type="spellStart"/>
      <w:r w:rsidRPr="00AB32EA">
        <w:rPr>
          <w:rFonts w:cstheme="minorHAnsi"/>
          <w:sz w:val="24"/>
          <w:szCs w:val="24"/>
          <w:lang w:eastAsia="es-MX"/>
        </w:rPr>
        <w:t>Bosico</w:t>
      </w:r>
      <w:proofErr w:type="spellEnd"/>
      <w:r w:rsidRPr="00AB32EA">
        <w:rPr>
          <w:rFonts w:cstheme="minorHAnsi"/>
          <w:sz w:val="24"/>
          <w:szCs w:val="24"/>
          <w:lang w:eastAsia="es-MX"/>
        </w:rPr>
        <w:t>.</w:t>
      </w:r>
    </w:p>
    <w:p w14:paraId="7185A3B8" w14:textId="77777777" w:rsidR="003C40A8" w:rsidRPr="00AB32EA" w:rsidRDefault="003C40A8" w:rsidP="00AB32EA">
      <w:pPr>
        <w:spacing w:after="0" w:line="240" w:lineRule="auto"/>
        <w:jc w:val="both"/>
        <w:rPr>
          <w:rFonts w:cstheme="minorHAnsi"/>
          <w:sz w:val="24"/>
          <w:szCs w:val="24"/>
          <w:lang w:eastAsia="es-MX"/>
        </w:rPr>
      </w:pPr>
    </w:p>
    <w:p w14:paraId="2EE6B345" w14:textId="77777777" w:rsidR="003C40A8" w:rsidRPr="00AB32EA" w:rsidRDefault="003C40A8" w:rsidP="00AB32EA">
      <w:pPr>
        <w:spacing w:after="0" w:line="240" w:lineRule="auto"/>
        <w:jc w:val="both"/>
        <w:rPr>
          <w:rFonts w:cstheme="minorHAnsi"/>
          <w:sz w:val="24"/>
          <w:szCs w:val="24"/>
          <w:lang w:eastAsia="es-MX"/>
        </w:rPr>
      </w:pPr>
      <w:r w:rsidRPr="00AB32EA">
        <w:rPr>
          <w:rFonts w:cstheme="minorHAnsi"/>
          <w:sz w:val="24"/>
          <w:szCs w:val="24"/>
          <w:lang w:eastAsia="es-MX"/>
        </w:rPr>
        <w:t xml:space="preserve">La Corte observó que la violación del derecho a la nacionalidad de las niñas </w:t>
      </w:r>
      <w:proofErr w:type="spellStart"/>
      <w:r w:rsidRPr="00AB32EA">
        <w:rPr>
          <w:rFonts w:cstheme="minorHAnsi"/>
          <w:sz w:val="24"/>
          <w:szCs w:val="24"/>
          <w:lang w:eastAsia="es-MX"/>
        </w:rPr>
        <w:t>Yean</w:t>
      </w:r>
      <w:proofErr w:type="spellEnd"/>
      <w:r w:rsidRPr="00AB32EA">
        <w:rPr>
          <w:rFonts w:cstheme="minorHAnsi"/>
          <w:sz w:val="24"/>
          <w:szCs w:val="24"/>
          <w:lang w:eastAsia="es-MX"/>
        </w:rPr>
        <w:t xml:space="preserve"> y </w:t>
      </w:r>
      <w:proofErr w:type="spellStart"/>
      <w:r w:rsidRPr="00AB32EA">
        <w:rPr>
          <w:rFonts w:cstheme="minorHAnsi"/>
          <w:sz w:val="24"/>
          <w:szCs w:val="24"/>
          <w:lang w:eastAsia="es-MX"/>
        </w:rPr>
        <w:t>Bosico</w:t>
      </w:r>
      <w:proofErr w:type="spellEnd"/>
      <w:r w:rsidRPr="00AB32EA">
        <w:rPr>
          <w:rFonts w:cstheme="minorHAnsi"/>
          <w:sz w:val="24"/>
          <w:szCs w:val="24"/>
          <w:lang w:eastAsia="es-MX"/>
        </w:rPr>
        <w:t>, la condición de apátridas en que fueron mantenidas, y el no reconocimiento de su personalidad jurídica ni de su nombre, desnaturalizó y negó la proyección externa o social de su personalidad.</w:t>
      </w:r>
    </w:p>
    <w:p w14:paraId="6378276B" w14:textId="77777777" w:rsidR="003C40A8" w:rsidRPr="00AB32EA" w:rsidRDefault="003C40A8" w:rsidP="00AB32EA">
      <w:pPr>
        <w:spacing w:after="0" w:line="240" w:lineRule="auto"/>
        <w:jc w:val="both"/>
        <w:rPr>
          <w:rFonts w:cstheme="minorHAnsi"/>
          <w:sz w:val="24"/>
          <w:szCs w:val="24"/>
          <w:lang w:eastAsia="es-MX"/>
        </w:rPr>
      </w:pPr>
    </w:p>
    <w:p w14:paraId="138D2D68" w14:textId="16947E52" w:rsidR="003C40A8" w:rsidRDefault="003C40A8" w:rsidP="00AB32EA">
      <w:pPr>
        <w:spacing w:after="0" w:line="240" w:lineRule="auto"/>
        <w:jc w:val="both"/>
        <w:rPr>
          <w:rFonts w:cstheme="minorHAnsi"/>
          <w:b/>
          <w:bCs/>
          <w:sz w:val="24"/>
          <w:szCs w:val="24"/>
          <w:lang w:eastAsia="es-MX"/>
        </w:rPr>
      </w:pPr>
      <w:r w:rsidRPr="00AA369E">
        <w:rPr>
          <w:rFonts w:cstheme="minorHAnsi"/>
          <w:b/>
          <w:bCs/>
          <w:sz w:val="24"/>
          <w:szCs w:val="24"/>
          <w:lang w:eastAsia="es-MX"/>
        </w:rPr>
        <w:t>Reparaciones</w:t>
      </w:r>
    </w:p>
    <w:p w14:paraId="59BEC5E3" w14:textId="77777777" w:rsidR="00AA369E" w:rsidRPr="00AA369E" w:rsidRDefault="00AA369E" w:rsidP="00AB32EA">
      <w:pPr>
        <w:spacing w:after="0" w:line="240" w:lineRule="auto"/>
        <w:jc w:val="both"/>
        <w:rPr>
          <w:rFonts w:cstheme="minorHAnsi"/>
          <w:b/>
          <w:bCs/>
          <w:sz w:val="24"/>
          <w:szCs w:val="24"/>
          <w:lang w:eastAsia="es-MX"/>
        </w:rPr>
      </w:pPr>
    </w:p>
    <w:p w14:paraId="2A13BA16" w14:textId="77777777" w:rsidR="003C40A8" w:rsidRPr="00AB32EA" w:rsidRDefault="003C40A8" w:rsidP="00AB32EA">
      <w:pPr>
        <w:spacing w:after="0" w:line="240" w:lineRule="auto"/>
        <w:jc w:val="both"/>
        <w:rPr>
          <w:rFonts w:cstheme="minorHAnsi"/>
          <w:sz w:val="24"/>
          <w:szCs w:val="24"/>
          <w:lang w:eastAsia="es-MX"/>
        </w:rPr>
      </w:pPr>
      <w:r w:rsidRPr="00AB32EA">
        <w:rPr>
          <w:rFonts w:cstheme="minorHAnsi"/>
          <w:sz w:val="24"/>
          <w:szCs w:val="24"/>
          <w:lang w:eastAsia="es-MX"/>
        </w:rPr>
        <w:t>La Corte dispone que:</w:t>
      </w:r>
    </w:p>
    <w:p w14:paraId="51D6A686" w14:textId="77777777" w:rsidR="003C40A8" w:rsidRPr="00AB32EA" w:rsidRDefault="003C40A8" w:rsidP="00AB32EA">
      <w:pPr>
        <w:spacing w:after="0" w:line="240" w:lineRule="auto"/>
        <w:jc w:val="both"/>
        <w:rPr>
          <w:rFonts w:cstheme="minorHAnsi"/>
          <w:sz w:val="24"/>
          <w:szCs w:val="24"/>
          <w:lang w:eastAsia="es-MX"/>
        </w:rPr>
      </w:pPr>
    </w:p>
    <w:p w14:paraId="32BF35ED" w14:textId="3A218B70" w:rsidR="003C40A8" w:rsidRPr="00AB32EA" w:rsidRDefault="003C40A8" w:rsidP="00AB32EA">
      <w:pPr>
        <w:spacing w:after="0" w:line="240" w:lineRule="auto"/>
        <w:jc w:val="both"/>
        <w:rPr>
          <w:rFonts w:cstheme="minorHAnsi"/>
          <w:sz w:val="24"/>
          <w:szCs w:val="24"/>
          <w:lang w:eastAsia="es-MX"/>
        </w:rPr>
      </w:pPr>
      <w:r w:rsidRPr="00AB32EA">
        <w:rPr>
          <w:rFonts w:cstheme="minorHAnsi"/>
          <w:sz w:val="24"/>
          <w:szCs w:val="24"/>
          <w:lang w:eastAsia="es-MX"/>
        </w:rPr>
        <w:t>1.</w:t>
      </w:r>
      <w:r w:rsidR="00AA369E">
        <w:rPr>
          <w:rFonts w:cstheme="minorHAnsi"/>
          <w:sz w:val="24"/>
          <w:szCs w:val="24"/>
          <w:lang w:eastAsia="es-MX"/>
        </w:rPr>
        <w:t xml:space="preserve"> </w:t>
      </w:r>
      <w:r w:rsidRPr="00AB32EA">
        <w:rPr>
          <w:rFonts w:cstheme="minorHAnsi"/>
          <w:sz w:val="24"/>
          <w:szCs w:val="24"/>
          <w:lang w:eastAsia="es-MX"/>
        </w:rPr>
        <w:t>Esta Sentencia constituye per se una forma de reparación.</w:t>
      </w:r>
    </w:p>
    <w:p w14:paraId="6C84975E" w14:textId="77777777" w:rsidR="003C40A8" w:rsidRPr="00AB32EA" w:rsidRDefault="003C40A8" w:rsidP="00AB32EA">
      <w:pPr>
        <w:spacing w:after="0" w:line="240" w:lineRule="auto"/>
        <w:jc w:val="both"/>
        <w:rPr>
          <w:rFonts w:cstheme="minorHAnsi"/>
          <w:sz w:val="24"/>
          <w:szCs w:val="24"/>
          <w:lang w:eastAsia="es-MX"/>
        </w:rPr>
      </w:pPr>
    </w:p>
    <w:p w14:paraId="35AFDBEC" w14:textId="5D864765" w:rsidR="003C40A8" w:rsidRPr="00AB32EA" w:rsidRDefault="003C40A8" w:rsidP="00AB32EA">
      <w:pPr>
        <w:spacing w:after="0" w:line="240" w:lineRule="auto"/>
        <w:jc w:val="both"/>
        <w:rPr>
          <w:rFonts w:cstheme="minorHAnsi"/>
          <w:sz w:val="24"/>
          <w:szCs w:val="24"/>
          <w:lang w:eastAsia="es-MX"/>
        </w:rPr>
      </w:pPr>
      <w:r w:rsidRPr="00AB32EA">
        <w:rPr>
          <w:rFonts w:cstheme="minorHAnsi"/>
          <w:sz w:val="24"/>
          <w:szCs w:val="24"/>
          <w:lang w:eastAsia="es-MX"/>
        </w:rPr>
        <w:t>2.</w:t>
      </w:r>
      <w:r w:rsidR="00AA369E">
        <w:rPr>
          <w:rFonts w:cstheme="minorHAnsi"/>
          <w:sz w:val="24"/>
          <w:szCs w:val="24"/>
          <w:lang w:eastAsia="es-MX"/>
        </w:rPr>
        <w:t xml:space="preserve"> </w:t>
      </w:r>
      <w:r w:rsidRPr="00AB32EA">
        <w:rPr>
          <w:rFonts w:cstheme="minorHAnsi"/>
          <w:sz w:val="24"/>
          <w:szCs w:val="24"/>
          <w:lang w:eastAsia="es-MX"/>
        </w:rPr>
        <w:t xml:space="preserve">El Estado debe publicar, en el plazo de seis meses, contado a partir de la notificación de la presente Sentencia en el Diario Oficial y en otro diario de circulación nacional en la República Dominicana, al menos por una vez, tanto la Sección denominada "Hechos Probados", sin las notas de pie de página correspondientes, como los puntos resolutivos de la presente Sentencia, en los términos de </w:t>
      </w:r>
      <w:proofErr w:type="gramStart"/>
      <w:r w:rsidRPr="00AB32EA">
        <w:rPr>
          <w:rFonts w:cstheme="minorHAnsi"/>
          <w:sz w:val="24"/>
          <w:szCs w:val="24"/>
          <w:lang w:eastAsia="es-MX"/>
        </w:rPr>
        <w:t>la misma</w:t>
      </w:r>
      <w:proofErr w:type="gramEnd"/>
      <w:r w:rsidRPr="00AB32EA">
        <w:rPr>
          <w:rFonts w:cstheme="minorHAnsi"/>
          <w:sz w:val="24"/>
          <w:szCs w:val="24"/>
          <w:lang w:eastAsia="es-MX"/>
        </w:rPr>
        <w:t>.</w:t>
      </w:r>
    </w:p>
    <w:p w14:paraId="3694C06E" w14:textId="77777777" w:rsidR="003C40A8" w:rsidRPr="00AB32EA" w:rsidRDefault="003C40A8" w:rsidP="00AB32EA">
      <w:pPr>
        <w:spacing w:after="0" w:line="240" w:lineRule="auto"/>
        <w:jc w:val="both"/>
        <w:rPr>
          <w:rFonts w:cstheme="minorHAnsi"/>
          <w:sz w:val="24"/>
          <w:szCs w:val="24"/>
          <w:lang w:eastAsia="es-MX"/>
        </w:rPr>
      </w:pPr>
    </w:p>
    <w:p w14:paraId="03A711AF" w14:textId="0626FD6C" w:rsidR="003C40A8" w:rsidRPr="00AB32EA" w:rsidRDefault="003C40A8" w:rsidP="00AB32EA">
      <w:pPr>
        <w:spacing w:after="0" w:line="240" w:lineRule="auto"/>
        <w:jc w:val="both"/>
        <w:rPr>
          <w:rFonts w:cstheme="minorHAnsi"/>
          <w:sz w:val="24"/>
          <w:szCs w:val="24"/>
          <w:lang w:eastAsia="es-MX"/>
        </w:rPr>
      </w:pPr>
      <w:r w:rsidRPr="00AB32EA">
        <w:rPr>
          <w:rFonts w:cstheme="minorHAnsi"/>
          <w:sz w:val="24"/>
          <w:szCs w:val="24"/>
          <w:lang w:eastAsia="es-MX"/>
        </w:rPr>
        <w:t>3.</w:t>
      </w:r>
      <w:r w:rsidR="00AA369E">
        <w:rPr>
          <w:rFonts w:cstheme="minorHAnsi"/>
          <w:sz w:val="24"/>
          <w:szCs w:val="24"/>
          <w:lang w:eastAsia="es-MX"/>
        </w:rPr>
        <w:t xml:space="preserve"> </w:t>
      </w:r>
      <w:r w:rsidRPr="00AB32EA">
        <w:rPr>
          <w:rFonts w:cstheme="minorHAnsi"/>
          <w:sz w:val="24"/>
          <w:szCs w:val="24"/>
          <w:lang w:eastAsia="es-MX"/>
        </w:rPr>
        <w:t xml:space="preserve">El Estado debe hacer un acto público de reconocimiento de responsabilidad internacional y de petición de disculpas a las víctimas Dilcia </w:t>
      </w:r>
      <w:proofErr w:type="spellStart"/>
      <w:r w:rsidRPr="00AB32EA">
        <w:rPr>
          <w:rFonts w:cstheme="minorHAnsi"/>
          <w:sz w:val="24"/>
          <w:szCs w:val="24"/>
          <w:lang w:eastAsia="es-MX"/>
        </w:rPr>
        <w:t>Yean</w:t>
      </w:r>
      <w:proofErr w:type="spellEnd"/>
      <w:r w:rsidRPr="00AB32EA">
        <w:rPr>
          <w:rFonts w:cstheme="minorHAnsi"/>
          <w:sz w:val="24"/>
          <w:szCs w:val="24"/>
          <w:lang w:eastAsia="es-MX"/>
        </w:rPr>
        <w:t xml:space="preserve"> y Violeta </w:t>
      </w:r>
      <w:proofErr w:type="spellStart"/>
      <w:r w:rsidRPr="00AB32EA">
        <w:rPr>
          <w:rFonts w:cstheme="minorHAnsi"/>
          <w:sz w:val="24"/>
          <w:szCs w:val="24"/>
          <w:lang w:eastAsia="es-MX"/>
        </w:rPr>
        <w:t>Bosico</w:t>
      </w:r>
      <w:proofErr w:type="spellEnd"/>
      <w:r w:rsidRPr="00AB32EA">
        <w:rPr>
          <w:rFonts w:cstheme="minorHAnsi"/>
          <w:sz w:val="24"/>
          <w:szCs w:val="24"/>
          <w:lang w:eastAsia="es-MX"/>
        </w:rPr>
        <w:t xml:space="preserve">, y a </w:t>
      </w:r>
      <w:proofErr w:type="spellStart"/>
      <w:r w:rsidRPr="00AB32EA">
        <w:rPr>
          <w:rFonts w:cstheme="minorHAnsi"/>
          <w:sz w:val="24"/>
          <w:szCs w:val="24"/>
          <w:lang w:eastAsia="es-MX"/>
        </w:rPr>
        <w:t>Leonidas</w:t>
      </w:r>
      <w:proofErr w:type="spellEnd"/>
      <w:r w:rsidRPr="00AB32EA">
        <w:rPr>
          <w:rFonts w:cstheme="minorHAnsi"/>
          <w:sz w:val="24"/>
          <w:szCs w:val="24"/>
          <w:lang w:eastAsia="es-MX"/>
        </w:rPr>
        <w:t xml:space="preserve"> Oliven </w:t>
      </w:r>
      <w:proofErr w:type="spellStart"/>
      <w:r w:rsidRPr="00AB32EA">
        <w:rPr>
          <w:rFonts w:cstheme="minorHAnsi"/>
          <w:sz w:val="24"/>
          <w:szCs w:val="24"/>
          <w:lang w:eastAsia="es-MX"/>
        </w:rPr>
        <w:t>Yean</w:t>
      </w:r>
      <w:proofErr w:type="spellEnd"/>
      <w:r w:rsidRPr="00AB32EA">
        <w:rPr>
          <w:rFonts w:cstheme="minorHAnsi"/>
          <w:sz w:val="24"/>
          <w:szCs w:val="24"/>
          <w:lang w:eastAsia="es-MX"/>
        </w:rPr>
        <w:t xml:space="preserve">, </w:t>
      </w:r>
      <w:proofErr w:type="spellStart"/>
      <w:r w:rsidRPr="00AB32EA">
        <w:rPr>
          <w:rFonts w:cstheme="minorHAnsi"/>
          <w:sz w:val="24"/>
          <w:szCs w:val="24"/>
          <w:lang w:eastAsia="es-MX"/>
        </w:rPr>
        <w:t>Tiramen</w:t>
      </w:r>
      <w:proofErr w:type="spellEnd"/>
      <w:r w:rsidRPr="00AB32EA">
        <w:rPr>
          <w:rFonts w:cstheme="minorHAnsi"/>
          <w:sz w:val="24"/>
          <w:szCs w:val="24"/>
          <w:lang w:eastAsia="es-MX"/>
        </w:rPr>
        <w:t xml:space="preserve"> </w:t>
      </w:r>
      <w:proofErr w:type="spellStart"/>
      <w:r w:rsidRPr="00AB32EA">
        <w:rPr>
          <w:rFonts w:cstheme="minorHAnsi"/>
          <w:sz w:val="24"/>
          <w:szCs w:val="24"/>
          <w:lang w:eastAsia="es-MX"/>
        </w:rPr>
        <w:t>Bosico</w:t>
      </w:r>
      <w:proofErr w:type="spellEnd"/>
      <w:r w:rsidRPr="00AB32EA">
        <w:rPr>
          <w:rFonts w:cstheme="minorHAnsi"/>
          <w:sz w:val="24"/>
          <w:szCs w:val="24"/>
          <w:lang w:eastAsia="es-MX"/>
        </w:rPr>
        <w:t xml:space="preserve"> </w:t>
      </w:r>
      <w:proofErr w:type="spellStart"/>
      <w:r w:rsidRPr="00AB32EA">
        <w:rPr>
          <w:rFonts w:cstheme="minorHAnsi"/>
          <w:sz w:val="24"/>
          <w:szCs w:val="24"/>
          <w:lang w:eastAsia="es-MX"/>
        </w:rPr>
        <w:t>Cofi</w:t>
      </w:r>
      <w:proofErr w:type="spellEnd"/>
      <w:r w:rsidRPr="00AB32EA">
        <w:rPr>
          <w:rFonts w:cstheme="minorHAnsi"/>
          <w:sz w:val="24"/>
          <w:szCs w:val="24"/>
          <w:lang w:eastAsia="es-MX"/>
        </w:rPr>
        <w:t xml:space="preserve"> y Teresa </w:t>
      </w:r>
      <w:proofErr w:type="spellStart"/>
      <w:r w:rsidRPr="00AB32EA">
        <w:rPr>
          <w:rFonts w:cstheme="minorHAnsi"/>
          <w:sz w:val="24"/>
          <w:szCs w:val="24"/>
          <w:lang w:eastAsia="es-MX"/>
        </w:rPr>
        <w:t>Tucent</w:t>
      </w:r>
      <w:proofErr w:type="spellEnd"/>
      <w:r w:rsidRPr="00AB32EA">
        <w:rPr>
          <w:rFonts w:cstheme="minorHAnsi"/>
          <w:sz w:val="24"/>
          <w:szCs w:val="24"/>
          <w:lang w:eastAsia="es-MX"/>
        </w:rPr>
        <w:t xml:space="preserve"> Mena, en un plazo de seis meses, con la participación de autoridades estatales, de las víctimas y sus familiares, así como de los representantes y con difusión en los medios de comunicación (radio, prensa y televisión).  El referido acto tendrá efectos de satisfacción y servirá como garantía de no repetición, en los términos de la presente Sentencia.</w:t>
      </w:r>
    </w:p>
    <w:p w14:paraId="3B5E1242" w14:textId="77777777" w:rsidR="003C40A8" w:rsidRPr="00AB32EA" w:rsidRDefault="003C40A8" w:rsidP="00AB32EA">
      <w:pPr>
        <w:spacing w:after="0" w:line="240" w:lineRule="auto"/>
        <w:jc w:val="both"/>
        <w:rPr>
          <w:rFonts w:cstheme="minorHAnsi"/>
          <w:sz w:val="24"/>
          <w:szCs w:val="24"/>
          <w:lang w:eastAsia="es-MX"/>
        </w:rPr>
      </w:pPr>
    </w:p>
    <w:p w14:paraId="22EF43D9" w14:textId="63993868" w:rsidR="003C40A8" w:rsidRPr="00AB32EA" w:rsidRDefault="003C40A8" w:rsidP="00AB32EA">
      <w:pPr>
        <w:spacing w:after="0" w:line="240" w:lineRule="auto"/>
        <w:jc w:val="both"/>
        <w:rPr>
          <w:rFonts w:cstheme="minorHAnsi"/>
          <w:sz w:val="24"/>
          <w:szCs w:val="24"/>
          <w:lang w:eastAsia="es-MX"/>
        </w:rPr>
      </w:pPr>
      <w:r w:rsidRPr="00AB32EA">
        <w:rPr>
          <w:rFonts w:cstheme="minorHAnsi"/>
          <w:sz w:val="24"/>
          <w:szCs w:val="24"/>
          <w:lang w:eastAsia="es-MX"/>
        </w:rPr>
        <w:t>4.</w:t>
      </w:r>
      <w:r w:rsidR="00AA369E">
        <w:rPr>
          <w:rFonts w:cstheme="minorHAnsi"/>
          <w:sz w:val="24"/>
          <w:szCs w:val="24"/>
          <w:lang w:eastAsia="es-MX"/>
        </w:rPr>
        <w:t xml:space="preserve"> </w:t>
      </w:r>
      <w:r w:rsidRPr="00AB32EA">
        <w:rPr>
          <w:rFonts w:cstheme="minorHAnsi"/>
          <w:sz w:val="24"/>
          <w:szCs w:val="24"/>
          <w:lang w:eastAsia="es-MX"/>
        </w:rPr>
        <w:t xml:space="preserve">El Estado debe adoptar en su derecho interno, dentro de un plazo razonable, de acuerdo con el artículo 2 de la Convención Americana, las medidas legislativas, administrativas y de cualquier otra índole que sean necesarias para regular el procedimiento y los requisitos conducentes a adquirir la nacionalidad dominicana, mediante la declaración tardía de nacimiento.  Dicho procedimiento debe ser sencillo, accesible y razonable, en consideración </w:t>
      </w:r>
      <w:r w:rsidRPr="00AB32EA">
        <w:rPr>
          <w:rFonts w:cstheme="minorHAnsi"/>
          <w:sz w:val="24"/>
          <w:szCs w:val="24"/>
          <w:lang w:eastAsia="es-MX"/>
        </w:rPr>
        <w:lastRenderedPageBreak/>
        <w:t>de que, de otra forma, los solicitantes pudieran quedar en condición de ser apátridas.  Además, debe existir un recurso efectivo para los casos en que sea denegada la solicitud, en los términos de la Convención Americana, de conformidad con la presente Sentencia.</w:t>
      </w:r>
    </w:p>
    <w:p w14:paraId="500A9574" w14:textId="77777777" w:rsidR="003C40A8" w:rsidRPr="00AB32EA" w:rsidRDefault="003C40A8" w:rsidP="00AB32EA">
      <w:pPr>
        <w:spacing w:after="0" w:line="240" w:lineRule="auto"/>
        <w:jc w:val="both"/>
        <w:rPr>
          <w:rFonts w:cstheme="minorHAnsi"/>
          <w:sz w:val="24"/>
          <w:szCs w:val="24"/>
          <w:lang w:eastAsia="es-MX"/>
        </w:rPr>
      </w:pPr>
    </w:p>
    <w:p w14:paraId="411450C4" w14:textId="4B607957" w:rsidR="003C40A8" w:rsidRPr="00AB32EA" w:rsidRDefault="003C40A8" w:rsidP="00AB32EA">
      <w:pPr>
        <w:spacing w:after="0" w:line="240" w:lineRule="auto"/>
        <w:jc w:val="both"/>
        <w:rPr>
          <w:rFonts w:cstheme="minorHAnsi"/>
          <w:sz w:val="24"/>
          <w:szCs w:val="24"/>
          <w:lang w:eastAsia="es-MX"/>
        </w:rPr>
      </w:pPr>
      <w:r w:rsidRPr="00AB32EA">
        <w:rPr>
          <w:rFonts w:cstheme="minorHAnsi"/>
          <w:sz w:val="24"/>
          <w:szCs w:val="24"/>
          <w:lang w:eastAsia="es-MX"/>
        </w:rPr>
        <w:t>5.</w:t>
      </w:r>
      <w:r w:rsidR="00AA369E">
        <w:rPr>
          <w:rFonts w:cstheme="minorHAnsi"/>
          <w:sz w:val="24"/>
          <w:szCs w:val="24"/>
          <w:lang w:eastAsia="es-MX"/>
        </w:rPr>
        <w:t xml:space="preserve"> </w:t>
      </w:r>
      <w:r w:rsidRPr="00AB32EA">
        <w:rPr>
          <w:rFonts w:cstheme="minorHAnsi"/>
          <w:sz w:val="24"/>
          <w:szCs w:val="24"/>
          <w:lang w:eastAsia="es-MX"/>
        </w:rPr>
        <w:t xml:space="preserve">El Estado debe pagar, por concepto de indemnización por daño inmaterial, la cantidad fijada en el párrafo 226 de la presente Sentencia, a la niña Dilcia </w:t>
      </w:r>
      <w:proofErr w:type="spellStart"/>
      <w:r w:rsidRPr="00AB32EA">
        <w:rPr>
          <w:rFonts w:cstheme="minorHAnsi"/>
          <w:sz w:val="24"/>
          <w:szCs w:val="24"/>
          <w:lang w:eastAsia="es-MX"/>
        </w:rPr>
        <w:t>Yean</w:t>
      </w:r>
      <w:proofErr w:type="spellEnd"/>
      <w:r w:rsidRPr="00AB32EA">
        <w:rPr>
          <w:rFonts w:cstheme="minorHAnsi"/>
          <w:sz w:val="24"/>
          <w:szCs w:val="24"/>
          <w:lang w:eastAsia="es-MX"/>
        </w:rPr>
        <w:t xml:space="preserve">, y la cantidad fijada en el mismo párrafo a la niña Violeta </w:t>
      </w:r>
      <w:proofErr w:type="spellStart"/>
      <w:r w:rsidRPr="00AB32EA">
        <w:rPr>
          <w:rFonts w:cstheme="minorHAnsi"/>
          <w:sz w:val="24"/>
          <w:szCs w:val="24"/>
          <w:lang w:eastAsia="es-MX"/>
        </w:rPr>
        <w:t>Bosico</w:t>
      </w:r>
      <w:proofErr w:type="spellEnd"/>
      <w:r w:rsidRPr="00AB32EA">
        <w:rPr>
          <w:rFonts w:cstheme="minorHAnsi"/>
          <w:sz w:val="24"/>
          <w:szCs w:val="24"/>
          <w:lang w:eastAsia="es-MX"/>
        </w:rPr>
        <w:t>.</w:t>
      </w:r>
    </w:p>
    <w:p w14:paraId="436B4FF0" w14:textId="77777777" w:rsidR="003C40A8" w:rsidRPr="00AB32EA" w:rsidRDefault="003C40A8" w:rsidP="00AB32EA">
      <w:pPr>
        <w:spacing w:after="0" w:line="240" w:lineRule="auto"/>
        <w:jc w:val="both"/>
        <w:rPr>
          <w:rFonts w:cstheme="minorHAnsi"/>
          <w:sz w:val="24"/>
          <w:szCs w:val="24"/>
          <w:lang w:eastAsia="es-MX"/>
        </w:rPr>
      </w:pPr>
    </w:p>
    <w:p w14:paraId="06E670C6" w14:textId="7B98D015" w:rsidR="003C40A8" w:rsidRPr="00AB32EA" w:rsidRDefault="003C40A8" w:rsidP="00AB32EA">
      <w:pPr>
        <w:spacing w:after="0" w:line="240" w:lineRule="auto"/>
        <w:jc w:val="both"/>
        <w:rPr>
          <w:rFonts w:cstheme="minorHAnsi"/>
          <w:sz w:val="24"/>
          <w:szCs w:val="24"/>
          <w:lang w:eastAsia="es-MX"/>
        </w:rPr>
      </w:pPr>
      <w:r w:rsidRPr="00AB32EA">
        <w:rPr>
          <w:rFonts w:cstheme="minorHAnsi"/>
          <w:sz w:val="24"/>
          <w:szCs w:val="24"/>
          <w:lang w:eastAsia="es-MX"/>
        </w:rPr>
        <w:t>6.</w:t>
      </w:r>
      <w:r w:rsidR="00AA369E">
        <w:rPr>
          <w:rFonts w:cstheme="minorHAnsi"/>
          <w:sz w:val="24"/>
          <w:szCs w:val="24"/>
          <w:lang w:eastAsia="es-MX"/>
        </w:rPr>
        <w:t xml:space="preserve"> </w:t>
      </w:r>
      <w:r w:rsidRPr="00AB32EA">
        <w:rPr>
          <w:rFonts w:cstheme="minorHAnsi"/>
          <w:sz w:val="24"/>
          <w:szCs w:val="24"/>
          <w:lang w:eastAsia="es-MX"/>
        </w:rPr>
        <w:t xml:space="preserve">El Estado debe pagar, por concepto de las costas y gastos generados en el ámbito interno e internacional ante el sistema interamericano de protección de los derechos humanos, la cantidad fijada en el párrafo 250 de la presente sentencia a las señoras </w:t>
      </w:r>
      <w:proofErr w:type="spellStart"/>
      <w:r w:rsidRPr="00AB32EA">
        <w:rPr>
          <w:rFonts w:cstheme="minorHAnsi"/>
          <w:sz w:val="24"/>
          <w:szCs w:val="24"/>
          <w:lang w:eastAsia="es-MX"/>
        </w:rPr>
        <w:t>Leonidas</w:t>
      </w:r>
      <w:proofErr w:type="spellEnd"/>
      <w:r w:rsidRPr="00AB32EA">
        <w:rPr>
          <w:rFonts w:cstheme="minorHAnsi"/>
          <w:sz w:val="24"/>
          <w:szCs w:val="24"/>
          <w:lang w:eastAsia="es-MX"/>
        </w:rPr>
        <w:t xml:space="preserve"> Oliven </w:t>
      </w:r>
      <w:proofErr w:type="spellStart"/>
      <w:r w:rsidRPr="00AB32EA">
        <w:rPr>
          <w:rFonts w:cstheme="minorHAnsi"/>
          <w:sz w:val="24"/>
          <w:szCs w:val="24"/>
          <w:lang w:eastAsia="es-MX"/>
        </w:rPr>
        <w:t>Yean</w:t>
      </w:r>
      <w:proofErr w:type="spellEnd"/>
      <w:r w:rsidRPr="00AB32EA">
        <w:rPr>
          <w:rFonts w:cstheme="minorHAnsi"/>
          <w:sz w:val="24"/>
          <w:szCs w:val="24"/>
          <w:lang w:eastAsia="es-MX"/>
        </w:rPr>
        <w:t xml:space="preserve"> y </w:t>
      </w:r>
      <w:proofErr w:type="spellStart"/>
      <w:r w:rsidRPr="00AB32EA">
        <w:rPr>
          <w:rFonts w:cstheme="minorHAnsi"/>
          <w:sz w:val="24"/>
          <w:szCs w:val="24"/>
          <w:lang w:eastAsia="es-MX"/>
        </w:rPr>
        <w:t>Tiramen</w:t>
      </w:r>
      <w:proofErr w:type="spellEnd"/>
      <w:r w:rsidRPr="00AB32EA">
        <w:rPr>
          <w:rFonts w:cstheme="minorHAnsi"/>
          <w:sz w:val="24"/>
          <w:szCs w:val="24"/>
          <w:lang w:eastAsia="es-MX"/>
        </w:rPr>
        <w:t xml:space="preserve"> </w:t>
      </w:r>
      <w:proofErr w:type="spellStart"/>
      <w:r w:rsidRPr="00AB32EA">
        <w:rPr>
          <w:rFonts w:cstheme="minorHAnsi"/>
          <w:sz w:val="24"/>
          <w:szCs w:val="24"/>
          <w:lang w:eastAsia="es-MX"/>
        </w:rPr>
        <w:t>Bosico</w:t>
      </w:r>
      <w:proofErr w:type="spellEnd"/>
      <w:r w:rsidRPr="00AB32EA">
        <w:rPr>
          <w:rFonts w:cstheme="minorHAnsi"/>
          <w:sz w:val="24"/>
          <w:szCs w:val="24"/>
          <w:lang w:eastAsia="es-MX"/>
        </w:rPr>
        <w:t xml:space="preserve"> </w:t>
      </w:r>
      <w:proofErr w:type="spellStart"/>
      <w:r w:rsidRPr="00AB32EA">
        <w:rPr>
          <w:rFonts w:cstheme="minorHAnsi"/>
          <w:sz w:val="24"/>
          <w:szCs w:val="24"/>
          <w:lang w:eastAsia="es-MX"/>
        </w:rPr>
        <w:t>Cofi</w:t>
      </w:r>
      <w:proofErr w:type="spellEnd"/>
      <w:r w:rsidRPr="00AB32EA">
        <w:rPr>
          <w:rFonts w:cstheme="minorHAnsi"/>
          <w:sz w:val="24"/>
          <w:szCs w:val="24"/>
          <w:lang w:eastAsia="es-MX"/>
        </w:rPr>
        <w:t xml:space="preserve">, quienes efectuarán los pagos al Movimiento de Mujeres Domínico Haitianas (MUDHA), al Centro por la Justicia y el Derecho Internacional (CEJIL), y a la International Human </w:t>
      </w:r>
      <w:proofErr w:type="spellStart"/>
      <w:r w:rsidRPr="00AB32EA">
        <w:rPr>
          <w:rFonts w:cstheme="minorHAnsi"/>
          <w:sz w:val="24"/>
          <w:szCs w:val="24"/>
          <w:lang w:eastAsia="es-MX"/>
        </w:rPr>
        <w:t>Rights</w:t>
      </w:r>
      <w:proofErr w:type="spellEnd"/>
      <w:r w:rsidRPr="00AB32EA">
        <w:rPr>
          <w:rFonts w:cstheme="minorHAnsi"/>
          <w:sz w:val="24"/>
          <w:szCs w:val="24"/>
          <w:lang w:eastAsia="es-MX"/>
        </w:rPr>
        <w:t xml:space="preserve"> </w:t>
      </w:r>
      <w:proofErr w:type="spellStart"/>
      <w:r w:rsidRPr="00AB32EA">
        <w:rPr>
          <w:rFonts w:cstheme="minorHAnsi"/>
          <w:sz w:val="24"/>
          <w:szCs w:val="24"/>
          <w:lang w:eastAsia="es-MX"/>
        </w:rPr>
        <w:t>Law</w:t>
      </w:r>
      <w:proofErr w:type="spellEnd"/>
      <w:r w:rsidRPr="00AB32EA">
        <w:rPr>
          <w:rFonts w:cstheme="minorHAnsi"/>
          <w:sz w:val="24"/>
          <w:szCs w:val="24"/>
          <w:lang w:eastAsia="es-MX"/>
        </w:rPr>
        <w:t xml:space="preserve"> </w:t>
      </w:r>
      <w:proofErr w:type="spellStart"/>
      <w:r w:rsidRPr="00AB32EA">
        <w:rPr>
          <w:rFonts w:cstheme="minorHAnsi"/>
          <w:sz w:val="24"/>
          <w:szCs w:val="24"/>
          <w:lang w:eastAsia="es-MX"/>
        </w:rPr>
        <w:t>Clinic</w:t>
      </w:r>
      <w:proofErr w:type="spellEnd"/>
      <w:r w:rsidRPr="00AB32EA">
        <w:rPr>
          <w:rFonts w:cstheme="minorHAnsi"/>
          <w:sz w:val="24"/>
          <w:szCs w:val="24"/>
          <w:lang w:eastAsia="es-MX"/>
        </w:rPr>
        <w:t xml:space="preserve">, </w:t>
      </w:r>
      <w:proofErr w:type="spellStart"/>
      <w:r w:rsidRPr="00AB32EA">
        <w:rPr>
          <w:rFonts w:cstheme="minorHAnsi"/>
          <w:sz w:val="24"/>
          <w:szCs w:val="24"/>
          <w:lang w:eastAsia="es-MX"/>
        </w:rPr>
        <w:t>School</w:t>
      </w:r>
      <w:proofErr w:type="spellEnd"/>
      <w:r w:rsidRPr="00AB32EA">
        <w:rPr>
          <w:rFonts w:cstheme="minorHAnsi"/>
          <w:sz w:val="24"/>
          <w:szCs w:val="24"/>
          <w:lang w:eastAsia="es-MX"/>
        </w:rPr>
        <w:t xml:space="preserve"> </w:t>
      </w:r>
      <w:proofErr w:type="spellStart"/>
      <w:r w:rsidRPr="00AB32EA">
        <w:rPr>
          <w:rFonts w:cstheme="minorHAnsi"/>
          <w:sz w:val="24"/>
          <w:szCs w:val="24"/>
          <w:lang w:eastAsia="es-MX"/>
        </w:rPr>
        <w:t>of</w:t>
      </w:r>
      <w:proofErr w:type="spellEnd"/>
      <w:r w:rsidRPr="00AB32EA">
        <w:rPr>
          <w:rFonts w:cstheme="minorHAnsi"/>
          <w:sz w:val="24"/>
          <w:szCs w:val="24"/>
          <w:lang w:eastAsia="es-MX"/>
        </w:rPr>
        <w:t xml:space="preserve"> </w:t>
      </w:r>
      <w:proofErr w:type="spellStart"/>
      <w:r w:rsidRPr="00AB32EA">
        <w:rPr>
          <w:rFonts w:cstheme="minorHAnsi"/>
          <w:sz w:val="24"/>
          <w:szCs w:val="24"/>
          <w:lang w:eastAsia="es-MX"/>
        </w:rPr>
        <w:t>Law</w:t>
      </w:r>
      <w:proofErr w:type="spellEnd"/>
      <w:r w:rsidRPr="00AB32EA">
        <w:rPr>
          <w:rFonts w:cstheme="minorHAnsi"/>
          <w:sz w:val="24"/>
          <w:szCs w:val="24"/>
          <w:lang w:eastAsia="es-MX"/>
        </w:rPr>
        <w:t xml:space="preserve"> (</w:t>
      </w:r>
      <w:proofErr w:type="spellStart"/>
      <w:r w:rsidRPr="00AB32EA">
        <w:rPr>
          <w:rFonts w:cstheme="minorHAnsi"/>
          <w:sz w:val="24"/>
          <w:szCs w:val="24"/>
          <w:lang w:eastAsia="es-MX"/>
        </w:rPr>
        <w:t>Boalt</w:t>
      </w:r>
      <w:proofErr w:type="spellEnd"/>
      <w:r w:rsidRPr="00AB32EA">
        <w:rPr>
          <w:rFonts w:cstheme="minorHAnsi"/>
          <w:sz w:val="24"/>
          <w:szCs w:val="24"/>
          <w:lang w:eastAsia="es-MX"/>
        </w:rPr>
        <w:t xml:space="preserve"> Hall), </w:t>
      </w:r>
      <w:proofErr w:type="spellStart"/>
      <w:r w:rsidRPr="00AB32EA">
        <w:rPr>
          <w:rFonts w:cstheme="minorHAnsi"/>
          <w:sz w:val="24"/>
          <w:szCs w:val="24"/>
          <w:lang w:eastAsia="es-MX"/>
        </w:rPr>
        <w:t>University</w:t>
      </w:r>
      <w:proofErr w:type="spellEnd"/>
      <w:r w:rsidRPr="00AB32EA">
        <w:rPr>
          <w:rFonts w:cstheme="minorHAnsi"/>
          <w:sz w:val="24"/>
          <w:szCs w:val="24"/>
          <w:lang w:eastAsia="es-MX"/>
        </w:rPr>
        <w:t xml:space="preserve"> </w:t>
      </w:r>
      <w:proofErr w:type="spellStart"/>
      <w:r w:rsidRPr="00AB32EA">
        <w:rPr>
          <w:rFonts w:cstheme="minorHAnsi"/>
          <w:sz w:val="24"/>
          <w:szCs w:val="24"/>
          <w:lang w:eastAsia="es-MX"/>
        </w:rPr>
        <w:t>of</w:t>
      </w:r>
      <w:proofErr w:type="spellEnd"/>
      <w:r w:rsidRPr="00AB32EA">
        <w:rPr>
          <w:rFonts w:cstheme="minorHAnsi"/>
          <w:sz w:val="24"/>
          <w:szCs w:val="24"/>
          <w:lang w:eastAsia="es-MX"/>
        </w:rPr>
        <w:t xml:space="preserve"> California, Berkeley para compensar los gastos realizados por éstos.</w:t>
      </w:r>
    </w:p>
    <w:p w14:paraId="51811373" w14:textId="77777777" w:rsidR="003C40A8" w:rsidRPr="00AB32EA" w:rsidRDefault="003C40A8" w:rsidP="00AB32EA">
      <w:pPr>
        <w:spacing w:after="0" w:line="240" w:lineRule="auto"/>
        <w:jc w:val="both"/>
        <w:rPr>
          <w:rFonts w:cstheme="minorHAnsi"/>
          <w:sz w:val="24"/>
          <w:szCs w:val="24"/>
          <w:lang w:eastAsia="es-MX"/>
        </w:rPr>
      </w:pPr>
    </w:p>
    <w:p w14:paraId="5FD41378" w14:textId="77777777" w:rsidR="003C40A8" w:rsidRPr="00AB32EA" w:rsidRDefault="003C40A8" w:rsidP="00AB32EA">
      <w:pPr>
        <w:spacing w:after="0" w:line="240" w:lineRule="auto"/>
        <w:jc w:val="both"/>
        <w:rPr>
          <w:rFonts w:cstheme="minorHAnsi"/>
          <w:sz w:val="24"/>
          <w:szCs w:val="24"/>
          <w:lang w:eastAsia="es-MX"/>
        </w:rPr>
      </w:pPr>
      <w:r w:rsidRPr="00AB32EA">
        <w:rPr>
          <w:rFonts w:cstheme="minorHAnsi"/>
          <w:sz w:val="24"/>
          <w:szCs w:val="24"/>
          <w:lang w:eastAsia="es-MX"/>
        </w:rPr>
        <w:t>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068CB396" w14:textId="77777777" w:rsidR="003C40A8" w:rsidRPr="00AB32EA" w:rsidRDefault="003C40A8" w:rsidP="00AB32EA">
      <w:pPr>
        <w:spacing w:after="0" w:line="240" w:lineRule="auto"/>
        <w:jc w:val="both"/>
        <w:rPr>
          <w:rFonts w:cstheme="minorHAnsi"/>
          <w:sz w:val="24"/>
          <w:szCs w:val="24"/>
          <w:lang w:eastAsia="es-MX"/>
        </w:rPr>
      </w:pPr>
    </w:p>
    <w:p w14:paraId="5ED22887" w14:textId="3073A3B3" w:rsidR="003C40A8" w:rsidRDefault="003C40A8" w:rsidP="00AB32EA">
      <w:pPr>
        <w:spacing w:after="0" w:line="240" w:lineRule="auto"/>
        <w:jc w:val="both"/>
        <w:rPr>
          <w:rFonts w:cstheme="minorHAnsi"/>
          <w:b/>
          <w:bCs/>
          <w:sz w:val="24"/>
          <w:szCs w:val="24"/>
          <w:lang w:eastAsia="es-MX"/>
        </w:rPr>
      </w:pPr>
      <w:r w:rsidRPr="00AA369E">
        <w:rPr>
          <w:rFonts w:cstheme="minorHAnsi"/>
          <w:b/>
          <w:bCs/>
          <w:sz w:val="24"/>
          <w:szCs w:val="24"/>
          <w:lang w:eastAsia="es-MX"/>
        </w:rPr>
        <w:t>Resolutivos</w:t>
      </w:r>
    </w:p>
    <w:p w14:paraId="5F5BDD6C" w14:textId="77777777" w:rsidR="00AA369E" w:rsidRPr="00AA369E" w:rsidRDefault="00AA369E" w:rsidP="00AB32EA">
      <w:pPr>
        <w:spacing w:after="0" w:line="240" w:lineRule="auto"/>
        <w:jc w:val="both"/>
        <w:rPr>
          <w:rFonts w:cstheme="minorHAnsi"/>
          <w:b/>
          <w:bCs/>
          <w:sz w:val="24"/>
          <w:szCs w:val="24"/>
          <w:lang w:eastAsia="es-MX"/>
        </w:rPr>
      </w:pPr>
    </w:p>
    <w:p w14:paraId="3F69B53C" w14:textId="77777777" w:rsidR="003C40A8" w:rsidRPr="00AB32EA" w:rsidRDefault="003C40A8" w:rsidP="00AB32EA">
      <w:pPr>
        <w:spacing w:after="0" w:line="240" w:lineRule="auto"/>
        <w:jc w:val="both"/>
        <w:rPr>
          <w:rFonts w:cstheme="minorHAnsi"/>
          <w:sz w:val="24"/>
          <w:szCs w:val="24"/>
          <w:lang w:eastAsia="es-MX"/>
        </w:rPr>
      </w:pPr>
      <w:r w:rsidRPr="00AB32EA">
        <w:rPr>
          <w:rFonts w:cstheme="minorHAnsi"/>
          <w:sz w:val="24"/>
          <w:szCs w:val="24"/>
          <w:lang w:eastAsia="es-MX"/>
        </w:rPr>
        <w:t>La Corte declara por unanimidad, que:</w:t>
      </w:r>
    </w:p>
    <w:p w14:paraId="555A91BE" w14:textId="77777777" w:rsidR="003C40A8" w:rsidRPr="00AB32EA" w:rsidRDefault="003C40A8" w:rsidP="00AB32EA">
      <w:pPr>
        <w:spacing w:after="0" w:line="240" w:lineRule="auto"/>
        <w:jc w:val="both"/>
        <w:rPr>
          <w:rFonts w:cstheme="minorHAnsi"/>
          <w:sz w:val="24"/>
          <w:szCs w:val="24"/>
          <w:lang w:eastAsia="es-MX"/>
        </w:rPr>
      </w:pPr>
    </w:p>
    <w:p w14:paraId="0E9602CA" w14:textId="592FC995" w:rsidR="003C40A8" w:rsidRPr="00AB32EA" w:rsidRDefault="003C40A8" w:rsidP="00AB32EA">
      <w:pPr>
        <w:spacing w:after="0" w:line="240" w:lineRule="auto"/>
        <w:jc w:val="both"/>
        <w:rPr>
          <w:rFonts w:cstheme="minorHAnsi"/>
          <w:sz w:val="24"/>
          <w:szCs w:val="24"/>
          <w:lang w:eastAsia="es-MX"/>
        </w:rPr>
      </w:pPr>
      <w:r w:rsidRPr="00AB32EA">
        <w:rPr>
          <w:rFonts w:cstheme="minorHAnsi"/>
          <w:sz w:val="24"/>
          <w:szCs w:val="24"/>
          <w:lang w:eastAsia="es-MX"/>
        </w:rPr>
        <w:t>1.</w:t>
      </w:r>
      <w:r w:rsidR="00AA369E">
        <w:rPr>
          <w:rFonts w:cstheme="minorHAnsi"/>
          <w:sz w:val="24"/>
          <w:szCs w:val="24"/>
          <w:lang w:eastAsia="es-MX"/>
        </w:rPr>
        <w:t xml:space="preserve"> </w:t>
      </w:r>
      <w:r w:rsidRPr="00AB32EA">
        <w:rPr>
          <w:rFonts w:cstheme="minorHAnsi"/>
          <w:sz w:val="24"/>
          <w:szCs w:val="24"/>
          <w:lang w:eastAsia="es-MX"/>
        </w:rPr>
        <w:t xml:space="preserve">El Estado violó los derechos a la nacionalidad y a la igualdad ante la ley consagrados, respectivamente, en los artículos 20 y 24 de la Convención Americana, en relación con el artículo 19 de la misma, y </w:t>
      </w:r>
      <w:proofErr w:type="spellStart"/>
      <w:r w:rsidRPr="00AB32EA">
        <w:rPr>
          <w:rFonts w:cstheme="minorHAnsi"/>
          <w:sz w:val="24"/>
          <w:szCs w:val="24"/>
          <w:lang w:eastAsia="es-MX"/>
        </w:rPr>
        <w:t>tambiénen</w:t>
      </w:r>
      <w:proofErr w:type="spellEnd"/>
      <w:r w:rsidRPr="00AB32EA">
        <w:rPr>
          <w:rFonts w:cstheme="minorHAnsi"/>
          <w:sz w:val="24"/>
          <w:szCs w:val="24"/>
          <w:lang w:eastAsia="es-MX"/>
        </w:rPr>
        <w:t xml:space="preserve"> relación con el artículo 1.1 de este instrumento, en perjuicio de las niñas Dilcia </w:t>
      </w:r>
      <w:proofErr w:type="spellStart"/>
      <w:r w:rsidRPr="00AB32EA">
        <w:rPr>
          <w:rFonts w:cstheme="minorHAnsi"/>
          <w:sz w:val="24"/>
          <w:szCs w:val="24"/>
          <w:lang w:eastAsia="es-MX"/>
        </w:rPr>
        <w:t>Yean</w:t>
      </w:r>
      <w:proofErr w:type="spellEnd"/>
      <w:r w:rsidRPr="00AB32EA">
        <w:rPr>
          <w:rFonts w:cstheme="minorHAnsi"/>
          <w:sz w:val="24"/>
          <w:szCs w:val="24"/>
          <w:lang w:eastAsia="es-MX"/>
        </w:rPr>
        <w:t xml:space="preserve"> y Violeta </w:t>
      </w:r>
      <w:proofErr w:type="spellStart"/>
      <w:r w:rsidRPr="00AB32EA">
        <w:rPr>
          <w:rFonts w:cstheme="minorHAnsi"/>
          <w:sz w:val="24"/>
          <w:szCs w:val="24"/>
          <w:lang w:eastAsia="es-MX"/>
        </w:rPr>
        <w:t>Bosico</w:t>
      </w:r>
      <w:proofErr w:type="spellEnd"/>
      <w:r w:rsidRPr="00AB32EA">
        <w:rPr>
          <w:rFonts w:cstheme="minorHAnsi"/>
          <w:sz w:val="24"/>
          <w:szCs w:val="24"/>
          <w:lang w:eastAsia="es-MX"/>
        </w:rPr>
        <w:t>, en los términos de la presente Sentencia.</w:t>
      </w:r>
    </w:p>
    <w:p w14:paraId="2BF5ADEA" w14:textId="77777777" w:rsidR="003C40A8" w:rsidRPr="00AB32EA" w:rsidRDefault="003C40A8" w:rsidP="00AB32EA">
      <w:pPr>
        <w:spacing w:after="0" w:line="240" w:lineRule="auto"/>
        <w:jc w:val="both"/>
        <w:rPr>
          <w:rFonts w:cstheme="minorHAnsi"/>
          <w:sz w:val="24"/>
          <w:szCs w:val="24"/>
          <w:lang w:eastAsia="es-MX"/>
        </w:rPr>
      </w:pPr>
    </w:p>
    <w:p w14:paraId="0B1DBC22" w14:textId="0AB5E71B" w:rsidR="003C40A8" w:rsidRPr="00AB32EA" w:rsidRDefault="003C40A8" w:rsidP="00AB32EA">
      <w:pPr>
        <w:spacing w:after="0" w:line="240" w:lineRule="auto"/>
        <w:jc w:val="both"/>
        <w:rPr>
          <w:rFonts w:cstheme="minorHAnsi"/>
          <w:sz w:val="24"/>
          <w:szCs w:val="24"/>
          <w:lang w:eastAsia="es-MX"/>
        </w:rPr>
      </w:pPr>
      <w:r w:rsidRPr="00AB32EA">
        <w:rPr>
          <w:rFonts w:cstheme="minorHAnsi"/>
          <w:sz w:val="24"/>
          <w:szCs w:val="24"/>
          <w:lang w:eastAsia="es-MX"/>
        </w:rPr>
        <w:t>2.</w:t>
      </w:r>
      <w:r w:rsidR="002E5FB8">
        <w:rPr>
          <w:rFonts w:cstheme="minorHAnsi"/>
          <w:sz w:val="24"/>
          <w:szCs w:val="24"/>
          <w:lang w:eastAsia="es-MX"/>
        </w:rPr>
        <w:t xml:space="preserve"> </w:t>
      </w:r>
      <w:r w:rsidRPr="00AB32EA">
        <w:rPr>
          <w:rFonts w:cstheme="minorHAnsi"/>
          <w:sz w:val="24"/>
          <w:szCs w:val="24"/>
          <w:lang w:eastAsia="es-MX"/>
        </w:rPr>
        <w:t xml:space="preserve">El Estado violó los derechos al nombre y al derecho al reconocimiento de la personalidad jurídica consagrados, respectivamente, en los artículos 3 y 18 de la Convención </w:t>
      </w:r>
      <w:proofErr w:type="spellStart"/>
      <w:proofErr w:type="gramStart"/>
      <w:r w:rsidRPr="00AB32EA">
        <w:rPr>
          <w:rFonts w:cstheme="minorHAnsi"/>
          <w:sz w:val="24"/>
          <w:szCs w:val="24"/>
          <w:lang w:eastAsia="es-MX"/>
        </w:rPr>
        <w:t>Americana,en</w:t>
      </w:r>
      <w:proofErr w:type="spellEnd"/>
      <w:proofErr w:type="gramEnd"/>
      <w:r w:rsidRPr="00AB32EA">
        <w:rPr>
          <w:rFonts w:cstheme="minorHAnsi"/>
          <w:sz w:val="24"/>
          <w:szCs w:val="24"/>
          <w:lang w:eastAsia="es-MX"/>
        </w:rPr>
        <w:t xml:space="preserve"> relación con el artículo 19 de la misma, y también en relación con el artículo 1.1 de este instrumento, en perjuicio de las niñas Dilcia </w:t>
      </w:r>
      <w:proofErr w:type="spellStart"/>
      <w:r w:rsidRPr="00AB32EA">
        <w:rPr>
          <w:rFonts w:cstheme="minorHAnsi"/>
          <w:sz w:val="24"/>
          <w:szCs w:val="24"/>
          <w:lang w:eastAsia="es-MX"/>
        </w:rPr>
        <w:t>Yean</w:t>
      </w:r>
      <w:proofErr w:type="spellEnd"/>
      <w:r w:rsidRPr="00AB32EA">
        <w:rPr>
          <w:rFonts w:cstheme="minorHAnsi"/>
          <w:sz w:val="24"/>
          <w:szCs w:val="24"/>
          <w:lang w:eastAsia="es-MX"/>
        </w:rPr>
        <w:t xml:space="preserve"> y Violeta </w:t>
      </w:r>
      <w:proofErr w:type="spellStart"/>
      <w:r w:rsidRPr="00AB32EA">
        <w:rPr>
          <w:rFonts w:cstheme="minorHAnsi"/>
          <w:sz w:val="24"/>
          <w:szCs w:val="24"/>
          <w:lang w:eastAsia="es-MX"/>
        </w:rPr>
        <w:t>Bosico</w:t>
      </w:r>
      <w:proofErr w:type="spellEnd"/>
      <w:r w:rsidRPr="00AB32EA">
        <w:rPr>
          <w:rFonts w:cstheme="minorHAnsi"/>
          <w:sz w:val="24"/>
          <w:szCs w:val="24"/>
          <w:lang w:eastAsia="es-MX"/>
        </w:rPr>
        <w:t>, en los términos de la presente Sentencia.</w:t>
      </w:r>
    </w:p>
    <w:p w14:paraId="0EC71AD4" w14:textId="77777777" w:rsidR="003C40A8" w:rsidRPr="00AB32EA" w:rsidRDefault="003C40A8" w:rsidP="00AB32EA">
      <w:pPr>
        <w:spacing w:after="0" w:line="240" w:lineRule="auto"/>
        <w:jc w:val="both"/>
        <w:rPr>
          <w:rFonts w:cstheme="minorHAnsi"/>
          <w:sz w:val="24"/>
          <w:szCs w:val="24"/>
          <w:lang w:eastAsia="es-MX"/>
        </w:rPr>
      </w:pPr>
    </w:p>
    <w:p w14:paraId="075CEC85" w14:textId="7A84FFCA" w:rsidR="003C40A8" w:rsidRPr="00AB32EA" w:rsidRDefault="003C40A8" w:rsidP="00AB32EA">
      <w:pPr>
        <w:spacing w:after="0" w:line="240" w:lineRule="auto"/>
        <w:jc w:val="both"/>
        <w:rPr>
          <w:rFonts w:cstheme="minorHAnsi"/>
          <w:sz w:val="24"/>
          <w:szCs w:val="24"/>
          <w:lang w:eastAsia="es-MX"/>
        </w:rPr>
      </w:pPr>
      <w:r w:rsidRPr="00AB32EA">
        <w:rPr>
          <w:rFonts w:cstheme="minorHAnsi"/>
          <w:sz w:val="24"/>
          <w:szCs w:val="24"/>
          <w:lang w:eastAsia="es-MX"/>
        </w:rPr>
        <w:t>3.</w:t>
      </w:r>
      <w:r w:rsidR="002E5FB8">
        <w:rPr>
          <w:rFonts w:cstheme="minorHAnsi"/>
          <w:sz w:val="24"/>
          <w:szCs w:val="24"/>
          <w:lang w:eastAsia="es-MX"/>
        </w:rPr>
        <w:t xml:space="preserve"> </w:t>
      </w:r>
      <w:r w:rsidRPr="00AB32EA">
        <w:rPr>
          <w:rFonts w:cstheme="minorHAnsi"/>
          <w:sz w:val="24"/>
          <w:szCs w:val="24"/>
          <w:lang w:eastAsia="es-MX"/>
        </w:rPr>
        <w:t xml:space="preserve">El Estado violó el derecho a la integridad personal consagrado en el artículo 5 de la Convención Americana, en relación con el 1.1 de la misma, en perjuicio de las señoras </w:t>
      </w:r>
      <w:proofErr w:type="spellStart"/>
      <w:r w:rsidRPr="00AB32EA">
        <w:rPr>
          <w:rFonts w:cstheme="minorHAnsi"/>
          <w:sz w:val="24"/>
          <w:szCs w:val="24"/>
          <w:lang w:eastAsia="es-MX"/>
        </w:rPr>
        <w:t>Leonidas</w:t>
      </w:r>
      <w:proofErr w:type="spellEnd"/>
      <w:r w:rsidRPr="00AB32EA">
        <w:rPr>
          <w:rFonts w:cstheme="minorHAnsi"/>
          <w:sz w:val="24"/>
          <w:szCs w:val="24"/>
          <w:lang w:eastAsia="es-MX"/>
        </w:rPr>
        <w:t xml:space="preserve"> Oliven </w:t>
      </w:r>
      <w:proofErr w:type="spellStart"/>
      <w:r w:rsidRPr="00AB32EA">
        <w:rPr>
          <w:rFonts w:cstheme="minorHAnsi"/>
          <w:sz w:val="24"/>
          <w:szCs w:val="24"/>
          <w:lang w:eastAsia="es-MX"/>
        </w:rPr>
        <w:t>Yean</w:t>
      </w:r>
      <w:proofErr w:type="spellEnd"/>
      <w:r w:rsidRPr="00AB32EA">
        <w:rPr>
          <w:rFonts w:cstheme="minorHAnsi"/>
          <w:sz w:val="24"/>
          <w:szCs w:val="24"/>
          <w:lang w:eastAsia="es-MX"/>
        </w:rPr>
        <w:t xml:space="preserve">, </w:t>
      </w:r>
      <w:proofErr w:type="spellStart"/>
      <w:r w:rsidRPr="00AB32EA">
        <w:rPr>
          <w:rFonts w:cstheme="minorHAnsi"/>
          <w:sz w:val="24"/>
          <w:szCs w:val="24"/>
          <w:lang w:eastAsia="es-MX"/>
        </w:rPr>
        <w:t>Tiramen</w:t>
      </w:r>
      <w:proofErr w:type="spellEnd"/>
      <w:r w:rsidRPr="00AB32EA">
        <w:rPr>
          <w:rFonts w:cstheme="minorHAnsi"/>
          <w:sz w:val="24"/>
          <w:szCs w:val="24"/>
          <w:lang w:eastAsia="es-MX"/>
        </w:rPr>
        <w:t xml:space="preserve"> </w:t>
      </w:r>
      <w:proofErr w:type="spellStart"/>
      <w:r w:rsidRPr="00AB32EA">
        <w:rPr>
          <w:rFonts w:cstheme="minorHAnsi"/>
          <w:sz w:val="24"/>
          <w:szCs w:val="24"/>
          <w:lang w:eastAsia="es-MX"/>
        </w:rPr>
        <w:t>Bosico</w:t>
      </w:r>
      <w:proofErr w:type="spellEnd"/>
      <w:r w:rsidRPr="00AB32EA">
        <w:rPr>
          <w:rFonts w:cstheme="minorHAnsi"/>
          <w:sz w:val="24"/>
          <w:szCs w:val="24"/>
          <w:lang w:eastAsia="es-MX"/>
        </w:rPr>
        <w:t xml:space="preserve"> </w:t>
      </w:r>
      <w:proofErr w:type="spellStart"/>
      <w:r w:rsidRPr="00AB32EA">
        <w:rPr>
          <w:rFonts w:cstheme="minorHAnsi"/>
          <w:sz w:val="24"/>
          <w:szCs w:val="24"/>
          <w:lang w:eastAsia="es-MX"/>
        </w:rPr>
        <w:t>Cofi</w:t>
      </w:r>
      <w:proofErr w:type="spellEnd"/>
      <w:r w:rsidRPr="00AB32EA">
        <w:rPr>
          <w:rFonts w:cstheme="minorHAnsi"/>
          <w:sz w:val="24"/>
          <w:szCs w:val="24"/>
          <w:lang w:eastAsia="es-MX"/>
        </w:rPr>
        <w:t xml:space="preserve"> y Teresa </w:t>
      </w:r>
      <w:proofErr w:type="spellStart"/>
      <w:r w:rsidRPr="00AB32EA">
        <w:rPr>
          <w:rFonts w:cstheme="minorHAnsi"/>
          <w:sz w:val="24"/>
          <w:szCs w:val="24"/>
          <w:lang w:eastAsia="es-MX"/>
        </w:rPr>
        <w:t>Tucent</w:t>
      </w:r>
      <w:proofErr w:type="spellEnd"/>
      <w:r w:rsidRPr="00AB32EA">
        <w:rPr>
          <w:rFonts w:cstheme="minorHAnsi"/>
          <w:sz w:val="24"/>
          <w:szCs w:val="24"/>
          <w:lang w:eastAsia="es-MX"/>
        </w:rPr>
        <w:t xml:space="preserve"> Mena, en los términos de la presente Sentencia.</w:t>
      </w:r>
    </w:p>
    <w:p w14:paraId="2D791891" w14:textId="2D11EB96" w:rsidR="003C40A8" w:rsidRDefault="003C40A8" w:rsidP="00AB32EA">
      <w:pPr>
        <w:spacing w:after="0" w:line="240" w:lineRule="auto"/>
        <w:jc w:val="both"/>
        <w:rPr>
          <w:rFonts w:cstheme="minorHAnsi"/>
          <w:sz w:val="24"/>
          <w:szCs w:val="24"/>
          <w:lang w:eastAsia="es-MX"/>
        </w:rPr>
      </w:pPr>
    </w:p>
    <w:p w14:paraId="23879AC2" w14:textId="2448BFF9" w:rsidR="004E0EB1" w:rsidRDefault="004E0EB1" w:rsidP="00AB32EA">
      <w:pPr>
        <w:spacing w:after="0" w:line="240" w:lineRule="auto"/>
        <w:jc w:val="both"/>
        <w:rPr>
          <w:rFonts w:cstheme="minorHAnsi"/>
          <w:sz w:val="24"/>
          <w:szCs w:val="24"/>
          <w:lang w:eastAsia="es-MX"/>
        </w:rPr>
      </w:pPr>
    </w:p>
    <w:p w14:paraId="1D3661C1" w14:textId="5EB1B7B0" w:rsidR="004E0EB1" w:rsidRDefault="004E0EB1" w:rsidP="004E0EB1">
      <w:pPr>
        <w:pStyle w:val="Ttulo4"/>
        <w:rPr>
          <w:rFonts w:ascii="Gadugi" w:hAnsi="Gadugi"/>
          <w:b/>
          <w:bCs/>
          <w:i w:val="0"/>
          <w:iCs w:val="0"/>
          <w:color w:val="C00000"/>
          <w:sz w:val="24"/>
          <w:szCs w:val="24"/>
          <w:lang w:eastAsia="es-MX"/>
        </w:rPr>
      </w:pPr>
      <w:r w:rsidRPr="000562A9">
        <w:rPr>
          <w:rFonts w:ascii="Gadugi" w:hAnsi="Gadugi"/>
          <w:b/>
          <w:bCs/>
          <w:i w:val="0"/>
          <w:iCs w:val="0"/>
          <w:color w:val="C00000"/>
          <w:sz w:val="24"/>
          <w:szCs w:val="24"/>
          <w:lang w:eastAsia="es-MX"/>
        </w:rPr>
        <w:lastRenderedPageBreak/>
        <w:t xml:space="preserve">CASO </w:t>
      </w:r>
      <w:r>
        <w:rPr>
          <w:rFonts w:ascii="Gadugi" w:hAnsi="Gadugi"/>
          <w:b/>
          <w:bCs/>
          <w:i w:val="0"/>
          <w:iCs w:val="0"/>
          <w:color w:val="C00000"/>
          <w:sz w:val="24"/>
          <w:szCs w:val="24"/>
          <w:lang w:eastAsia="es-MX"/>
        </w:rPr>
        <w:t>3</w:t>
      </w:r>
      <w:r w:rsidR="005F2A10" w:rsidRPr="000562A9">
        <w:rPr>
          <w:rFonts w:ascii="Gadugi" w:hAnsi="Gadugi"/>
          <w:b/>
          <w:bCs/>
          <w:i w:val="0"/>
          <w:iCs w:val="0"/>
          <w:color w:val="C00000"/>
          <w:sz w:val="24"/>
          <w:szCs w:val="24"/>
          <w:lang w:eastAsia="es-MX"/>
        </w:rPr>
        <w:t>:</w:t>
      </w:r>
      <w:r w:rsidR="005F2A10">
        <w:rPr>
          <w:rFonts w:ascii="Gadugi" w:hAnsi="Gadugi"/>
          <w:b/>
          <w:bCs/>
          <w:i w:val="0"/>
          <w:iCs w:val="0"/>
          <w:color w:val="C00000"/>
          <w:sz w:val="24"/>
          <w:szCs w:val="24"/>
          <w:lang w:eastAsia="es-MX"/>
        </w:rPr>
        <w:t xml:space="preserve"> </w:t>
      </w:r>
      <w:r w:rsidR="005F2A10" w:rsidRPr="005F2A10">
        <w:rPr>
          <w:rFonts w:ascii="Gadugi" w:hAnsi="Gadugi"/>
          <w:b/>
          <w:bCs/>
          <w:i w:val="0"/>
          <w:iCs w:val="0"/>
          <w:color w:val="C00000"/>
          <w:sz w:val="24"/>
          <w:szCs w:val="24"/>
          <w:lang w:eastAsia="es-MX"/>
        </w:rPr>
        <w:t>CASO COMUNIDAD INDÍGENA XÁKMOK KÁSEK VS PARAGUAY</w:t>
      </w:r>
    </w:p>
    <w:p w14:paraId="15F96F7A" w14:textId="670BC5EA" w:rsidR="004E0EB1" w:rsidRDefault="004E0EB1" w:rsidP="00AB32EA">
      <w:pPr>
        <w:spacing w:after="0" w:line="240" w:lineRule="auto"/>
        <w:jc w:val="both"/>
        <w:rPr>
          <w:rFonts w:ascii="Gadugi" w:eastAsiaTheme="majorEastAsia" w:hAnsi="Gadugi" w:cstheme="majorBidi"/>
          <w:b/>
          <w:bCs/>
          <w:color w:val="C00000"/>
          <w:sz w:val="24"/>
          <w:szCs w:val="24"/>
          <w:lang w:eastAsia="es-MX"/>
        </w:rPr>
      </w:pPr>
    </w:p>
    <w:p w14:paraId="2E8F6805" w14:textId="77777777" w:rsidR="005F2A10" w:rsidRPr="003C40A8" w:rsidRDefault="005F2A10" w:rsidP="005F2A10">
      <w:pPr>
        <w:rPr>
          <w:rFonts w:ascii="Gadugi" w:hAnsi="Gadugi"/>
          <w:b/>
          <w:bCs/>
          <w:color w:val="C00000"/>
          <w:lang w:eastAsia="es-MX"/>
        </w:rPr>
      </w:pPr>
      <w:r w:rsidRPr="003C40A8">
        <w:rPr>
          <w:rFonts w:ascii="Gadugi" w:hAnsi="Gadugi" w:cs="Arial"/>
          <w:b/>
          <w:bCs/>
          <w:color w:val="C00000"/>
          <w:shd w:val="clear" w:color="auto" w:fill="FFFFFF"/>
        </w:rPr>
        <w:t xml:space="preserve">Órgano </w:t>
      </w:r>
      <w:proofErr w:type="spellStart"/>
      <w:r w:rsidRPr="003C40A8">
        <w:rPr>
          <w:rFonts w:ascii="Gadugi" w:hAnsi="Gadugi" w:cs="Arial"/>
          <w:b/>
          <w:bCs/>
          <w:color w:val="C00000"/>
          <w:shd w:val="clear" w:color="auto" w:fill="FFFFFF"/>
        </w:rPr>
        <w:t>CoIDH</w:t>
      </w:r>
      <w:proofErr w:type="spellEnd"/>
      <w:r w:rsidRPr="003C40A8">
        <w:rPr>
          <w:rFonts w:ascii="Gadugi" w:hAnsi="Gadugi" w:cs="Arial"/>
          <w:b/>
          <w:bCs/>
          <w:color w:val="C00000"/>
          <w:shd w:val="clear" w:color="auto" w:fill="FFFFFF"/>
        </w:rPr>
        <w:t>.</w:t>
      </w:r>
    </w:p>
    <w:p w14:paraId="4E964E53" w14:textId="77777777" w:rsidR="005F2A10" w:rsidRDefault="005F2A10" w:rsidP="005F2A10">
      <w:pPr>
        <w:spacing w:after="0" w:line="240" w:lineRule="auto"/>
        <w:rPr>
          <w:lang w:eastAsia="es-MX"/>
        </w:rPr>
      </w:pPr>
    </w:p>
    <w:p w14:paraId="5E6D2626" w14:textId="027CB47E" w:rsidR="005F2A10" w:rsidRPr="005F2A10" w:rsidRDefault="005F2A10" w:rsidP="005F2A10">
      <w:pPr>
        <w:spacing w:after="0" w:line="240" w:lineRule="auto"/>
        <w:jc w:val="both"/>
        <w:rPr>
          <w:rFonts w:ascii="Gadugi" w:hAnsi="Gadugi" w:cs="Arial"/>
          <w:b/>
          <w:bCs/>
          <w:shd w:val="clear" w:color="auto" w:fill="FFFFFF"/>
        </w:rPr>
      </w:pPr>
      <w:r w:rsidRPr="005F2A10">
        <w:rPr>
          <w:rFonts w:ascii="Gadugi" w:hAnsi="Gadugi" w:cs="Arial"/>
          <w:b/>
          <w:bCs/>
          <w:shd w:val="clear" w:color="auto" w:fill="FFFFFF"/>
        </w:rPr>
        <w:t>Corte Interamericana de Derechos Humanos</w:t>
      </w:r>
    </w:p>
    <w:p w14:paraId="1C5D75BF" w14:textId="77777777" w:rsidR="005F2A10" w:rsidRPr="005F2A10" w:rsidRDefault="005F2A10" w:rsidP="005F2A10">
      <w:pPr>
        <w:spacing w:after="0" w:line="240" w:lineRule="auto"/>
        <w:jc w:val="both"/>
        <w:rPr>
          <w:rFonts w:ascii="Gadugi" w:hAnsi="Gadugi" w:cs="Arial"/>
          <w:b/>
          <w:bCs/>
          <w:color w:val="C00000"/>
          <w:shd w:val="clear" w:color="auto" w:fill="FFFFFF"/>
        </w:rPr>
      </w:pPr>
      <w:r w:rsidRPr="005F2A10">
        <w:rPr>
          <w:rFonts w:ascii="Gadugi" w:hAnsi="Gadugi" w:cs="Arial"/>
          <w:b/>
          <w:bCs/>
          <w:color w:val="C00000"/>
          <w:shd w:val="clear" w:color="auto" w:fill="FFFFFF"/>
        </w:rPr>
        <w:t xml:space="preserve">Caso Comunidad Indígena </w:t>
      </w:r>
      <w:proofErr w:type="spellStart"/>
      <w:r w:rsidRPr="005F2A10">
        <w:rPr>
          <w:rFonts w:ascii="Gadugi" w:hAnsi="Gadugi" w:cs="Arial"/>
          <w:b/>
          <w:bCs/>
          <w:color w:val="C00000"/>
          <w:shd w:val="clear" w:color="auto" w:fill="FFFFFF"/>
        </w:rPr>
        <w:t>Xákmok</w:t>
      </w:r>
      <w:proofErr w:type="spellEnd"/>
      <w:r w:rsidRPr="005F2A10">
        <w:rPr>
          <w:rFonts w:ascii="Gadugi" w:hAnsi="Gadugi" w:cs="Arial"/>
          <w:b/>
          <w:bCs/>
          <w:color w:val="C00000"/>
          <w:shd w:val="clear" w:color="auto" w:fill="FFFFFF"/>
        </w:rPr>
        <w:t xml:space="preserve"> </w:t>
      </w:r>
      <w:proofErr w:type="spellStart"/>
      <w:r w:rsidRPr="005F2A10">
        <w:rPr>
          <w:rFonts w:ascii="Gadugi" w:hAnsi="Gadugi" w:cs="Arial"/>
          <w:b/>
          <w:bCs/>
          <w:color w:val="C00000"/>
          <w:shd w:val="clear" w:color="auto" w:fill="FFFFFF"/>
        </w:rPr>
        <w:t>Kásek</w:t>
      </w:r>
      <w:proofErr w:type="spellEnd"/>
      <w:r w:rsidRPr="005F2A10">
        <w:rPr>
          <w:rFonts w:ascii="Gadugi" w:hAnsi="Gadugi" w:cs="Arial"/>
          <w:b/>
          <w:bCs/>
          <w:color w:val="C00000"/>
          <w:shd w:val="clear" w:color="auto" w:fill="FFFFFF"/>
        </w:rPr>
        <w:t xml:space="preserve"> vs. Paraguay</w:t>
      </w:r>
    </w:p>
    <w:p w14:paraId="487AD01E" w14:textId="77777777" w:rsidR="005F2A10" w:rsidRPr="005F2A10" w:rsidRDefault="005F2A10" w:rsidP="005F2A10">
      <w:pPr>
        <w:spacing w:after="0" w:line="240" w:lineRule="auto"/>
        <w:jc w:val="both"/>
        <w:rPr>
          <w:rFonts w:ascii="Gadugi" w:hAnsi="Gadugi" w:cs="Arial"/>
          <w:b/>
          <w:bCs/>
          <w:shd w:val="clear" w:color="auto" w:fill="FFFFFF"/>
        </w:rPr>
      </w:pPr>
      <w:r w:rsidRPr="005F2A10">
        <w:rPr>
          <w:rFonts w:ascii="Gadugi" w:hAnsi="Gadugi" w:cs="Arial"/>
          <w:b/>
          <w:bCs/>
          <w:shd w:val="clear" w:color="auto" w:fill="FFFFFF"/>
        </w:rPr>
        <w:t xml:space="preserve">Resuelto </w:t>
      </w:r>
      <w:proofErr w:type="gramStart"/>
      <w:r w:rsidRPr="005F2A10">
        <w:rPr>
          <w:rFonts w:ascii="Gadugi" w:hAnsi="Gadugi" w:cs="Arial"/>
          <w:b/>
          <w:bCs/>
          <w:shd w:val="clear" w:color="auto" w:fill="FFFFFF"/>
        </w:rPr>
        <w:t>el  24</w:t>
      </w:r>
      <w:proofErr w:type="gramEnd"/>
      <w:r w:rsidRPr="005F2A10">
        <w:rPr>
          <w:rFonts w:ascii="Gadugi" w:hAnsi="Gadugi" w:cs="Arial"/>
          <w:b/>
          <w:bCs/>
          <w:shd w:val="clear" w:color="auto" w:fill="FFFFFF"/>
        </w:rPr>
        <w:t xml:space="preserve"> de agosto de 2010</w:t>
      </w:r>
    </w:p>
    <w:p w14:paraId="0C575CC8" w14:textId="77777777" w:rsidR="005F2A10" w:rsidRPr="005F2A10" w:rsidRDefault="005F2A10" w:rsidP="005F2A10">
      <w:pPr>
        <w:spacing w:after="0" w:line="240" w:lineRule="auto"/>
        <w:jc w:val="both"/>
        <w:rPr>
          <w:rFonts w:eastAsiaTheme="majorEastAsia" w:cstheme="minorHAnsi"/>
          <w:sz w:val="24"/>
          <w:szCs w:val="24"/>
          <w:lang w:eastAsia="es-MX"/>
        </w:rPr>
      </w:pPr>
    </w:p>
    <w:p w14:paraId="0E8F20AD" w14:textId="77777777" w:rsidR="005F2A10" w:rsidRPr="002A3616" w:rsidRDefault="005F2A10" w:rsidP="005F2A10">
      <w:pPr>
        <w:spacing w:after="0" w:line="240" w:lineRule="auto"/>
        <w:jc w:val="both"/>
        <w:rPr>
          <w:rFonts w:eastAsiaTheme="majorEastAsia" w:cstheme="minorHAnsi"/>
          <w:b/>
          <w:bCs/>
          <w:sz w:val="24"/>
          <w:szCs w:val="24"/>
          <w:lang w:eastAsia="es-MX"/>
        </w:rPr>
      </w:pPr>
      <w:r w:rsidRPr="002A3616">
        <w:rPr>
          <w:rFonts w:eastAsiaTheme="majorEastAsia" w:cstheme="minorHAnsi"/>
          <w:b/>
          <w:bCs/>
          <w:sz w:val="24"/>
          <w:szCs w:val="24"/>
          <w:lang w:eastAsia="es-MX"/>
        </w:rPr>
        <w:t>Temática</w:t>
      </w:r>
    </w:p>
    <w:p w14:paraId="23E55348" w14:textId="75080E9B" w:rsidR="005F2A10" w:rsidRPr="005F2A10" w:rsidRDefault="005F2A10" w:rsidP="005F2A10">
      <w:pPr>
        <w:pStyle w:val="Prrafodelista"/>
        <w:numPr>
          <w:ilvl w:val="0"/>
          <w:numId w:val="10"/>
        </w:numPr>
        <w:spacing w:after="0" w:line="240" w:lineRule="auto"/>
        <w:jc w:val="both"/>
        <w:rPr>
          <w:rFonts w:eastAsiaTheme="majorEastAsia" w:cstheme="minorHAnsi"/>
          <w:sz w:val="24"/>
          <w:szCs w:val="24"/>
          <w:lang w:eastAsia="es-MX"/>
        </w:rPr>
      </w:pPr>
      <w:r w:rsidRPr="005F2A10">
        <w:rPr>
          <w:rFonts w:eastAsiaTheme="majorEastAsia" w:cstheme="minorHAnsi"/>
          <w:sz w:val="24"/>
          <w:szCs w:val="24"/>
          <w:lang w:eastAsia="es-MX"/>
        </w:rPr>
        <w:t>Educación</w:t>
      </w:r>
    </w:p>
    <w:p w14:paraId="2FB8C11B" w14:textId="1C5DCC0E" w:rsidR="005F2A10" w:rsidRPr="005F2A10" w:rsidRDefault="005F2A10" w:rsidP="005F2A10">
      <w:pPr>
        <w:pStyle w:val="Prrafodelista"/>
        <w:numPr>
          <w:ilvl w:val="0"/>
          <w:numId w:val="10"/>
        </w:numPr>
        <w:spacing w:after="0" w:line="240" w:lineRule="auto"/>
        <w:jc w:val="both"/>
        <w:rPr>
          <w:rFonts w:eastAsiaTheme="majorEastAsia" w:cstheme="minorHAnsi"/>
          <w:sz w:val="24"/>
          <w:szCs w:val="24"/>
          <w:lang w:eastAsia="es-MX"/>
        </w:rPr>
      </w:pPr>
      <w:r w:rsidRPr="005F2A10">
        <w:rPr>
          <w:rFonts w:eastAsiaTheme="majorEastAsia" w:cstheme="minorHAnsi"/>
          <w:sz w:val="24"/>
          <w:szCs w:val="24"/>
          <w:lang w:eastAsia="es-MX"/>
        </w:rPr>
        <w:t>Garantías judiciales y procesales</w:t>
      </w:r>
    </w:p>
    <w:p w14:paraId="5DD4FB61" w14:textId="5EA0A4BA" w:rsidR="005F2A10" w:rsidRPr="005F2A10" w:rsidRDefault="005F2A10" w:rsidP="005F2A10">
      <w:pPr>
        <w:pStyle w:val="Prrafodelista"/>
        <w:numPr>
          <w:ilvl w:val="0"/>
          <w:numId w:val="10"/>
        </w:numPr>
        <w:spacing w:after="0" w:line="240" w:lineRule="auto"/>
        <w:jc w:val="both"/>
        <w:rPr>
          <w:rFonts w:eastAsiaTheme="majorEastAsia" w:cstheme="minorHAnsi"/>
          <w:sz w:val="24"/>
          <w:szCs w:val="24"/>
          <w:lang w:eastAsia="es-MX"/>
        </w:rPr>
      </w:pPr>
      <w:r w:rsidRPr="005F2A10">
        <w:rPr>
          <w:rFonts w:eastAsiaTheme="majorEastAsia" w:cstheme="minorHAnsi"/>
          <w:sz w:val="24"/>
          <w:szCs w:val="24"/>
          <w:lang w:eastAsia="es-MX"/>
        </w:rPr>
        <w:t>Pueblos indígenas</w:t>
      </w:r>
    </w:p>
    <w:p w14:paraId="4EBC9885" w14:textId="49B73718" w:rsidR="005F2A10" w:rsidRPr="005F2A10" w:rsidRDefault="005F2A10" w:rsidP="005F2A10">
      <w:pPr>
        <w:pStyle w:val="Prrafodelista"/>
        <w:numPr>
          <w:ilvl w:val="0"/>
          <w:numId w:val="10"/>
        </w:numPr>
        <w:spacing w:after="0" w:line="240" w:lineRule="auto"/>
        <w:jc w:val="both"/>
        <w:rPr>
          <w:rFonts w:eastAsiaTheme="majorEastAsia" w:cstheme="minorHAnsi"/>
          <w:sz w:val="24"/>
          <w:szCs w:val="24"/>
          <w:lang w:eastAsia="es-MX"/>
        </w:rPr>
      </w:pPr>
      <w:r w:rsidRPr="005F2A10">
        <w:rPr>
          <w:rFonts w:eastAsiaTheme="majorEastAsia" w:cstheme="minorHAnsi"/>
          <w:sz w:val="24"/>
          <w:szCs w:val="24"/>
          <w:lang w:eastAsia="es-MX"/>
        </w:rPr>
        <w:t>Protección judicial</w:t>
      </w:r>
    </w:p>
    <w:p w14:paraId="34340FD1" w14:textId="107F617A" w:rsidR="005F2A10" w:rsidRPr="005F2A10" w:rsidRDefault="005F2A10" w:rsidP="005F2A10">
      <w:pPr>
        <w:pStyle w:val="Prrafodelista"/>
        <w:numPr>
          <w:ilvl w:val="0"/>
          <w:numId w:val="10"/>
        </w:numPr>
        <w:spacing w:after="0" w:line="240" w:lineRule="auto"/>
        <w:jc w:val="both"/>
        <w:rPr>
          <w:rFonts w:eastAsiaTheme="majorEastAsia" w:cstheme="minorHAnsi"/>
          <w:sz w:val="24"/>
          <w:szCs w:val="24"/>
          <w:lang w:eastAsia="es-MX"/>
        </w:rPr>
      </w:pPr>
      <w:r w:rsidRPr="005F2A10">
        <w:rPr>
          <w:rFonts w:eastAsiaTheme="majorEastAsia" w:cstheme="minorHAnsi"/>
          <w:sz w:val="24"/>
          <w:szCs w:val="24"/>
          <w:lang w:eastAsia="es-MX"/>
        </w:rPr>
        <w:t>Personalidad jurídica</w:t>
      </w:r>
    </w:p>
    <w:p w14:paraId="241AA76E" w14:textId="77777777" w:rsidR="005F2A10" w:rsidRPr="005F2A10" w:rsidRDefault="005F2A10" w:rsidP="005F2A10">
      <w:pPr>
        <w:spacing w:after="0" w:line="240" w:lineRule="auto"/>
        <w:jc w:val="both"/>
        <w:rPr>
          <w:rFonts w:eastAsiaTheme="majorEastAsia" w:cstheme="minorHAnsi"/>
          <w:sz w:val="24"/>
          <w:szCs w:val="24"/>
          <w:lang w:eastAsia="es-MX"/>
        </w:rPr>
      </w:pPr>
    </w:p>
    <w:p w14:paraId="2D95F6C3" w14:textId="07F89419" w:rsidR="005F2A10" w:rsidRPr="002A3616" w:rsidRDefault="005F2A10" w:rsidP="005F2A10">
      <w:pPr>
        <w:spacing w:after="0" w:line="240" w:lineRule="auto"/>
        <w:jc w:val="both"/>
        <w:rPr>
          <w:rFonts w:eastAsiaTheme="majorEastAsia" w:cstheme="minorHAnsi"/>
          <w:b/>
          <w:bCs/>
          <w:sz w:val="24"/>
          <w:szCs w:val="24"/>
          <w:lang w:eastAsia="es-MX"/>
        </w:rPr>
      </w:pPr>
      <w:r w:rsidRPr="002A3616">
        <w:rPr>
          <w:rFonts w:eastAsiaTheme="majorEastAsia" w:cstheme="minorHAnsi"/>
          <w:b/>
          <w:bCs/>
          <w:sz w:val="24"/>
          <w:szCs w:val="24"/>
          <w:lang w:eastAsia="es-MX"/>
        </w:rPr>
        <w:t>Caso concreto</w:t>
      </w:r>
    </w:p>
    <w:p w14:paraId="665643BE" w14:textId="77777777" w:rsidR="002A3616" w:rsidRPr="005F2A10" w:rsidRDefault="002A3616" w:rsidP="005F2A10">
      <w:pPr>
        <w:spacing w:after="0" w:line="240" w:lineRule="auto"/>
        <w:jc w:val="both"/>
        <w:rPr>
          <w:rFonts w:eastAsiaTheme="majorEastAsia" w:cstheme="minorHAnsi"/>
          <w:sz w:val="24"/>
          <w:szCs w:val="24"/>
          <w:lang w:eastAsia="es-MX"/>
        </w:rPr>
      </w:pPr>
    </w:p>
    <w:p w14:paraId="6D285B79" w14:textId="77777777" w:rsidR="005F2A10" w:rsidRPr="005F2A10" w:rsidRDefault="005F2A10" w:rsidP="005F2A10">
      <w:pPr>
        <w:spacing w:after="0" w:line="240" w:lineRule="auto"/>
        <w:jc w:val="both"/>
        <w:rPr>
          <w:rFonts w:eastAsiaTheme="majorEastAsia" w:cstheme="minorHAnsi"/>
          <w:sz w:val="24"/>
          <w:szCs w:val="24"/>
          <w:lang w:eastAsia="es-MX"/>
        </w:rPr>
      </w:pPr>
      <w:r w:rsidRPr="005F2A10">
        <w:rPr>
          <w:rFonts w:eastAsiaTheme="majorEastAsia" w:cstheme="minorHAnsi"/>
          <w:sz w:val="24"/>
          <w:szCs w:val="24"/>
          <w:lang w:eastAsia="es-MX"/>
        </w:rPr>
        <w:t xml:space="preserve">El caso se refiere a la responsabilidad internacional del Estado por no haber garantizado el derecho de propiedad ancestral de los miembros de la Comunidad Indígena </w:t>
      </w:r>
      <w:proofErr w:type="spellStart"/>
      <w:r w:rsidRPr="005F2A10">
        <w:rPr>
          <w:rFonts w:eastAsiaTheme="majorEastAsia" w:cstheme="minorHAnsi"/>
          <w:sz w:val="24"/>
          <w:szCs w:val="24"/>
          <w:lang w:eastAsia="es-MX"/>
        </w:rPr>
        <w:t>Xákmok</w:t>
      </w:r>
      <w:proofErr w:type="spellEnd"/>
      <w:r w:rsidRPr="005F2A10">
        <w:rPr>
          <w:rFonts w:eastAsiaTheme="majorEastAsia" w:cstheme="minorHAnsi"/>
          <w:sz w:val="24"/>
          <w:szCs w:val="24"/>
          <w:lang w:eastAsia="es-MX"/>
        </w:rPr>
        <w:t xml:space="preserve"> </w:t>
      </w:r>
      <w:proofErr w:type="spellStart"/>
      <w:r w:rsidRPr="005F2A10">
        <w:rPr>
          <w:rFonts w:eastAsiaTheme="majorEastAsia" w:cstheme="minorHAnsi"/>
          <w:sz w:val="24"/>
          <w:szCs w:val="24"/>
          <w:lang w:eastAsia="es-MX"/>
        </w:rPr>
        <w:t>Kásek</w:t>
      </w:r>
      <w:proofErr w:type="spellEnd"/>
      <w:r w:rsidRPr="005F2A10">
        <w:rPr>
          <w:rFonts w:eastAsiaTheme="majorEastAsia" w:cstheme="minorHAnsi"/>
          <w:sz w:val="24"/>
          <w:szCs w:val="24"/>
          <w:lang w:eastAsia="es-MX"/>
        </w:rPr>
        <w:t xml:space="preserve"> del Pueblo </w:t>
      </w:r>
      <w:proofErr w:type="spellStart"/>
      <w:r w:rsidRPr="005F2A10">
        <w:rPr>
          <w:rFonts w:eastAsiaTheme="majorEastAsia" w:cstheme="minorHAnsi"/>
          <w:sz w:val="24"/>
          <w:szCs w:val="24"/>
          <w:lang w:eastAsia="es-MX"/>
        </w:rPr>
        <w:t>Enxet</w:t>
      </w:r>
      <w:proofErr w:type="spellEnd"/>
      <w:r w:rsidRPr="005F2A10">
        <w:rPr>
          <w:rFonts w:eastAsiaTheme="majorEastAsia" w:cstheme="minorHAnsi"/>
          <w:sz w:val="24"/>
          <w:szCs w:val="24"/>
          <w:lang w:eastAsia="es-MX"/>
        </w:rPr>
        <w:t>-Lengua, lo cual ha generado una amenaza a su supervivencia.</w:t>
      </w:r>
    </w:p>
    <w:p w14:paraId="75C06C81" w14:textId="77777777" w:rsidR="005F2A10" w:rsidRPr="005F2A10" w:rsidRDefault="005F2A10" w:rsidP="005F2A10">
      <w:pPr>
        <w:spacing w:after="0" w:line="240" w:lineRule="auto"/>
        <w:jc w:val="both"/>
        <w:rPr>
          <w:rFonts w:eastAsiaTheme="majorEastAsia" w:cstheme="minorHAnsi"/>
          <w:sz w:val="24"/>
          <w:szCs w:val="24"/>
          <w:lang w:eastAsia="es-MX"/>
        </w:rPr>
      </w:pPr>
    </w:p>
    <w:p w14:paraId="720F957C" w14:textId="1671C6DD" w:rsidR="005F2A10" w:rsidRDefault="005F2A10" w:rsidP="005F2A10">
      <w:pPr>
        <w:spacing w:after="0" w:line="240" w:lineRule="auto"/>
        <w:jc w:val="both"/>
        <w:rPr>
          <w:rFonts w:eastAsiaTheme="majorEastAsia" w:cstheme="minorHAnsi"/>
          <w:b/>
          <w:bCs/>
          <w:sz w:val="24"/>
          <w:szCs w:val="24"/>
          <w:lang w:eastAsia="es-MX"/>
        </w:rPr>
      </w:pPr>
      <w:r w:rsidRPr="002A3616">
        <w:rPr>
          <w:rFonts w:eastAsiaTheme="majorEastAsia" w:cstheme="minorHAnsi"/>
          <w:b/>
          <w:bCs/>
          <w:sz w:val="24"/>
          <w:szCs w:val="24"/>
          <w:lang w:eastAsia="es-MX"/>
        </w:rPr>
        <w:t>Hechos</w:t>
      </w:r>
    </w:p>
    <w:p w14:paraId="25E6C2E9" w14:textId="77777777" w:rsidR="002A3616" w:rsidRPr="002A3616" w:rsidRDefault="002A3616" w:rsidP="005F2A10">
      <w:pPr>
        <w:spacing w:after="0" w:line="240" w:lineRule="auto"/>
        <w:jc w:val="both"/>
        <w:rPr>
          <w:rFonts w:eastAsiaTheme="majorEastAsia" w:cstheme="minorHAnsi"/>
          <w:b/>
          <w:bCs/>
          <w:sz w:val="24"/>
          <w:szCs w:val="24"/>
          <w:lang w:eastAsia="es-MX"/>
        </w:rPr>
      </w:pPr>
    </w:p>
    <w:p w14:paraId="5AE6A35E" w14:textId="6C9E7362" w:rsidR="005F2A10" w:rsidRPr="005F2A10" w:rsidRDefault="005F2A10" w:rsidP="005F2A10">
      <w:pPr>
        <w:spacing w:after="0" w:line="240" w:lineRule="auto"/>
        <w:jc w:val="both"/>
        <w:rPr>
          <w:rFonts w:eastAsiaTheme="majorEastAsia" w:cstheme="minorHAnsi"/>
          <w:sz w:val="24"/>
          <w:szCs w:val="24"/>
          <w:lang w:eastAsia="es-MX"/>
        </w:rPr>
      </w:pPr>
      <w:r w:rsidRPr="005F2A10">
        <w:rPr>
          <w:rFonts w:eastAsiaTheme="majorEastAsia" w:cstheme="minorHAnsi"/>
          <w:sz w:val="24"/>
          <w:szCs w:val="24"/>
          <w:lang w:eastAsia="es-MX"/>
        </w:rPr>
        <w:t>1.</w:t>
      </w:r>
      <w:r w:rsidR="002A3616">
        <w:rPr>
          <w:rFonts w:eastAsiaTheme="majorEastAsia" w:cstheme="minorHAnsi"/>
          <w:sz w:val="24"/>
          <w:szCs w:val="24"/>
          <w:lang w:eastAsia="es-MX"/>
        </w:rPr>
        <w:t xml:space="preserve"> </w:t>
      </w:r>
      <w:r w:rsidRPr="005F2A10">
        <w:rPr>
          <w:rFonts w:eastAsiaTheme="majorEastAsia" w:cstheme="minorHAnsi"/>
          <w:sz w:val="24"/>
          <w:szCs w:val="24"/>
          <w:lang w:eastAsia="es-MX"/>
        </w:rPr>
        <w:t>Antes de la colonización del Chaco los indígenas vivían en comunidades pequeñas y flexibles. La economía de los miembros de los pueblos indígenas del Chaco se basaba principalmente en la caza, recolección y pesca. También cultivaban pequeñas huertas y poseían algunos animales domésticos. Recorrían sus tierras utilizando la naturaleza en la medida que las estaciones y la tecnología cultural les permitía aprovecharla, lo cual determinaba que se desplazaran y ocuparan un área muy extensa de territorio.</w:t>
      </w:r>
    </w:p>
    <w:p w14:paraId="5D162796" w14:textId="77777777" w:rsidR="005F2A10" w:rsidRPr="005F2A10" w:rsidRDefault="005F2A10" w:rsidP="005F2A10">
      <w:pPr>
        <w:spacing w:after="0" w:line="240" w:lineRule="auto"/>
        <w:jc w:val="both"/>
        <w:rPr>
          <w:rFonts w:eastAsiaTheme="majorEastAsia" w:cstheme="minorHAnsi"/>
          <w:sz w:val="24"/>
          <w:szCs w:val="24"/>
          <w:lang w:eastAsia="es-MX"/>
        </w:rPr>
      </w:pPr>
    </w:p>
    <w:p w14:paraId="35F9888C" w14:textId="3F2C5295" w:rsidR="005F2A10" w:rsidRPr="005F2A10" w:rsidRDefault="005F2A10" w:rsidP="005F2A10">
      <w:pPr>
        <w:spacing w:after="0" w:line="240" w:lineRule="auto"/>
        <w:jc w:val="both"/>
        <w:rPr>
          <w:rFonts w:eastAsiaTheme="majorEastAsia" w:cstheme="minorHAnsi"/>
          <w:sz w:val="24"/>
          <w:szCs w:val="24"/>
          <w:lang w:eastAsia="es-MX"/>
        </w:rPr>
      </w:pPr>
      <w:r w:rsidRPr="005F2A10">
        <w:rPr>
          <w:rFonts w:eastAsiaTheme="majorEastAsia" w:cstheme="minorHAnsi"/>
          <w:sz w:val="24"/>
          <w:szCs w:val="24"/>
          <w:lang w:eastAsia="es-MX"/>
        </w:rPr>
        <w:t>2.</w:t>
      </w:r>
      <w:r w:rsidR="002A3616">
        <w:rPr>
          <w:rFonts w:eastAsiaTheme="majorEastAsia" w:cstheme="minorHAnsi"/>
          <w:sz w:val="24"/>
          <w:szCs w:val="24"/>
          <w:lang w:eastAsia="es-MX"/>
        </w:rPr>
        <w:t xml:space="preserve"> </w:t>
      </w:r>
      <w:r w:rsidRPr="005F2A10">
        <w:rPr>
          <w:rFonts w:eastAsiaTheme="majorEastAsia" w:cstheme="minorHAnsi"/>
          <w:sz w:val="24"/>
          <w:szCs w:val="24"/>
          <w:lang w:eastAsia="es-MX"/>
        </w:rPr>
        <w:t>Entre los años 1885 y 1887, el Estado vendió dos tercios del Chaco en la bolsa de valores de Londres para financiar la deuda del Paraguay tras la llamada guerra de la Triple Alianza. La división y venta de estos territorios fue realizada con desconocimiento de la población que los habitaba, que en ese entonces era exclusivamente indígena.</w:t>
      </w:r>
    </w:p>
    <w:p w14:paraId="40F841A5" w14:textId="77777777" w:rsidR="005F2A10" w:rsidRPr="005F2A10" w:rsidRDefault="005F2A10" w:rsidP="005F2A10">
      <w:pPr>
        <w:spacing w:after="0" w:line="240" w:lineRule="auto"/>
        <w:jc w:val="both"/>
        <w:rPr>
          <w:rFonts w:eastAsiaTheme="majorEastAsia" w:cstheme="minorHAnsi"/>
          <w:sz w:val="24"/>
          <w:szCs w:val="24"/>
          <w:lang w:eastAsia="es-MX"/>
        </w:rPr>
      </w:pPr>
    </w:p>
    <w:p w14:paraId="5440A933" w14:textId="77777777" w:rsidR="005F2A10" w:rsidRPr="0047190F" w:rsidRDefault="005F2A10" w:rsidP="005F2A10">
      <w:pPr>
        <w:spacing w:after="0" w:line="240" w:lineRule="auto"/>
        <w:jc w:val="both"/>
        <w:rPr>
          <w:rFonts w:eastAsiaTheme="majorEastAsia" w:cstheme="minorHAnsi"/>
          <w:b/>
          <w:bCs/>
          <w:sz w:val="24"/>
          <w:szCs w:val="24"/>
          <w:lang w:eastAsia="es-MX"/>
        </w:rPr>
      </w:pPr>
    </w:p>
    <w:p w14:paraId="4FA7F07A" w14:textId="77777777" w:rsidR="005F2A10" w:rsidRPr="005F2A10" w:rsidRDefault="005F2A10" w:rsidP="005F2A10">
      <w:pPr>
        <w:spacing w:after="0" w:line="240" w:lineRule="auto"/>
        <w:jc w:val="both"/>
        <w:rPr>
          <w:rFonts w:eastAsiaTheme="majorEastAsia" w:cstheme="minorHAnsi"/>
          <w:sz w:val="24"/>
          <w:szCs w:val="24"/>
          <w:lang w:eastAsia="es-MX"/>
        </w:rPr>
      </w:pPr>
      <w:r w:rsidRPr="0047190F">
        <w:rPr>
          <w:rFonts w:eastAsiaTheme="majorEastAsia" w:cstheme="minorHAnsi"/>
          <w:b/>
          <w:bCs/>
          <w:sz w:val="24"/>
          <w:szCs w:val="24"/>
          <w:lang w:eastAsia="es-MX"/>
        </w:rPr>
        <w:t xml:space="preserve">Consideraciones de la </w:t>
      </w:r>
      <w:proofErr w:type="spellStart"/>
      <w:r w:rsidRPr="0047190F">
        <w:rPr>
          <w:rFonts w:eastAsiaTheme="majorEastAsia" w:cstheme="minorHAnsi"/>
          <w:b/>
          <w:bCs/>
          <w:sz w:val="24"/>
          <w:szCs w:val="24"/>
          <w:lang w:eastAsia="es-MX"/>
        </w:rPr>
        <w:t>CoIDH</w:t>
      </w:r>
      <w:proofErr w:type="spellEnd"/>
    </w:p>
    <w:p w14:paraId="2792FA04" w14:textId="77777777" w:rsidR="005F2A10" w:rsidRPr="005F2A10" w:rsidRDefault="005F2A10" w:rsidP="005F2A10">
      <w:pPr>
        <w:spacing w:after="0" w:line="240" w:lineRule="auto"/>
        <w:jc w:val="both"/>
        <w:rPr>
          <w:rFonts w:eastAsiaTheme="majorEastAsia" w:cstheme="minorHAnsi"/>
          <w:sz w:val="24"/>
          <w:szCs w:val="24"/>
          <w:lang w:eastAsia="es-MX"/>
        </w:rPr>
      </w:pPr>
    </w:p>
    <w:p w14:paraId="4C8E37A8" w14:textId="77777777" w:rsidR="005F2A10" w:rsidRPr="0047190F" w:rsidRDefault="005F2A10" w:rsidP="005F2A10">
      <w:pPr>
        <w:spacing w:after="0" w:line="240" w:lineRule="auto"/>
        <w:jc w:val="both"/>
        <w:rPr>
          <w:rFonts w:eastAsiaTheme="majorEastAsia" w:cstheme="minorHAnsi"/>
          <w:b/>
          <w:bCs/>
          <w:sz w:val="24"/>
          <w:szCs w:val="24"/>
          <w:lang w:eastAsia="es-MX"/>
        </w:rPr>
      </w:pPr>
      <w:r w:rsidRPr="0047190F">
        <w:rPr>
          <w:rFonts w:eastAsiaTheme="majorEastAsia" w:cstheme="minorHAnsi"/>
          <w:b/>
          <w:bCs/>
          <w:sz w:val="24"/>
          <w:szCs w:val="24"/>
          <w:lang w:eastAsia="es-MX"/>
        </w:rPr>
        <w:t>Reparaciones</w:t>
      </w:r>
    </w:p>
    <w:p w14:paraId="06F9F776" w14:textId="77777777" w:rsidR="005F2A10" w:rsidRPr="005F2A10" w:rsidRDefault="005F2A10" w:rsidP="005F2A10">
      <w:pPr>
        <w:spacing w:after="0" w:line="240" w:lineRule="auto"/>
        <w:jc w:val="both"/>
        <w:rPr>
          <w:rFonts w:eastAsiaTheme="majorEastAsia" w:cstheme="minorHAnsi"/>
          <w:sz w:val="24"/>
          <w:szCs w:val="24"/>
          <w:lang w:eastAsia="es-MX"/>
        </w:rPr>
      </w:pPr>
      <w:r w:rsidRPr="005F2A10">
        <w:rPr>
          <w:rFonts w:eastAsiaTheme="majorEastAsia" w:cstheme="minorHAnsi"/>
          <w:sz w:val="24"/>
          <w:szCs w:val="24"/>
          <w:lang w:eastAsia="es-MX"/>
        </w:rPr>
        <w:t>La Corte dispone que:</w:t>
      </w:r>
    </w:p>
    <w:p w14:paraId="3E970BA9" w14:textId="77777777" w:rsidR="005F2A10" w:rsidRPr="005F2A10" w:rsidRDefault="005F2A10" w:rsidP="005F2A10">
      <w:pPr>
        <w:spacing w:after="0" w:line="240" w:lineRule="auto"/>
        <w:jc w:val="both"/>
        <w:rPr>
          <w:rFonts w:eastAsiaTheme="majorEastAsia" w:cstheme="minorHAnsi"/>
          <w:sz w:val="24"/>
          <w:szCs w:val="24"/>
          <w:lang w:eastAsia="es-MX"/>
        </w:rPr>
      </w:pPr>
    </w:p>
    <w:p w14:paraId="43A72929" w14:textId="1C436911" w:rsidR="005F2A10" w:rsidRPr="005F2A10" w:rsidRDefault="005F2A10" w:rsidP="005F2A10">
      <w:pPr>
        <w:spacing w:after="0" w:line="240" w:lineRule="auto"/>
        <w:jc w:val="both"/>
        <w:rPr>
          <w:rFonts w:eastAsiaTheme="majorEastAsia" w:cstheme="minorHAnsi"/>
          <w:sz w:val="24"/>
          <w:szCs w:val="24"/>
          <w:lang w:eastAsia="es-MX"/>
        </w:rPr>
      </w:pPr>
      <w:r w:rsidRPr="005F2A10">
        <w:rPr>
          <w:rFonts w:eastAsiaTheme="majorEastAsia" w:cstheme="minorHAnsi"/>
          <w:sz w:val="24"/>
          <w:szCs w:val="24"/>
          <w:lang w:eastAsia="es-MX"/>
        </w:rPr>
        <w:t>1.</w:t>
      </w:r>
      <w:r w:rsidR="0047190F">
        <w:rPr>
          <w:rFonts w:eastAsiaTheme="majorEastAsia" w:cstheme="minorHAnsi"/>
          <w:sz w:val="24"/>
          <w:szCs w:val="24"/>
          <w:lang w:eastAsia="es-MX"/>
        </w:rPr>
        <w:t xml:space="preserve"> </w:t>
      </w:r>
      <w:r w:rsidRPr="005F2A10">
        <w:rPr>
          <w:rFonts w:eastAsiaTheme="majorEastAsia" w:cstheme="minorHAnsi"/>
          <w:sz w:val="24"/>
          <w:szCs w:val="24"/>
          <w:lang w:eastAsia="es-MX"/>
        </w:rPr>
        <w:t>Esta Sentencia constituye per se una forma de reparación.</w:t>
      </w:r>
    </w:p>
    <w:p w14:paraId="7EE2F0C4" w14:textId="77777777" w:rsidR="005F2A10" w:rsidRPr="005F2A10" w:rsidRDefault="005F2A10" w:rsidP="005F2A10">
      <w:pPr>
        <w:spacing w:after="0" w:line="240" w:lineRule="auto"/>
        <w:jc w:val="both"/>
        <w:rPr>
          <w:rFonts w:eastAsiaTheme="majorEastAsia" w:cstheme="minorHAnsi"/>
          <w:sz w:val="24"/>
          <w:szCs w:val="24"/>
          <w:lang w:eastAsia="es-MX"/>
        </w:rPr>
      </w:pPr>
    </w:p>
    <w:p w14:paraId="633B9E77" w14:textId="24BA4E80" w:rsidR="005F2A10" w:rsidRPr="005F2A10" w:rsidRDefault="005F2A10" w:rsidP="005F2A10">
      <w:pPr>
        <w:spacing w:after="0" w:line="240" w:lineRule="auto"/>
        <w:jc w:val="both"/>
        <w:rPr>
          <w:rFonts w:eastAsiaTheme="majorEastAsia" w:cstheme="minorHAnsi"/>
          <w:sz w:val="24"/>
          <w:szCs w:val="24"/>
          <w:lang w:eastAsia="es-MX"/>
        </w:rPr>
      </w:pPr>
      <w:r w:rsidRPr="005F2A10">
        <w:rPr>
          <w:rFonts w:eastAsiaTheme="majorEastAsia" w:cstheme="minorHAnsi"/>
          <w:sz w:val="24"/>
          <w:szCs w:val="24"/>
          <w:lang w:eastAsia="es-MX"/>
        </w:rPr>
        <w:lastRenderedPageBreak/>
        <w:t>2.</w:t>
      </w:r>
      <w:r w:rsidR="0047190F">
        <w:rPr>
          <w:rFonts w:eastAsiaTheme="majorEastAsia" w:cstheme="minorHAnsi"/>
          <w:sz w:val="24"/>
          <w:szCs w:val="24"/>
          <w:lang w:eastAsia="es-MX"/>
        </w:rPr>
        <w:t xml:space="preserve"> </w:t>
      </w:r>
      <w:r w:rsidRPr="005F2A10">
        <w:rPr>
          <w:rFonts w:eastAsiaTheme="majorEastAsia" w:cstheme="minorHAnsi"/>
          <w:sz w:val="24"/>
          <w:szCs w:val="24"/>
          <w:lang w:eastAsia="es-MX"/>
        </w:rPr>
        <w:t xml:space="preserve">El Estado deberá devolver a los miembros de la Comunidad </w:t>
      </w:r>
      <w:proofErr w:type="spellStart"/>
      <w:r w:rsidRPr="005F2A10">
        <w:rPr>
          <w:rFonts w:eastAsiaTheme="majorEastAsia" w:cstheme="minorHAnsi"/>
          <w:sz w:val="24"/>
          <w:szCs w:val="24"/>
          <w:lang w:eastAsia="es-MX"/>
        </w:rPr>
        <w:t>Xákmok</w:t>
      </w:r>
      <w:proofErr w:type="spellEnd"/>
      <w:r w:rsidRPr="005F2A10">
        <w:rPr>
          <w:rFonts w:eastAsiaTheme="majorEastAsia" w:cstheme="minorHAnsi"/>
          <w:sz w:val="24"/>
          <w:szCs w:val="24"/>
          <w:lang w:eastAsia="es-MX"/>
        </w:rPr>
        <w:t xml:space="preserve"> </w:t>
      </w:r>
      <w:proofErr w:type="spellStart"/>
      <w:r w:rsidRPr="005F2A10">
        <w:rPr>
          <w:rFonts w:eastAsiaTheme="majorEastAsia" w:cstheme="minorHAnsi"/>
          <w:sz w:val="24"/>
          <w:szCs w:val="24"/>
          <w:lang w:eastAsia="es-MX"/>
        </w:rPr>
        <w:t>Kásek</w:t>
      </w:r>
      <w:proofErr w:type="spellEnd"/>
      <w:r w:rsidRPr="005F2A10">
        <w:rPr>
          <w:rFonts w:eastAsiaTheme="majorEastAsia" w:cstheme="minorHAnsi"/>
          <w:sz w:val="24"/>
          <w:szCs w:val="24"/>
          <w:lang w:eastAsia="es-MX"/>
        </w:rPr>
        <w:t xml:space="preserve"> las 10.700 hectáreas reclamadas por ésta, en la forma y en los plazos establecidos en los párrafos 281 a 290 de esta Sentencia.</w:t>
      </w:r>
    </w:p>
    <w:p w14:paraId="013B2076" w14:textId="77777777" w:rsidR="005F2A10" w:rsidRPr="005F2A10" w:rsidRDefault="005F2A10" w:rsidP="005F2A10">
      <w:pPr>
        <w:spacing w:after="0" w:line="240" w:lineRule="auto"/>
        <w:jc w:val="both"/>
        <w:rPr>
          <w:rFonts w:eastAsiaTheme="majorEastAsia" w:cstheme="minorHAnsi"/>
          <w:sz w:val="24"/>
          <w:szCs w:val="24"/>
          <w:lang w:eastAsia="es-MX"/>
        </w:rPr>
      </w:pPr>
    </w:p>
    <w:p w14:paraId="5459118D" w14:textId="0585F099" w:rsidR="005F2A10" w:rsidRPr="005F2A10" w:rsidRDefault="005F2A10" w:rsidP="005F2A10">
      <w:pPr>
        <w:spacing w:after="0" w:line="240" w:lineRule="auto"/>
        <w:jc w:val="both"/>
        <w:rPr>
          <w:rFonts w:eastAsiaTheme="majorEastAsia" w:cstheme="minorHAnsi"/>
          <w:sz w:val="24"/>
          <w:szCs w:val="24"/>
          <w:lang w:eastAsia="es-MX"/>
        </w:rPr>
      </w:pPr>
      <w:r w:rsidRPr="005F2A10">
        <w:rPr>
          <w:rFonts w:eastAsiaTheme="majorEastAsia" w:cstheme="minorHAnsi"/>
          <w:sz w:val="24"/>
          <w:szCs w:val="24"/>
          <w:lang w:eastAsia="es-MX"/>
        </w:rPr>
        <w:t>3.</w:t>
      </w:r>
      <w:r w:rsidR="0047190F">
        <w:rPr>
          <w:rFonts w:eastAsiaTheme="majorEastAsia" w:cstheme="minorHAnsi"/>
          <w:sz w:val="24"/>
          <w:szCs w:val="24"/>
          <w:lang w:eastAsia="es-MX"/>
        </w:rPr>
        <w:t xml:space="preserve"> </w:t>
      </w:r>
      <w:r w:rsidRPr="005F2A10">
        <w:rPr>
          <w:rFonts w:eastAsiaTheme="majorEastAsia" w:cstheme="minorHAnsi"/>
          <w:sz w:val="24"/>
          <w:szCs w:val="24"/>
          <w:lang w:eastAsia="es-MX"/>
        </w:rPr>
        <w:t xml:space="preserve">El Estado deberá velar inmediatamente que el territorio reclamado por la Comunidad no se vea menoscabado por acciones del propio Estado o de terceros particulares, de conformidad con lo dispuesto en el párrafo 291 de esta Sentencia. </w:t>
      </w:r>
    </w:p>
    <w:p w14:paraId="78034163" w14:textId="77777777" w:rsidR="005F2A10" w:rsidRPr="005F2A10" w:rsidRDefault="005F2A10" w:rsidP="005F2A10">
      <w:pPr>
        <w:spacing w:after="0" w:line="240" w:lineRule="auto"/>
        <w:jc w:val="both"/>
        <w:rPr>
          <w:rFonts w:eastAsiaTheme="majorEastAsia" w:cstheme="minorHAnsi"/>
          <w:sz w:val="24"/>
          <w:szCs w:val="24"/>
          <w:lang w:eastAsia="es-MX"/>
        </w:rPr>
      </w:pPr>
    </w:p>
    <w:p w14:paraId="2FF05F3D" w14:textId="517DFDD8" w:rsidR="005F2A10" w:rsidRPr="005F2A10" w:rsidRDefault="005F2A10" w:rsidP="005F2A10">
      <w:pPr>
        <w:spacing w:after="0" w:line="240" w:lineRule="auto"/>
        <w:jc w:val="both"/>
        <w:rPr>
          <w:rFonts w:eastAsiaTheme="majorEastAsia" w:cstheme="minorHAnsi"/>
          <w:sz w:val="24"/>
          <w:szCs w:val="24"/>
          <w:lang w:eastAsia="es-MX"/>
        </w:rPr>
      </w:pPr>
      <w:r w:rsidRPr="005F2A10">
        <w:rPr>
          <w:rFonts w:eastAsiaTheme="majorEastAsia" w:cstheme="minorHAnsi"/>
          <w:sz w:val="24"/>
          <w:szCs w:val="24"/>
          <w:lang w:eastAsia="es-MX"/>
        </w:rPr>
        <w:t>4.</w:t>
      </w:r>
      <w:r w:rsidR="0047190F">
        <w:rPr>
          <w:rFonts w:eastAsiaTheme="majorEastAsia" w:cstheme="minorHAnsi"/>
          <w:sz w:val="24"/>
          <w:szCs w:val="24"/>
          <w:lang w:eastAsia="es-MX"/>
        </w:rPr>
        <w:t xml:space="preserve"> </w:t>
      </w:r>
      <w:r w:rsidRPr="005F2A10">
        <w:rPr>
          <w:rFonts w:eastAsiaTheme="majorEastAsia" w:cstheme="minorHAnsi"/>
          <w:sz w:val="24"/>
          <w:szCs w:val="24"/>
          <w:lang w:eastAsia="es-MX"/>
        </w:rPr>
        <w:t xml:space="preserve">El Estado deberá, dentro del plazo de seis meses a partir de la notificación de la presente Sentencia, remover los obstáculos formales para la titulación de las 1.500 hectáreas en "25 de </w:t>
      </w:r>
      <w:proofErr w:type="gramStart"/>
      <w:r w:rsidRPr="005F2A10">
        <w:rPr>
          <w:rFonts w:eastAsiaTheme="majorEastAsia" w:cstheme="minorHAnsi"/>
          <w:sz w:val="24"/>
          <w:szCs w:val="24"/>
          <w:lang w:eastAsia="es-MX"/>
        </w:rPr>
        <w:t>Febrero</w:t>
      </w:r>
      <w:proofErr w:type="gramEnd"/>
      <w:r w:rsidRPr="005F2A10">
        <w:rPr>
          <w:rFonts w:eastAsiaTheme="majorEastAsia" w:cstheme="minorHAnsi"/>
          <w:sz w:val="24"/>
          <w:szCs w:val="24"/>
          <w:lang w:eastAsia="es-MX"/>
        </w:rPr>
        <w:t xml:space="preserve">" a favor de la Comunidad </w:t>
      </w:r>
      <w:proofErr w:type="spellStart"/>
      <w:r w:rsidRPr="005F2A10">
        <w:rPr>
          <w:rFonts w:eastAsiaTheme="majorEastAsia" w:cstheme="minorHAnsi"/>
          <w:sz w:val="24"/>
          <w:szCs w:val="24"/>
          <w:lang w:eastAsia="es-MX"/>
        </w:rPr>
        <w:t>Xákmok</w:t>
      </w:r>
      <w:proofErr w:type="spellEnd"/>
      <w:r w:rsidRPr="005F2A10">
        <w:rPr>
          <w:rFonts w:eastAsiaTheme="majorEastAsia" w:cstheme="minorHAnsi"/>
          <w:sz w:val="24"/>
          <w:szCs w:val="24"/>
          <w:lang w:eastAsia="es-MX"/>
        </w:rPr>
        <w:t xml:space="preserve"> </w:t>
      </w:r>
      <w:proofErr w:type="spellStart"/>
      <w:r w:rsidRPr="005F2A10">
        <w:rPr>
          <w:rFonts w:eastAsiaTheme="majorEastAsia" w:cstheme="minorHAnsi"/>
          <w:sz w:val="24"/>
          <w:szCs w:val="24"/>
          <w:lang w:eastAsia="es-MX"/>
        </w:rPr>
        <w:t>Kásek</w:t>
      </w:r>
      <w:proofErr w:type="spellEnd"/>
      <w:r w:rsidRPr="005F2A10">
        <w:rPr>
          <w:rFonts w:eastAsiaTheme="majorEastAsia" w:cstheme="minorHAnsi"/>
          <w:sz w:val="24"/>
          <w:szCs w:val="24"/>
          <w:lang w:eastAsia="es-MX"/>
        </w:rPr>
        <w:t>, de conformidad con lo dispuesto en el párrafo 293 de esta Sentencia.</w:t>
      </w:r>
    </w:p>
    <w:p w14:paraId="33826CC5" w14:textId="77777777" w:rsidR="005F2A10" w:rsidRPr="005F2A10" w:rsidRDefault="005F2A10" w:rsidP="005F2A10">
      <w:pPr>
        <w:spacing w:after="0" w:line="240" w:lineRule="auto"/>
        <w:jc w:val="both"/>
        <w:rPr>
          <w:rFonts w:eastAsiaTheme="majorEastAsia" w:cstheme="minorHAnsi"/>
          <w:sz w:val="24"/>
          <w:szCs w:val="24"/>
          <w:lang w:eastAsia="es-MX"/>
        </w:rPr>
      </w:pPr>
    </w:p>
    <w:p w14:paraId="2D939197" w14:textId="7625875D" w:rsidR="005F2A10" w:rsidRPr="005F2A10" w:rsidRDefault="005F2A10" w:rsidP="005F2A10">
      <w:pPr>
        <w:spacing w:after="0" w:line="240" w:lineRule="auto"/>
        <w:jc w:val="both"/>
        <w:rPr>
          <w:rFonts w:eastAsiaTheme="majorEastAsia" w:cstheme="minorHAnsi"/>
          <w:sz w:val="24"/>
          <w:szCs w:val="24"/>
          <w:lang w:eastAsia="es-MX"/>
        </w:rPr>
      </w:pPr>
      <w:r w:rsidRPr="005F2A10">
        <w:rPr>
          <w:rFonts w:eastAsiaTheme="majorEastAsia" w:cstheme="minorHAnsi"/>
          <w:sz w:val="24"/>
          <w:szCs w:val="24"/>
          <w:lang w:eastAsia="es-MX"/>
        </w:rPr>
        <w:t>5.</w:t>
      </w:r>
      <w:r w:rsidR="0047190F">
        <w:rPr>
          <w:rFonts w:eastAsiaTheme="majorEastAsia" w:cstheme="minorHAnsi"/>
          <w:sz w:val="24"/>
          <w:szCs w:val="24"/>
          <w:lang w:eastAsia="es-MX"/>
        </w:rPr>
        <w:t xml:space="preserve"> </w:t>
      </w:r>
      <w:r w:rsidRPr="005F2A10">
        <w:rPr>
          <w:rFonts w:eastAsiaTheme="majorEastAsia" w:cstheme="minorHAnsi"/>
          <w:sz w:val="24"/>
          <w:szCs w:val="24"/>
          <w:lang w:eastAsia="es-MX"/>
        </w:rPr>
        <w:t xml:space="preserve">El Estado deberá titular, dentro del plazo de un año a partir de la notificación de esta Sentencia, las 1.500 hectáreas en "25 de </w:t>
      </w:r>
      <w:proofErr w:type="gramStart"/>
      <w:r w:rsidRPr="005F2A10">
        <w:rPr>
          <w:rFonts w:eastAsiaTheme="majorEastAsia" w:cstheme="minorHAnsi"/>
          <w:sz w:val="24"/>
          <w:szCs w:val="24"/>
          <w:lang w:eastAsia="es-MX"/>
        </w:rPr>
        <w:t>Febrero</w:t>
      </w:r>
      <w:proofErr w:type="gramEnd"/>
      <w:r w:rsidRPr="005F2A10">
        <w:rPr>
          <w:rFonts w:eastAsiaTheme="majorEastAsia" w:cstheme="minorHAnsi"/>
          <w:sz w:val="24"/>
          <w:szCs w:val="24"/>
          <w:lang w:eastAsia="es-MX"/>
        </w:rPr>
        <w:t xml:space="preserve">" a favor de la Comunidad </w:t>
      </w:r>
      <w:proofErr w:type="spellStart"/>
      <w:r w:rsidRPr="005F2A10">
        <w:rPr>
          <w:rFonts w:eastAsiaTheme="majorEastAsia" w:cstheme="minorHAnsi"/>
          <w:sz w:val="24"/>
          <w:szCs w:val="24"/>
          <w:lang w:eastAsia="es-MX"/>
        </w:rPr>
        <w:t>Xákmok</w:t>
      </w:r>
      <w:proofErr w:type="spellEnd"/>
      <w:r w:rsidRPr="005F2A10">
        <w:rPr>
          <w:rFonts w:eastAsiaTheme="majorEastAsia" w:cstheme="minorHAnsi"/>
          <w:sz w:val="24"/>
          <w:szCs w:val="24"/>
          <w:lang w:eastAsia="es-MX"/>
        </w:rPr>
        <w:t xml:space="preserve"> </w:t>
      </w:r>
      <w:proofErr w:type="spellStart"/>
      <w:r w:rsidRPr="005F2A10">
        <w:rPr>
          <w:rFonts w:eastAsiaTheme="majorEastAsia" w:cstheme="minorHAnsi"/>
          <w:sz w:val="24"/>
          <w:szCs w:val="24"/>
          <w:lang w:eastAsia="es-MX"/>
        </w:rPr>
        <w:t>Kásek</w:t>
      </w:r>
      <w:proofErr w:type="spellEnd"/>
      <w:r w:rsidRPr="005F2A10">
        <w:rPr>
          <w:rFonts w:eastAsiaTheme="majorEastAsia" w:cstheme="minorHAnsi"/>
          <w:sz w:val="24"/>
          <w:szCs w:val="24"/>
          <w:lang w:eastAsia="es-MX"/>
        </w:rPr>
        <w:t>, de conformidad con lo establecido en los párrafos 294 y 295 de esta Sentencia.</w:t>
      </w:r>
    </w:p>
    <w:p w14:paraId="11452766" w14:textId="77777777" w:rsidR="005F2A10" w:rsidRPr="005F2A10" w:rsidRDefault="005F2A10" w:rsidP="005F2A10">
      <w:pPr>
        <w:spacing w:after="0" w:line="240" w:lineRule="auto"/>
        <w:jc w:val="both"/>
        <w:rPr>
          <w:rFonts w:eastAsiaTheme="majorEastAsia" w:cstheme="minorHAnsi"/>
          <w:sz w:val="24"/>
          <w:szCs w:val="24"/>
          <w:lang w:eastAsia="es-MX"/>
        </w:rPr>
      </w:pPr>
    </w:p>
    <w:p w14:paraId="250529DB" w14:textId="24F94943" w:rsidR="005F2A10" w:rsidRPr="005F2A10" w:rsidRDefault="005F2A10" w:rsidP="005F2A10">
      <w:pPr>
        <w:spacing w:after="0" w:line="240" w:lineRule="auto"/>
        <w:jc w:val="both"/>
        <w:rPr>
          <w:rFonts w:eastAsiaTheme="majorEastAsia" w:cstheme="minorHAnsi"/>
          <w:sz w:val="24"/>
          <w:szCs w:val="24"/>
          <w:lang w:eastAsia="es-MX"/>
        </w:rPr>
      </w:pPr>
      <w:r w:rsidRPr="005F2A10">
        <w:rPr>
          <w:rFonts w:eastAsiaTheme="majorEastAsia" w:cstheme="minorHAnsi"/>
          <w:sz w:val="24"/>
          <w:szCs w:val="24"/>
          <w:lang w:eastAsia="es-MX"/>
        </w:rPr>
        <w:t>6.</w:t>
      </w:r>
      <w:r w:rsidR="0047190F">
        <w:rPr>
          <w:rFonts w:eastAsiaTheme="majorEastAsia" w:cstheme="minorHAnsi"/>
          <w:sz w:val="24"/>
          <w:szCs w:val="24"/>
          <w:lang w:eastAsia="es-MX"/>
        </w:rPr>
        <w:t xml:space="preserve"> </w:t>
      </w:r>
      <w:r w:rsidRPr="005F2A10">
        <w:rPr>
          <w:rFonts w:eastAsiaTheme="majorEastAsia" w:cstheme="minorHAnsi"/>
          <w:sz w:val="24"/>
          <w:szCs w:val="24"/>
          <w:lang w:eastAsia="es-MX"/>
        </w:rPr>
        <w:t xml:space="preserve">El Estado deberá realizar un acto público de reconocimiento de su responsabilidad internacional, en el plazo de un año a partir de la notificación de esta Sentencia, en los términos del párrafo 297 de la misma. </w:t>
      </w:r>
    </w:p>
    <w:p w14:paraId="52237A11" w14:textId="77777777" w:rsidR="005F2A10" w:rsidRPr="005F2A10" w:rsidRDefault="005F2A10" w:rsidP="005F2A10">
      <w:pPr>
        <w:spacing w:after="0" w:line="240" w:lineRule="auto"/>
        <w:jc w:val="both"/>
        <w:rPr>
          <w:rFonts w:eastAsiaTheme="majorEastAsia" w:cstheme="minorHAnsi"/>
          <w:sz w:val="24"/>
          <w:szCs w:val="24"/>
          <w:lang w:eastAsia="es-MX"/>
        </w:rPr>
      </w:pPr>
    </w:p>
    <w:p w14:paraId="360ED144" w14:textId="5F15DB53" w:rsidR="005F2A10" w:rsidRPr="005F2A10" w:rsidRDefault="005F2A10" w:rsidP="005F2A10">
      <w:pPr>
        <w:spacing w:after="0" w:line="240" w:lineRule="auto"/>
        <w:jc w:val="both"/>
        <w:rPr>
          <w:rFonts w:eastAsiaTheme="majorEastAsia" w:cstheme="minorHAnsi"/>
          <w:sz w:val="24"/>
          <w:szCs w:val="24"/>
          <w:lang w:eastAsia="es-MX"/>
        </w:rPr>
      </w:pPr>
      <w:r w:rsidRPr="005F2A10">
        <w:rPr>
          <w:rFonts w:eastAsiaTheme="majorEastAsia" w:cstheme="minorHAnsi"/>
          <w:sz w:val="24"/>
          <w:szCs w:val="24"/>
          <w:lang w:eastAsia="es-MX"/>
        </w:rPr>
        <w:t>7.</w:t>
      </w:r>
      <w:r w:rsidR="0047190F">
        <w:rPr>
          <w:rFonts w:eastAsiaTheme="majorEastAsia" w:cstheme="minorHAnsi"/>
          <w:sz w:val="24"/>
          <w:szCs w:val="24"/>
          <w:lang w:eastAsia="es-MX"/>
        </w:rPr>
        <w:t xml:space="preserve"> </w:t>
      </w:r>
      <w:r w:rsidRPr="005F2A10">
        <w:rPr>
          <w:rFonts w:eastAsiaTheme="majorEastAsia" w:cstheme="minorHAnsi"/>
          <w:sz w:val="24"/>
          <w:szCs w:val="24"/>
          <w:lang w:eastAsia="es-MX"/>
        </w:rPr>
        <w:t xml:space="preserve">El Estado deberá realizar las publicaciones ordenadas en el párrafo 298 de esta Sentencia, en la forma y en los plazos indicados en el mencionado párrafo. </w:t>
      </w:r>
    </w:p>
    <w:p w14:paraId="717EF78A" w14:textId="77777777" w:rsidR="005F2A10" w:rsidRPr="005F2A10" w:rsidRDefault="005F2A10" w:rsidP="005F2A10">
      <w:pPr>
        <w:spacing w:after="0" w:line="240" w:lineRule="auto"/>
        <w:jc w:val="both"/>
        <w:rPr>
          <w:rFonts w:eastAsiaTheme="majorEastAsia" w:cstheme="minorHAnsi"/>
          <w:sz w:val="24"/>
          <w:szCs w:val="24"/>
          <w:lang w:eastAsia="es-MX"/>
        </w:rPr>
      </w:pPr>
    </w:p>
    <w:p w14:paraId="2EEB612B" w14:textId="670FD76A" w:rsidR="005F2A10" w:rsidRPr="005F2A10" w:rsidRDefault="005F2A10" w:rsidP="005F2A10">
      <w:pPr>
        <w:spacing w:after="0" w:line="240" w:lineRule="auto"/>
        <w:jc w:val="both"/>
        <w:rPr>
          <w:rFonts w:eastAsiaTheme="majorEastAsia" w:cstheme="minorHAnsi"/>
          <w:sz w:val="24"/>
          <w:szCs w:val="24"/>
          <w:lang w:eastAsia="es-MX"/>
        </w:rPr>
      </w:pPr>
      <w:r w:rsidRPr="005F2A10">
        <w:rPr>
          <w:rFonts w:eastAsiaTheme="majorEastAsia" w:cstheme="minorHAnsi"/>
          <w:sz w:val="24"/>
          <w:szCs w:val="24"/>
          <w:lang w:eastAsia="es-MX"/>
        </w:rPr>
        <w:t>8.</w:t>
      </w:r>
      <w:r w:rsidR="0047190F">
        <w:rPr>
          <w:rFonts w:eastAsiaTheme="majorEastAsia" w:cstheme="minorHAnsi"/>
          <w:sz w:val="24"/>
          <w:szCs w:val="24"/>
          <w:lang w:eastAsia="es-MX"/>
        </w:rPr>
        <w:t xml:space="preserve"> </w:t>
      </w:r>
      <w:r w:rsidRPr="005F2A10">
        <w:rPr>
          <w:rFonts w:eastAsiaTheme="majorEastAsia" w:cstheme="minorHAnsi"/>
          <w:sz w:val="24"/>
          <w:szCs w:val="24"/>
          <w:lang w:eastAsia="es-MX"/>
        </w:rPr>
        <w:t>El Estado deberá dar publicidad, a través de una emisora radial de amplia cobertura en la región del Chaco, al resumen oficial de la Sentencia emitido por la Corte, en la forma y en el plazo indicado en el párrafo 299 de esta Sentencia.</w:t>
      </w:r>
    </w:p>
    <w:p w14:paraId="16FB882A" w14:textId="77777777" w:rsidR="005F2A10" w:rsidRPr="005F2A10" w:rsidRDefault="005F2A10" w:rsidP="005F2A10">
      <w:pPr>
        <w:spacing w:after="0" w:line="240" w:lineRule="auto"/>
        <w:jc w:val="both"/>
        <w:rPr>
          <w:rFonts w:eastAsiaTheme="majorEastAsia" w:cstheme="minorHAnsi"/>
          <w:sz w:val="24"/>
          <w:szCs w:val="24"/>
          <w:lang w:eastAsia="es-MX"/>
        </w:rPr>
      </w:pPr>
    </w:p>
    <w:p w14:paraId="4AA3690E" w14:textId="40608EB3" w:rsidR="005F2A10" w:rsidRPr="005F2A10" w:rsidRDefault="005F2A10" w:rsidP="005F2A10">
      <w:pPr>
        <w:spacing w:after="0" w:line="240" w:lineRule="auto"/>
        <w:jc w:val="both"/>
        <w:rPr>
          <w:rFonts w:eastAsiaTheme="majorEastAsia" w:cstheme="minorHAnsi"/>
          <w:sz w:val="24"/>
          <w:szCs w:val="24"/>
          <w:lang w:eastAsia="es-MX"/>
        </w:rPr>
      </w:pPr>
      <w:r w:rsidRPr="005F2A10">
        <w:rPr>
          <w:rFonts w:eastAsiaTheme="majorEastAsia" w:cstheme="minorHAnsi"/>
          <w:sz w:val="24"/>
          <w:szCs w:val="24"/>
          <w:lang w:eastAsia="es-MX"/>
        </w:rPr>
        <w:t>9.</w:t>
      </w:r>
      <w:r w:rsidR="0047190F">
        <w:rPr>
          <w:rFonts w:eastAsiaTheme="majorEastAsia" w:cstheme="minorHAnsi"/>
          <w:sz w:val="24"/>
          <w:szCs w:val="24"/>
          <w:lang w:eastAsia="es-MX"/>
        </w:rPr>
        <w:t xml:space="preserve"> </w:t>
      </w:r>
      <w:r w:rsidRPr="005F2A10">
        <w:rPr>
          <w:rFonts w:eastAsiaTheme="majorEastAsia" w:cstheme="minorHAnsi"/>
          <w:sz w:val="24"/>
          <w:szCs w:val="24"/>
          <w:lang w:eastAsia="es-MX"/>
        </w:rPr>
        <w:t xml:space="preserve">El Estado, mientras entrega el territorio tradicional, o en su caso las tierras alternativas a los miembros de la Comunidad, deberá adoptar de manera inmediata, periódica y permanente, las medidas indicadas en los párrafos 301 y 302 de esta Sentencia. </w:t>
      </w:r>
    </w:p>
    <w:p w14:paraId="7A0227F5" w14:textId="77777777" w:rsidR="005F2A10" w:rsidRPr="005F2A10" w:rsidRDefault="005F2A10" w:rsidP="005F2A10">
      <w:pPr>
        <w:spacing w:after="0" w:line="240" w:lineRule="auto"/>
        <w:jc w:val="both"/>
        <w:rPr>
          <w:rFonts w:eastAsiaTheme="majorEastAsia" w:cstheme="minorHAnsi"/>
          <w:sz w:val="24"/>
          <w:szCs w:val="24"/>
          <w:lang w:eastAsia="es-MX"/>
        </w:rPr>
      </w:pPr>
    </w:p>
    <w:p w14:paraId="3FC3D518" w14:textId="237A282D" w:rsidR="005F2A10" w:rsidRPr="005F2A10" w:rsidRDefault="005F2A10" w:rsidP="005F2A10">
      <w:pPr>
        <w:spacing w:after="0" w:line="240" w:lineRule="auto"/>
        <w:jc w:val="both"/>
        <w:rPr>
          <w:rFonts w:eastAsiaTheme="majorEastAsia" w:cstheme="minorHAnsi"/>
          <w:sz w:val="24"/>
          <w:szCs w:val="24"/>
          <w:lang w:eastAsia="es-MX"/>
        </w:rPr>
      </w:pPr>
      <w:r w:rsidRPr="005F2A10">
        <w:rPr>
          <w:rFonts w:eastAsiaTheme="majorEastAsia" w:cstheme="minorHAnsi"/>
          <w:sz w:val="24"/>
          <w:szCs w:val="24"/>
          <w:lang w:eastAsia="es-MX"/>
        </w:rPr>
        <w:t>10.</w:t>
      </w:r>
      <w:r w:rsidR="0047190F">
        <w:rPr>
          <w:rFonts w:eastAsiaTheme="majorEastAsia" w:cstheme="minorHAnsi"/>
          <w:sz w:val="24"/>
          <w:szCs w:val="24"/>
          <w:lang w:eastAsia="es-MX"/>
        </w:rPr>
        <w:t xml:space="preserve"> </w:t>
      </w:r>
      <w:r w:rsidRPr="005F2A10">
        <w:rPr>
          <w:rFonts w:eastAsiaTheme="majorEastAsia" w:cstheme="minorHAnsi"/>
          <w:sz w:val="24"/>
          <w:szCs w:val="24"/>
          <w:lang w:eastAsia="es-MX"/>
        </w:rPr>
        <w:t>El Estado deberá elaborar el estudio señalado en el párrafo 303 de esta Sentencia en el plazo de seis meses a partir de la notificación del presente Fallo, en los términos expuestos en los párrafos 304 y 305 del mismo.</w:t>
      </w:r>
    </w:p>
    <w:p w14:paraId="56D2D38F" w14:textId="77777777" w:rsidR="005F2A10" w:rsidRPr="005F2A10" w:rsidRDefault="005F2A10" w:rsidP="005F2A10">
      <w:pPr>
        <w:spacing w:after="0" w:line="240" w:lineRule="auto"/>
        <w:jc w:val="both"/>
        <w:rPr>
          <w:rFonts w:eastAsiaTheme="majorEastAsia" w:cstheme="minorHAnsi"/>
          <w:sz w:val="24"/>
          <w:szCs w:val="24"/>
          <w:lang w:eastAsia="es-MX"/>
        </w:rPr>
      </w:pPr>
    </w:p>
    <w:p w14:paraId="710AE69E" w14:textId="37B8B6B6" w:rsidR="005F2A10" w:rsidRPr="005F2A10" w:rsidRDefault="005F2A10" w:rsidP="005F2A10">
      <w:pPr>
        <w:spacing w:after="0" w:line="240" w:lineRule="auto"/>
        <w:jc w:val="both"/>
        <w:rPr>
          <w:rFonts w:eastAsiaTheme="majorEastAsia" w:cstheme="minorHAnsi"/>
          <w:sz w:val="24"/>
          <w:szCs w:val="24"/>
          <w:lang w:eastAsia="es-MX"/>
        </w:rPr>
      </w:pPr>
      <w:r w:rsidRPr="005F2A10">
        <w:rPr>
          <w:rFonts w:eastAsiaTheme="majorEastAsia" w:cstheme="minorHAnsi"/>
          <w:sz w:val="24"/>
          <w:szCs w:val="24"/>
          <w:lang w:eastAsia="es-MX"/>
        </w:rPr>
        <w:t>11.</w:t>
      </w:r>
      <w:r w:rsidR="0047190F">
        <w:rPr>
          <w:rFonts w:eastAsiaTheme="majorEastAsia" w:cstheme="minorHAnsi"/>
          <w:sz w:val="24"/>
          <w:szCs w:val="24"/>
          <w:lang w:eastAsia="es-MX"/>
        </w:rPr>
        <w:t xml:space="preserve"> </w:t>
      </w:r>
      <w:r w:rsidRPr="005F2A10">
        <w:rPr>
          <w:rFonts w:eastAsiaTheme="majorEastAsia" w:cstheme="minorHAnsi"/>
          <w:sz w:val="24"/>
          <w:szCs w:val="24"/>
          <w:lang w:eastAsia="es-MX"/>
        </w:rPr>
        <w:t xml:space="preserve">El Estado deberá establecer en "25 de </w:t>
      </w:r>
      <w:proofErr w:type="gramStart"/>
      <w:r w:rsidRPr="005F2A10">
        <w:rPr>
          <w:rFonts w:eastAsiaTheme="majorEastAsia" w:cstheme="minorHAnsi"/>
          <w:sz w:val="24"/>
          <w:szCs w:val="24"/>
          <w:lang w:eastAsia="es-MX"/>
        </w:rPr>
        <w:t>Febrero</w:t>
      </w:r>
      <w:proofErr w:type="gramEnd"/>
      <w:r w:rsidRPr="005F2A10">
        <w:rPr>
          <w:rFonts w:eastAsiaTheme="majorEastAsia" w:cstheme="minorHAnsi"/>
          <w:sz w:val="24"/>
          <w:szCs w:val="24"/>
          <w:lang w:eastAsia="es-MX"/>
        </w:rPr>
        <w:t xml:space="preserve">" un puesto de salud permanente y con las medicinas e insumos necesarios para una atención en salud adecuada, en el plazo de seis meses a partir de la notificación de la presente Sentencia, en los términos del párrafo 306 de la misma. </w:t>
      </w:r>
    </w:p>
    <w:p w14:paraId="4A3E3B27" w14:textId="77777777" w:rsidR="005F2A10" w:rsidRPr="005F2A10" w:rsidRDefault="005F2A10" w:rsidP="005F2A10">
      <w:pPr>
        <w:spacing w:after="0" w:line="240" w:lineRule="auto"/>
        <w:jc w:val="both"/>
        <w:rPr>
          <w:rFonts w:eastAsiaTheme="majorEastAsia" w:cstheme="minorHAnsi"/>
          <w:sz w:val="24"/>
          <w:szCs w:val="24"/>
          <w:lang w:eastAsia="es-MX"/>
        </w:rPr>
      </w:pPr>
    </w:p>
    <w:p w14:paraId="50701578" w14:textId="4E6163A9" w:rsidR="005F2A10" w:rsidRPr="005F2A10" w:rsidRDefault="005F2A10" w:rsidP="005F2A10">
      <w:pPr>
        <w:spacing w:after="0" w:line="240" w:lineRule="auto"/>
        <w:jc w:val="both"/>
        <w:rPr>
          <w:rFonts w:eastAsiaTheme="majorEastAsia" w:cstheme="minorHAnsi"/>
          <w:sz w:val="24"/>
          <w:szCs w:val="24"/>
          <w:lang w:eastAsia="es-MX"/>
        </w:rPr>
      </w:pPr>
      <w:r w:rsidRPr="005F2A10">
        <w:rPr>
          <w:rFonts w:eastAsiaTheme="majorEastAsia" w:cstheme="minorHAnsi"/>
          <w:sz w:val="24"/>
          <w:szCs w:val="24"/>
          <w:lang w:eastAsia="es-MX"/>
        </w:rPr>
        <w:t>12.</w:t>
      </w:r>
      <w:r w:rsidR="00074FBD">
        <w:rPr>
          <w:rFonts w:eastAsiaTheme="majorEastAsia" w:cstheme="minorHAnsi"/>
          <w:sz w:val="24"/>
          <w:szCs w:val="24"/>
          <w:lang w:eastAsia="es-MX"/>
        </w:rPr>
        <w:t xml:space="preserve"> </w:t>
      </w:r>
      <w:r w:rsidRPr="005F2A10">
        <w:rPr>
          <w:rFonts w:eastAsiaTheme="majorEastAsia" w:cstheme="minorHAnsi"/>
          <w:sz w:val="24"/>
          <w:szCs w:val="24"/>
          <w:lang w:eastAsia="es-MX"/>
        </w:rPr>
        <w:t xml:space="preserve">El Estado deberá establecer inmediatamente en "25 de </w:t>
      </w:r>
      <w:proofErr w:type="gramStart"/>
      <w:r w:rsidRPr="005F2A10">
        <w:rPr>
          <w:rFonts w:eastAsiaTheme="majorEastAsia" w:cstheme="minorHAnsi"/>
          <w:sz w:val="24"/>
          <w:szCs w:val="24"/>
          <w:lang w:eastAsia="es-MX"/>
        </w:rPr>
        <w:t>Febrero</w:t>
      </w:r>
      <w:proofErr w:type="gramEnd"/>
      <w:r w:rsidRPr="005F2A10">
        <w:rPr>
          <w:rFonts w:eastAsiaTheme="majorEastAsia" w:cstheme="minorHAnsi"/>
          <w:sz w:val="24"/>
          <w:szCs w:val="24"/>
          <w:lang w:eastAsia="es-MX"/>
        </w:rPr>
        <w:t>" el sistema de comunicación señalado en el párrafo 306 de esta Sentencia.</w:t>
      </w:r>
    </w:p>
    <w:p w14:paraId="76F46F50" w14:textId="77777777" w:rsidR="005F2A10" w:rsidRPr="005F2A10" w:rsidRDefault="005F2A10" w:rsidP="005F2A10">
      <w:pPr>
        <w:spacing w:after="0" w:line="240" w:lineRule="auto"/>
        <w:jc w:val="both"/>
        <w:rPr>
          <w:rFonts w:eastAsiaTheme="majorEastAsia" w:cstheme="minorHAnsi"/>
          <w:sz w:val="24"/>
          <w:szCs w:val="24"/>
          <w:lang w:eastAsia="es-MX"/>
        </w:rPr>
      </w:pPr>
    </w:p>
    <w:p w14:paraId="1A5F3E49" w14:textId="723B0BEE" w:rsidR="005F2A10" w:rsidRPr="005F2A10" w:rsidRDefault="005F2A10" w:rsidP="005F2A10">
      <w:pPr>
        <w:spacing w:after="0" w:line="240" w:lineRule="auto"/>
        <w:jc w:val="both"/>
        <w:rPr>
          <w:rFonts w:eastAsiaTheme="majorEastAsia" w:cstheme="minorHAnsi"/>
          <w:sz w:val="24"/>
          <w:szCs w:val="24"/>
          <w:lang w:eastAsia="es-MX"/>
        </w:rPr>
      </w:pPr>
      <w:r w:rsidRPr="005F2A10">
        <w:rPr>
          <w:rFonts w:eastAsiaTheme="majorEastAsia" w:cstheme="minorHAnsi"/>
          <w:sz w:val="24"/>
          <w:szCs w:val="24"/>
          <w:lang w:eastAsia="es-MX"/>
        </w:rPr>
        <w:lastRenderedPageBreak/>
        <w:t>13.</w:t>
      </w:r>
      <w:r w:rsidR="00074FBD">
        <w:rPr>
          <w:rFonts w:eastAsiaTheme="majorEastAsia" w:cstheme="minorHAnsi"/>
          <w:sz w:val="24"/>
          <w:szCs w:val="24"/>
          <w:lang w:eastAsia="es-MX"/>
        </w:rPr>
        <w:t xml:space="preserve"> </w:t>
      </w:r>
      <w:r w:rsidRPr="005F2A10">
        <w:rPr>
          <w:rFonts w:eastAsiaTheme="majorEastAsia" w:cstheme="minorHAnsi"/>
          <w:sz w:val="24"/>
          <w:szCs w:val="24"/>
          <w:lang w:eastAsia="es-MX"/>
        </w:rPr>
        <w:t>El Estado deberá asegurarse que el puesto de salud y el sistema de comunicación señalados en los puntos resolutivos 21 y 22 supra se trasladen al lugar donde la Comunidad se asiente definitivamente una vez que haya recuperado su territorio tradicional, conforme a la orden dada en el punto resolutivo 12 supra.</w:t>
      </w:r>
    </w:p>
    <w:p w14:paraId="52E5317D" w14:textId="77777777" w:rsidR="005F2A10" w:rsidRPr="005F2A10" w:rsidRDefault="005F2A10" w:rsidP="005F2A10">
      <w:pPr>
        <w:spacing w:after="0" w:line="240" w:lineRule="auto"/>
        <w:jc w:val="both"/>
        <w:rPr>
          <w:rFonts w:eastAsiaTheme="majorEastAsia" w:cstheme="minorHAnsi"/>
          <w:sz w:val="24"/>
          <w:szCs w:val="24"/>
          <w:lang w:eastAsia="es-MX"/>
        </w:rPr>
      </w:pPr>
    </w:p>
    <w:p w14:paraId="3DA86060" w14:textId="2E4ED5C0" w:rsidR="005F2A10" w:rsidRPr="005F2A10" w:rsidRDefault="005F2A10" w:rsidP="005F2A10">
      <w:pPr>
        <w:spacing w:after="0" w:line="240" w:lineRule="auto"/>
        <w:jc w:val="both"/>
        <w:rPr>
          <w:rFonts w:eastAsiaTheme="majorEastAsia" w:cstheme="minorHAnsi"/>
          <w:sz w:val="24"/>
          <w:szCs w:val="24"/>
          <w:lang w:eastAsia="es-MX"/>
        </w:rPr>
      </w:pPr>
      <w:r w:rsidRPr="005F2A10">
        <w:rPr>
          <w:rFonts w:eastAsiaTheme="majorEastAsia" w:cstheme="minorHAnsi"/>
          <w:sz w:val="24"/>
          <w:szCs w:val="24"/>
          <w:lang w:eastAsia="es-MX"/>
        </w:rPr>
        <w:t>14.</w:t>
      </w:r>
      <w:r w:rsidR="00074FBD">
        <w:rPr>
          <w:rFonts w:eastAsiaTheme="majorEastAsia" w:cstheme="minorHAnsi"/>
          <w:sz w:val="24"/>
          <w:szCs w:val="24"/>
          <w:lang w:eastAsia="es-MX"/>
        </w:rPr>
        <w:t xml:space="preserve"> </w:t>
      </w:r>
      <w:r w:rsidRPr="005F2A10">
        <w:rPr>
          <w:rFonts w:eastAsiaTheme="majorEastAsia" w:cstheme="minorHAnsi"/>
          <w:sz w:val="24"/>
          <w:szCs w:val="24"/>
          <w:lang w:eastAsia="es-MX"/>
        </w:rPr>
        <w:t xml:space="preserve">El Estado deberá realizar, en el plazo máximo de un año a partir de la notificación de la presente Sentencia, un programa de registro y documentación, en los términos expuestos en </w:t>
      </w:r>
      <w:proofErr w:type="gramStart"/>
      <w:r w:rsidRPr="005F2A10">
        <w:rPr>
          <w:rFonts w:eastAsiaTheme="majorEastAsia" w:cstheme="minorHAnsi"/>
          <w:sz w:val="24"/>
          <w:szCs w:val="24"/>
          <w:lang w:eastAsia="es-MX"/>
        </w:rPr>
        <w:t>el párrafos</w:t>
      </w:r>
      <w:proofErr w:type="gramEnd"/>
      <w:r w:rsidRPr="005F2A10">
        <w:rPr>
          <w:rFonts w:eastAsiaTheme="majorEastAsia" w:cstheme="minorHAnsi"/>
          <w:sz w:val="24"/>
          <w:szCs w:val="24"/>
          <w:lang w:eastAsia="es-MX"/>
        </w:rPr>
        <w:t xml:space="preserve"> 308 de esta Sentencia.</w:t>
      </w:r>
    </w:p>
    <w:p w14:paraId="7F862627" w14:textId="77777777" w:rsidR="005F2A10" w:rsidRPr="005F2A10" w:rsidRDefault="005F2A10" w:rsidP="005F2A10">
      <w:pPr>
        <w:spacing w:after="0" w:line="240" w:lineRule="auto"/>
        <w:jc w:val="both"/>
        <w:rPr>
          <w:rFonts w:eastAsiaTheme="majorEastAsia" w:cstheme="minorHAnsi"/>
          <w:sz w:val="24"/>
          <w:szCs w:val="24"/>
          <w:lang w:eastAsia="es-MX"/>
        </w:rPr>
      </w:pPr>
    </w:p>
    <w:p w14:paraId="587299DB" w14:textId="21A08B6B" w:rsidR="005F2A10" w:rsidRPr="005F2A10" w:rsidRDefault="005F2A10" w:rsidP="005F2A10">
      <w:pPr>
        <w:spacing w:after="0" w:line="240" w:lineRule="auto"/>
        <w:jc w:val="both"/>
        <w:rPr>
          <w:rFonts w:eastAsiaTheme="majorEastAsia" w:cstheme="minorHAnsi"/>
          <w:sz w:val="24"/>
          <w:szCs w:val="24"/>
          <w:lang w:eastAsia="es-MX"/>
        </w:rPr>
      </w:pPr>
      <w:r w:rsidRPr="005F2A10">
        <w:rPr>
          <w:rFonts w:eastAsiaTheme="majorEastAsia" w:cstheme="minorHAnsi"/>
          <w:sz w:val="24"/>
          <w:szCs w:val="24"/>
          <w:lang w:eastAsia="es-MX"/>
        </w:rPr>
        <w:t>15.</w:t>
      </w:r>
      <w:r w:rsidR="00074FBD">
        <w:rPr>
          <w:rFonts w:eastAsiaTheme="majorEastAsia" w:cstheme="minorHAnsi"/>
          <w:sz w:val="24"/>
          <w:szCs w:val="24"/>
          <w:lang w:eastAsia="es-MX"/>
        </w:rPr>
        <w:t xml:space="preserve"> </w:t>
      </w:r>
      <w:r w:rsidRPr="005F2A10">
        <w:rPr>
          <w:rFonts w:eastAsiaTheme="majorEastAsia" w:cstheme="minorHAnsi"/>
          <w:sz w:val="24"/>
          <w:szCs w:val="24"/>
          <w:lang w:eastAsia="es-MX"/>
        </w:rPr>
        <w:t>El Estado deberá, en el plazo de dos años a partir de la notificación de la presente Sentencia, adoptar en su derecho interno las medidas legislativas, administrativas y de cualquier otro carácter que sean necesarias para crear un sistema eficaz de reclamación de tierras ancestrales o tradicionales de los pueblos indígenas que posibilite la concreción de su derecho de propiedad, en los términos expuestos en los párrafos 309 y 310 de este Fallo.</w:t>
      </w:r>
    </w:p>
    <w:p w14:paraId="3F8551C8" w14:textId="77777777" w:rsidR="005F2A10" w:rsidRPr="005F2A10" w:rsidRDefault="005F2A10" w:rsidP="005F2A10">
      <w:pPr>
        <w:spacing w:after="0" w:line="240" w:lineRule="auto"/>
        <w:jc w:val="both"/>
        <w:rPr>
          <w:rFonts w:eastAsiaTheme="majorEastAsia" w:cstheme="minorHAnsi"/>
          <w:sz w:val="24"/>
          <w:szCs w:val="24"/>
          <w:lang w:eastAsia="es-MX"/>
        </w:rPr>
      </w:pPr>
    </w:p>
    <w:p w14:paraId="789F3CB8" w14:textId="5B9471B3" w:rsidR="005F2A10" w:rsidRPr="005F2A10" w:rsidRDefault="005F2A10" w:rsidP="005F2A10">
      <w:pPr>
        <w:spacing w:after="0" w:line="240" w:lineRule="auto"/>
        <w:jc w:val="both"/>
        <w:rPr>
          <w:rFonts w:eastAsiaTheme="majorEastAsia" w:cstheme="minorHAnsi"/>
          <w:sz w:val="24"/>
          <w:szCs w:val="24"/>
          <w:lang w:eastAsia="es-MX"/>
        </w:rPr>
      </w:pPr>
      <w:r w:rsidRPr="005F2A10">
        <w:rPr>
          <w:rFonts w:eastAsiaTheme="majorEastAsia" w:cstheme="minorHAnsi"/>
          <w:sz w:val="24"/>
          <w:szCs w:val="24"/>
          <w:lang w:eastAsia="es-MX"/>
        </w:rPr>
        <w:t>16.</w:t>
      </w:r>
      <w:r w:rsidR="00074FBD">
        <w:rPr>
          <w:rFonts w:eastAsiaTheme="majorEastAsia" w:cstheme="minorHAnsi"/>
          <w:sz w:val="24"/>
          <w:szCs w:val="24"/>
          <w:lang w:eastAsia="es-MX"/>
        </w:rPr>
        <w:t xml:space="preserve"> </w:t>
      </w:r>
      <w:r w:rsidRPr="005F2A10">
        <w:rPr>
          <w:rFonts w:eastAsiaTheme="majorEastAsia" w:cstheme="minorHAnsi"/>
          <w:sz w:val="24"/>
          <w:szCs w:val="24"/>
          <w:lang w:eastAsia="es-MX"/>
        </w:rPr>
        <w:t xml:space="preserve">El Estado deberá adoptar inmediatamente las medidas necesarias para que el Decreto No. 11.804 que </w:t>
      </w:r>
      <w:proofErr w:type="gramStart"/>
      <w:r w:rsidRPr="005F2A10">
        <w:rPr>
          <w:rFonts w:eastAsiaTheme="majorEastAsia" w:cstheme="minorHAnsi"/>
          <w:sz w:val="24"/>
          <w:szCs w:val="24"/>
          <w:lang w:eastAsia="es-MX"/>
        </w:rPr>
        <w:t>declaró como</w:t>
      </w:r>
      <w:proofErr w:type="gramEnd"/>
      <w:r w:rsidRPr="005F2A10">
        <w:rPr>
          <w:rFonts w:eastAsiaTheme="majorEastAsia" w:cstheme="minorHAnsi"/>
          <w:sz w:val="24"/>
          <w:szCs w:val="24"/>
          <w:lang w:eastAsia="es-MX"/>
        </w:rPr>
        <w:t xml:space="preserve"> área silvestre protegida a parte del territorio reclamado por la Comunidad no sea un obstáculo para la devolución de las tierras tradicionales, de conformidad con lo expuesto en los párrafos 311 y 313 de esta Sentencia.</w:t>
      </w:r>
    </w:p>
    <w:p w14:paraId="0FE96199" w14:textId="77777777" w:rsidR="005F2A10" w:rsidRPr="005F2A10" w:rsidRDefault="005F2A10" w:rsidP="005F2A10">
      <w:pPr>
        <w:spacing w:after="0" w:line="240" w:lineRule="auto"/>
        <w:jc w:val="both"/>
        <w:rPr>
          <w:rFonts w:eastAsiaTheme="majorEastAsia" w:cstheme="minorHAnsi"/>
          <w:sz w:val="24"/>
          <w:szCs w:val="24"/>
          <w:lang w:eastAsia="es-MX"/>
        </w:rPr>
      </w:pPr>
    </w:p>
    <w:p w14:paraId="0751DCB6" w14:textId="2D74C4A7" w:rsidR="005F2A10" w:rsidRPr="005F2A10" w:rsidRDefault="005F2A10" w:rsidP="005F2A10">
      <w:pPr>
        <w:spacing w:after="0" w:line="240" w:lineRule="auto"/>
        <w:jc w:val="both"/>
        <w:rPr>
          <w:rFonts w:eastAsiaTheme="majorEastAsia" w:cstheme="minorHAnsi"/>
          <w:sz w:val="24"/>
          <w:szCs w:val="24"/>
          <w:lang w:eastAsia="es-MX"/>
        </w:rPr>
      </w:pPr>
      <w:r w:rsidRPr="005F2A10">
        <w:rPr>
          <w:rFonts w:eastAsiaTheme="majorEastAsia" w:cstheme="minorHAnsi"/>
          <w:sz w:val="24"/>
          <w:szCs w:val="24"/>
          <w:lang w:eastAsia="es-MX"/>
        </w:rPr>
        <w:t>17.</w:t>
      </w:r>
      <w:r w:rsidR="00074FBD">
        <w:rPr>
          <w:rFonts w:eastAsiaTheme="majorEastAsia" w:cstheme="minorHAnsi"/>
          <w:sz w:val="24"/>
          <w:szCs w:val="24"/>
          <w:lang w:eastAsia="es-MX"/>
        </w:rPr>
        <w:t xml:space="preserve"> </w:t>
      </w:r>
      <w:r w:rsidRPr="005F2A10">
        <w:rPr>
          <w:rFonts w:eastAsiaTheme="majorEastAsia" w:cstheme="minorHAnsi"/>
          <w:sz w:val="24"/>
          <w:szCs w:val="24"/>
          <w:lang w:eastAsia="es-MX"/>
        </w:rPr>
        <w:t xml:space="preserve">El Estado deberá, dentro del plazo dos años a partir de la notificación de esta Sentencia, pagar las cantidades fijadas en los párrafos 318, 325 y 331 de la presente Sentencia por concepto de indemnizaciones por daños materiales e inmateriales y el reintegro de costas y gastos, según corresponda, bajo las condiciones y en los términos de los párrafos 317, 321, 322 y 330 de la presente Sentencia.  </w:t>
      </w:r>
    </w:p>
    <w:p w14:paraId="6A8CF972" w14:textId="77777777" w:rsidR="005F2A10" w:rsidRPr="005F2A10" w:rsidRDefault="005F2A10" w:rsidP="005F2A10">
      <w:pPr>
        <w:spacing w:after="0" w:line="240" w:lineRule="auto"/>
        <w:jc w:val="both"/>
        <w:rPr>
          <w:rFonts w:eastAsiaTheme="majorEastAsia" w:cstheme="minorHAnsi"/>
          <w:sz w:val="24"/>
          <w:szCs w:val="24"/>
          <w:lang w:eastAsia="es-MX"/>
        </w:rPr>
      </w:pPr>
    </w:p>
    <w:p w14:paraId="3D4A879F" w14:textId="37C3F990" w:rsidR="005F2A10" w:rsidRPr="005F2A10" w:rsidRDefault="005F2A10" w:rsidP="005F2A10">
      <w:pPr>
        <w:spacing w:after="0" w:line="240" w:lineRule="auto"/>
        <w:jc w:val="both"/>
        <w:rPr>
          <w:rFonts w:eastAsiaTheme="majorEastAsia" w:cstheme="minorHAnsi"/>
          <w:sz w:val="24"/>
          <w:szCs w:val="24"/>
          <w:lang w:eastAsia="es-MX"/>
        </w:rPr>
      </w:pPr>
      <w:r w:rsidRPr="005F2A10">
        <w:rPr>
          <w:rFonts w:eastAsiaTheme="majorEastAsia" w:cstheme="minorHAnsi"/>
          <w:sz w:val="24"/>
          <w:szCs w:val="24"/>
          <w:lang w:eastAsia="es-MX"/>
        </w:rPr>
        <w:t>18.</w:t>
      </w:r>
      <w:r w:rsidR="00074FBD">
        <w:rPr>
          <w:rFonts w:eastAsiaTheme="majorEastAsia" w:cstheme="minorHAnsi"/>
          <w:sz w:val="24"/>
          <w:szCs w:val="24"/>
          <w:lang w:eastAsia="es-MX"/>
        </w:rPr>
        <w:t xml:space="preserve"> </w:t>
      </w:r>
      <w:r w:rsidRPr="005F2A10">
        <w:rPr>
          <w:rFonts w:eastAsiaTheme="majorEastAsia" w:cstheme="minorHAnsi"/>
          <w:sz w:val="24"/>
          <w:szCs w:val="24"/>
          <w:lang w:eastAsia="es-MX"/>
        </w:rPr>
        <w:t xml:space="preserve">El Estado deberá crear un fondo de desarrollo comunitario, en los términos expuestos en </w:t>
      </w:r>
      <w:proofErr w:type="gramStart"/>
      <w:r w:rsidRPr="005F2A10">
        <w:rPr>
          <w:rFonts w:eastAsiaTheme="majorEastAsia" w:cstheme="minorHAnsi"/>
          <w:sz w:val="24"/>
          <w:szCs w:val="24"/>
          <w:lang w:eastAsia="es-MX"/>
        </w:rPr>
        <w:t>los párrafo</w:t>
      </w:r>
      <w:proofErr w:type="gramEnd"/>
      <w:r w:rsidRPr="005F2A10">
        <w:rPr>
          <w:rFonts w:eastAsiaTheme="majorEastAsia" w:cstheme="minorHAnsi"/>
          <w:sz w:val="24"/>
          <w:szCs w:val="24"/>
          <w:lang w:eastAsia="es-MX"/>
        </w:rPr>
        <w:t xml:space="preserve"> 323 de esta Sentencia, así como conformar un comité de implementación de dicho fondo, en los términos y plazos establecidos en el párrafo 324 del Fallo.</w:t>
      </w:r>
    </w:p>
    <w:p w14:paraId="6F41A63E" w14:textId="77777777" w:rsidR="005F2A10" w:rsidRPr="005F2A10" w:rsidRDefault="005F2A10" w:rsidP="005F2A10">
      <w:pPr>
        <w:spacing w:after="0" w:line="240" w:lineRule="auto"/>
        <w:jc w:val="both"/>
        <w:rPr>
          <w:rFonts w:eastAsiaTheme="majorEastAsia" w:cstheme="minorHAnsi"/>
          <w:sz w:val="24"/>
          <w:szCs w:val="24"/>
          <w:lang w:eastAsia="es-MX"/>
        </w:rPr>
      </w:pPr>
    </w:p>
    <w:p w14:paraId="44937D4D" w14:textId="77777777" w:rsidR="005F2A10" w:rsidRPr="005F2A10" w:rsidRDefault="005F2A10" w:rsidP="005F2A10">
      <w:pPr>
        <w:spacing w:after="0" w:line="240" w:lineRule="auto"/>
        <w:jc w:val="both"/>
        <w:rPr>
          <w:rFonts w:eastAsiaTheme="majorEastAsia" w:cstheme="minorHAnsi"/>
          <w:sz w:val="24"/>
          <w:szCs w:val="24"/>
          <w:lang w:eastAsia="es-MX"/>
        </w:rPr>
      </w:pPr>
      <w:r w:rsidRPr="005F2A10">
        <w:rPr>
          <w:rFonts w:eastAsiaTheme="majorEastAsia" w:cstheme="minorHAnsi"/>
          <w:sz w:val="24"/>
          <w:szCs w:val="24"/>
          <w:lang w:eastAsia="es-MX"/>
        </w:rPr>
        <w:t>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119644CE" w14:textId="77777777" w:rsidR="005F2A10" w:rsidRPr="00074FBD" w:rsidRDefault="005F2A10" w:rsidP="005F2A10">
      <w:pPr>
        <w:spacing w:after="0" w:line="240" w:lineRule="auto"/>
        <w:jc w:val="both"/>
        <w:rPr>
          <w:rFonts w:eastAsiaTheme="majorEastAsia" w:cstheme="minorHAnsi"/>
          <w:b/>
          <w:bCs/>
          <w:sz w:val="24"/>
          <w:szCs w:val="24"/>
          <w:lang w:eastAsia="es-MX"/>
        </w:rPr>
      </w:pPr>
    </w:p>
    <w:p w14:paraId="4CDA46E9" w14:textId="1CDD519C" w:rsidR="005F2A10" w:rsidRDefault="005F2A10" w:rsidP="005F2A10">
      <w:pPr>
        <w:spacing w:after="0" w:line="240" w:lineRule="auto"/>
        <w:jc w:val="both"/>
        <w:rPr>
          <w:rFonts w:eastAsiaTheme="majorEastAsia" w:cstheme="minorHAnsi"/>
          <w:b/>
          <w:bCs/>
          <w:sz w:val="24"/>
          <w:szCs w:val="24"/>
          <w:lang w:eastAsia="es-MX"/>
        </w:rPr>
      </w:pPr>
      <w:r w:rsidRPr="00074FBD">
        <w:rPr>
          <w:rFonts w:eastAsiaTheme="majorEastAsia" w:cstheme="minorHAnsi"/>
          <w:b/>
          <w:bCs/>
          <w:sz w:val="24"/>
          <w:szCs w:val="24"/>
          <w:lang w:eastAsia="es-MX"/>
        </w:rPr>
        <w:t>Resolutivos</w:t>
      </w:r>
    </w:p>
    <w:p w14:paraId="71908D5C" w14:textId="77777777" w:rsidR="00074FBD" w:rsidRPr="00074FBD" w:rsidRDefault="00074FBD" w:rsidP="005F2A10">
      <w:pPr>
        <w:spacing w:after="0" w:line="240" w:lineRule="auto"/>
        <w:jc w:val="both"/>
        <w:rPr>
          <w:rFonts w:eastAsiaTheme="majorEastAsia" w:cstheme="minorHAnsi"/>
          <w:b/>
          <w:bCs/>
          <w:sz w:val="24"/>
          <w:szCs w:val="24"/>
          <w:lang w:eastAsia="es-MX"/>
        </w:rPr>
      </w:pPr>
    </w:p>
    <w:p w14:paraId="6CDF3BB3" w14:textId="77777777" w:rsidR="005F2A10" w:rsidRPr="00074FBD" w:rsidRDefault="005F2A10" w:rsidP="005F2A10">
      <w:pPr>
        <w:spacing w:after="0" w:line="240" w:lineRule="auto"/>
        <w:jc w:val="both"/>
        <w:rPr>
          <w:rFonts w:eastAsiaTheme="majorEastAsia" w:cstheme="minorHAnsi"/>
          <w:b/>
          <w:bCs/>
          <w:sz w:val="24"/>
          <w:szCs w:val="24"/>
          <w:lang w:eastAsia="es-MX"/>
        </w:rPr>
      </w:pPr>
      <w:r w:rsidRPr="00074FBD">
        <w:rPr>
          <w:rFonts w:eastAsiaTheme="majorEastAsia" w:cstheme="minorHAnsi"/>
          <w:b/>
          <w:bCs/>
          <w:sz w:val="24"/>
          <w:szCs w:val="24"/>
          <w:lang w:eastAsia="es-MX"/>
        </w:rPr>
        <w:t>La Corte declara por unanimidad, que:</w:t>
      </w:r>
    </w:p>
    <w:p w14:paraId="4B0220D0" w14:textId="77777777" w:rsidR="005F2A10" w:rsidRPr="005F2A10" w:rsidRDefault="005F2A10" w:rsidP="005F2A10">
      <w:pPr>
        <w:spacing w:after="0" w:line="240" w:lineRule="auto"/>
        <w:jc w:val="both"/>
        <w:rPr>
          <w:rFonts w:eastAsiaTheme="majorEastAsia" w:cstheme="minorHAnsi"/>
          <w:sz w:val="24"/>
          <w:szCs w:val="24"/>
          <w:lang w:eastAsia="es-MX"/>
        </w:rPr>
      </w:pPr>
    </w:p>
    <w:p w14:paraId="2BB19CDC" w14:textId="52B0146C" w:rsidR="005F2A10" w:rsidRPr="005F2A10" w:rsidRDefault="005F2A10" w:rsidP="005F2A10">
      <w:pPr>
        <w:spacing w:after="0" w:line="240" w:lineRule="auto"/>
        <w:jc w:val="both"/>
        <w:rPr>
          <w:rFonts w:eastAsiaTheme="majorEastAsia" w:cstheme="minorHAnsi"/>
          <w:sz w:val="24"/>
          <w:szCs w:val="24"/>
          <w:lang w:eastAsia="es-MX"/>
        </w:rPr>
      </w:pPr>
      <w:r w:rsidRPr="005F2A10">
        <w:rPr>
          <w:rFonts w:eastAsiaTheme="majorEastAsia" w:cstheme="minorHAnsi"/>
          <w:sz w:val="24"/>
          <w:szCs w:val="24"/>
          <w:lang w:eastAsia="es-MX"/>
        </w:rPr>
        <w:t>1.</w:t>
      </w:r>
      <w:r w:rsidR="00074FBD">
        <w:rPr>
          <w:rFonts w:eastAsiaTheme="majorEastAsia" w:cstheme="minorHAnsi"/>
          <w:sz w:val="24"/>
          <w:szCs w:val="24"/>
          <w:lang w:eastAsia="es-MX"/>
        </w:rPr>
        <w:t xml:space="preserve"> </w:t>
      </w:r>
      <w:r w:rsidRPr="005F2A10">
        <w:rPr>
          <w:rFonts w:eastAsiaTheme="majorEastAsia" w:cstheme="minorHAnsi"/>
          <w:sz w:val="24"/>
          <w:szCs w:val="24"/>
          <w:lang w:eastAsia="es-MX"/>
        </w:rPr>
        <w:t xml:space="preserve">El Estado violó el derecho a la integridad personal, consagrado en el artículo 5.1 de la Convención Americana, en relación con el artículo 1.1 de la misma, en perjuicio de todos </w:t>
      </w:r>
      <w:r w:rsidRPr="005F2A10">
        <w:rPr>
          <w:rFonts w:eastAsiaTheme="majorEastAsia" w:cstheme="minorHAnsi"/>
          <w:sz w:val="24"/>
          <w:szCs w:val="24"/>
          <w:lang w:eastAsia="es-MX"/>
        </w:rPr>
        <w:lastRenderedPageBreak/>
        <w:t xml:space="preserve">los miembros de la Comunidad </w:t>
      </w:r>
      <w:proofErr w:type="spellStart"/>
      <w:r w:rsidRPr="005F2A10">
        <w:rPr>
          <w:rFonts w:eastAsiaTheme="majorEastAsia" w:cstheme="minorHAnsi"/>
          <w:sz w:val="24"/>
          <w:szCs w:val="24"/>
          <w:lang w:eastAsia="es-MX"/>
        </w:rPr>
        <w:t>Xákmok</w:t>
      </w:r>
      <w:proofErr w:type="spellEnd"/>
      <w:r w:rsidRPr="005F2A10">
        <w:rPr>
          <w:rFonts w:eastAsiaTheme="majorEastAsia" w:cstheme="minorHAnsi"/>
          <w:sz w:val="24"/>
          <w:szCs w:val="24"/>
          <w:lang w:eastAsia="es-MX"/>
        </w:rPr>
        <w:t xml:space="preserve"> </w:t>
      </w:r>
      <w:proofErr w:type="spellStart"/>
      <w:r w:rsidRPr="005F2A10">
        <w:rPr>
          <w:rFonts w:eastAsiaTheme="majorEastAsia" w:cstheme="minorHAnsi"/>
          <w:sz w:val="24"/>
          <w:szCs w:val="24"/>
          <w:lang w:eastAsia="es-MX"/>
        </w:rPr>
        <w:t>Kásek</w:t>
      </w:r>
      <w:proofErr w:type="spellEnd"/>
      <w:r w:rsidRPr="005F2A10">
        <w:rPr>
          <w:rFonts w:eastAsiaTheme="majorEastAsia" w:cstheme="minorHAnsi"/>
          <w:sz w:val="24"/>
          <w:szCs w:val="24"/>
          <w:lang w:eastAsia="es-MX"/>
        </w:rPr>
        <w:t>, de conformidad con lo expuesto en los párrafos 242 a 244 de esta Sentencia.</w:t>
      </w:r>
    </w:p>
    <w:p w14:paraId="57DB80D5" w14:textId="77777777" w:rsidR="005F2A10" w:rsidRPr="005F2A10" w:rsidRDefault="005F2A10" w:rsidP="005F2A10">
      <w:pPr>
        <w:spacing w:after="0" w:line="240" w:lineRule="auto"/>
        <w:jc w:val="both"/>
        <w:rPr>
          <w:rFonts w:eastAsiaTheme="majorEastAsia" w:cstheme="minorHAnsi"/>
          <w:sz w:val="24"/>
          <w:szCs w:val="24"/>
          <w:lang w:eastAsia="es-MX"/>
        </w:rPr>
      </w:pPr>
    </w:p>
    <w:p w14:paraId="1AEA4E36" w14:textId="6F8A39EA" w:rsidR="005F2A10" w:rsidRPr="005F2A10" w:rsidRDefault="005F2A10" w:rsidP="005F2A10">
      <w:pPr>
        <w:spacing w:after="0" w:line="240" w:lineRule="auto"/>
        <w:jc w:val="both"/>
        <w:rPr>
          <w:rFonts w:eastAsiaTheme="majorEastAsia" w:cstheme="minorHAnsi"/>
          <w:sz w:val="24"/>
          <w:szCs w:val="24"/>
          <w:lang w:eastAsia="es-MX"/>
        </w:rPr>
      </w:pPr>
      <w:r w:rsidRPr="005F2A10">
        <w:rPr>
          <w:rFonts w:eastAsiaTheme="majorEastAsia" w:cstheme="minorHAnsi"/>
          <w:sz w:val="24"/>
          <w:szCs w:val="24"/>
          <w:lang w:eastAsia="es-MX"/>
        </w:rPr>
        <w:t>2.</w:t>
      </w:r>
      <w:r w:rsidR="00074FBD">
        <w:rPr>
          <w:rFonts w:eastAsiaTheme="majorEastAsia" w:cstheme="minorHAnsi"/>
          <w:sz w:val="24"/>
          <w:szCs w:val="24"/>
          <w:lang w:eastAsia="es-MX"/>
        </w:rPr>
        <w:t xml:space="preserve"> </w:t>
      </w:r>
      <w:r w:rsidRPr="005F2A10">
        <w:rPr>
          <w:rFonts w:eastAsiaTheme="majorEastAsia" w:cstheme="minorHAnsi"/>
          <w:sz w:val="24"/>
          <w:szCs w:val="24"/>
          <w:lang w:eastAsia="es-MX"/>
        </w:rPr>
        <w:t xml:space="preserve">El Estado no violó el derecho al reconocimiento de la personalidad jurídica, reconocido en el artículo 3 de la Convención Americana, en perjuicio de la Comunidad </w:t>
      </w:r>
      <w:proofErr w:type="spellStart"/>
      <w:r w:rsidRPr="005F2A10">
        <w:rPr>
          <w:rFonts w:eastAsiaTheme="majorEastAsia" w:cstheme="minorHAnsi"/>
          <w:sz w:val="24"/>
          <w:szCs w:val="24"/>
          <w:lang w:eastAsia="es-MX"/>
        </w:rPr>
        <w:t>Xákmok</w:t>
      </w:r>
      <w:proofErr w:type="spellEnd"/>
      <w:r w:rsidRPr="005F2A10">
        <w:rPr>
          <w:rFonts w:eastAsiaTheme="majorEastAsia" w:cstheme="minorHAnsi"/>
          <w:sz w:val="24"/>
          <w:szCs w:val="24"/>
          <w:lang w:eastAsia="es-MX"/>
        </w:rPr>
        <w:t xml:space="preserve"> </w:t>
      </w:r>
      <w:proofErr w:type="spellStart"/>
      <w:r w:rsidRPr="005F2A10">
        <w:rPr>
          <w:rFonts w:eastAsiaTheme="majorEastAsia" w:cstheme="minorHAnsi"/>
          <w:sz w:val="24"/>
          <w:szCs w:val="24"/>
          <w:lang w:eastAsia="es-MX"/>
        </w:rPr>
        <w:t>Kásek</w:t>
      </w:r>
      <w:proofErr w:type="spellEnd"/>
      <w:r w:rsidRPr="005F2A10">
        <w:rPr>
          <w:rFonts w:eastAsiaTheme="majorEastAsia" w:cstheme="minorHAnsi"/>
          <w:sz w:val="24"/>
          <w:szCs w:val="24"/>
          <w:lang w:eastAsia="es-MX"/>
        </w:rPr>
        <w:t>, de conformidad con lo expuesto en el párrafo 255 de esta Sentencia.</w:t>
      </w:r>
    </w:p>
    <w:p w14:paraId="29C73780" w14:textId="77777777" w:rsidR="005F2A10" w:rsidRPr="005F2A10" w:rsidRDefault="005F2A10" w:rsidP="005F2A10">
      <w:pPr>
        <w:spacing w:after="0" w:line="240" w:lineRule="auto"/>
        <w:jc w:val="both"/>
        <w:rPr>
          <w:rFonts w:eastAsiaTheme="majorEastAsia" w:cstheme="minorHAnsi"/>
          <w:sz w:val="24"/>
          <w:szCs w:val="24"/>
          <w:lang w:eastAsia="es-MX"/>
        </w:rPr>
      </w:pPr>
    </w:p>
    <w:p w14:paraId="5AA8E0B9" w14:textId="25A8F848" w:rsidR="005F2A10" w:rsidRPr="005F2A10" w:rsidRDefault="005F2A10" w:rsidP="005F2A10">
      <w:pPr>
        <w:spacing w:after="0" w:line="240" w:lineRule="auto"/>
        <w:jc w:val="both"/>
        <w:rPr>
          <w:rFonts w:eastAsiaTheme="majorEastAsia" w:cstheme="minorHAnsi"/>
          <w:sz w:val="24"/>
          <w:szCs w:val="24"/>
          <w:lang w:eastAsia="es-MX"/>
        </w:rPr>
      </w:pPr>
      <w:r w:rsidRPr="005F2A10">
        <w:rPr>
          <w:rFonts w:eastAsiaTheme="majorEastAsia" w:cstheme="minorHAnsi"/>
          <w:sz w:val="24"/>
          <w:szCs w:val="24"/>
          <w:lang w:eastAsia="es-MX"/>
        </w:rPr>
        <w:t>3.</w:t>
      </w:r>
      <w:r w:rsidR="00074FBD">
        <w:rPr>
          <w:rFonts w:eastAsiaTheme="majorEastAsia" w:cstheme="minorHAnsi"/>
          <w:sz w:val="24"/>
          <w:szCs w:val="24"/>
          <w:lang w:eastAsia="es-MX"/>
        </w:rPr>
        <w:t xml:space="preserve"> </w:t>
      </w:r>
      <w:r w:rsidRPr="005F2A10">
        <w:rPr>
          <w:rFonts w:eastAsiaTheme="majorEastAsia" w:cstheme="minorHAnsi"/>
          <w:sz w:val="24"/>
          <w:szCs w:val="24"/>
          <w:lang w:eastAsia="es-MX"/>
        </w:rPr>
        <w:t xml:space="preserve">El Estado violó los derechos del niño, consagrados en el artículo 19 de la Convención Americana, en relación con el artículo 1.1 de la misma, en perjuicio de todos los niños y niñas de la Comunidad </w:t>
      </w:r>
      <w:proofErr w:type="spellStart"/>
      <w:r w:rsidRPr="005F2A10">
        <w:rPr>
          <w:rFonts w:eastAsiaTheme="majorEastAsia" w:cstheme="minorHAnsi"/>
          <w:sz w:val="24"/>
          <w:szCs w:val="24"/>
          <w:lang w:eastAsia="es-MX"/>
        </w:rPr>
        <w:t>Xákmok</w:t>
      </w:r>
      <w:proofErr w:type="spellEnd"/>
      <w:r w:rsidRPr="005F2A10">
        <w:rPr>
          <w:rFonts w:eastAsiaTheme="majorEastAsia" w:cstheme="minorHAnsi"/>
          <w:sz w:val="24"/>
          <w:szCs w:val="24"/>
          <w:lang w:eastAsia="es-MX"/>
        </w:rPr>
        <w:t xml:space="preserve"> </w:t>
      </w:r>
      <w:proofErr w:type="spellStart"/>
      <w:r w:rsidRPr="005F2A10">
        <w:rPr>
          <w:rFonts w:eastAsiaTheme="majorEastAsia" w:cstheme="minorHAnsi"/>
          <w:sz w:val="24"/>
          <w:szCs w:val="24"/>
          <w:lang w:eastAsia="es-MX"/>
        </w:rPr>
        <w:t>Kásek</w:t>
      </w:r>
      <w:proofErr w:type="spellEnd"/>
      <w:r w:rsidRPr="005F2A10">
        <w:rPr>
          <w:rFonts w:eastAsiaTheme="majorEastAsia" w:cstheme="minorHAnsi"/>
          <w:sz w:val="24"/>
          <w:szCs w:val="24"/>
          <w:lang w:eastAsia="es-MX"/>
        </w:rPr>
        <w:t>, de conformidad con lo expuesto en los párrafos 259 a 264 de esta Sentencia.</w:t>
      </w:r>
    </w:p>
    <w:p w14:paraId="1BC1EE07" w14:textId="77777777" w:rsidR="005F2A10" w:rsidRPr="005F2A10" w:rsidRDefault="005F2A10" w:rsidP="005F2A10">
      <w:pPr>
        <w:spacing w:after="0" w:line="240" w:lineRule="auto"/>
        <w:jc w:val="both"/>
        <w:rPr>
          <w:rFonts w:eastAsiaTheme="majorEastAsia" w:cstheme="minorHAnsi"/>
          <w:sz w:val="24"/>
          <w:szCs w:val="24"/>
          <w:lang w:eastAsia="es-MX"/>
        </w:rPr>
      </w:pPr>
    </w:p>
    <w:p w14:paraId="79D54DB1" w14:textId="079A7938" w:rsidR="005F2A10" w:rsidRPr="005F2A10" w:rsidRDefault="005F2A10" w:rsidP="005F2A10">
      <w:pPr>
        <w:spacing w:after="0" w:line="240" w:lineRule="auto"/>
        <w:jc w:val="both"/>
        <w:rPr>
          <w:rFonts w:eastAsiaTheme="majorEastAsia" w:cstheme="minorHAnsi"/>
          <w:sz w:val="24"/>
          <w:szCs w:val="24"/>
          <w:lang w:eastAsia="es-MX"/>
        </w:rPr>
      </w:pPr>
      <w:r w:rsidRPr="005F2A10">
        <w:rPr>
          <w:rFonts w:eastAsiaTheme="majorEastAsia" w:cstheme="minorHAnsi"/>
          <w:sz w:val="24"/>
          <w:szCs w:val="24"/>
          <w:lang w:eastAsia="es-MX"/>
        </w:rPr>
        <w:t>4.</w:t>
      </w:r>
      <w:r w:rsidR="00074FBD">
        <w:rPr>
          <w:rFonts w:eastAsiaTheme="majorEastAsia" w:cstheme="minorHAnsi"/>
          <w:sz w:val="24"/>
          <w:szCs w:val="24"/>
          <w:lang w:eastAsia="es-MX"/>
        </w:rPr>
        <w:t xml:space="preserve"> </w:t>
      </w:r>
      <w:r w:rsidRPr="005F2A10">
        <w:rPr>
          <w:rFonts w:eastAsiaTheme="majorEastAsia" w:cstheme="minorHAnsi"/>
          <w:sz w:val="24"/>
          <w:szCs w:val="24"/>
          <w:lang w:eastAsia="es-MX"/>
        </w:rPr>
        <w:t>El Estado expresó su aceptación de ciertas reparaciones, de conformidad con lo dispuesto en el párrafo 32 de este Fallo, lo cual ha sido valorado por la Corte, de acuerdo con lo dispuesto en el mencionado párrafo de la presente Sentencia.</w:t>
      </w:r>
    </w:p>
    <w:p w14:paraId="071286A0" w14:textId="77777777" w:rsidR="005F2A10" w:rsidRPr="005F2A10" w:rsidRDefault="005F2A10" w:rsidP="005F2A10">
      <w:pPr>
        <w:spacing w:after="0" w:line="240" w:lineRule="auto"/>
        <w:jc w:val="both"/>
        <w:rPr>
          <w:rFonts w:eastAsiaTheme="majorEastAsia" w:cstheme="minorHAnsi"/>
          <w:sz w:val="24"/>
          <w:szCs w:val="24"/>
          <w:lang w:eastAsia="es-MX"/>
        </w:rPr>
      </w:pPr>
    </w:p>
    <w:p w14:paraId="6CC35D66" w14:textId="77777777" w:rsidR="005F2A10" w:rsidRPr="00074FBD" w:rsidRDefault="005F2A10" w:rsidP="005F2A10">
      <w:pPr>
        <w:spacing w:after="0" w:line="240" w:lineRule="auto"/>
        <w:jc w:val="both"/>
        <w:rPr>
          <w:rFonts w:eastAsiaTheme="majorEastAsia" w:cstheme="minorHAnsi"/>
          <w:b/>
          <w:bCs/>
          <w:sz w:val="24"/>
          <w:szCs w:val="24"/>
          <w:lang w:eastAsia="es-MX"/>
        </w:rPr>
      </w:pPr>
      <w:r w:rsidRPr="00074FBD">
        <w:rPr>
          <w:rFonts w:eastAsiaTheme="majorEastAsia" w:cstheme="minorHAnsi"/>
          <w:b/>
          <w:bCs/>
          <w:sz w:val="24"/>
          <w:szCs w:val="24"/>
          <w:lang w:eastAsia="es-MX"/>
        </w:rPr>
        <w:t>Por siete votos contra uno, que:</w:t>
      </w:r>
    </w:p>
    <w:p w14:paraId="1DE2F184" w14:textId="77777777" w:rsidR="005F2A10" w:rsidRPr="005F2A10" w:rsidRDefault="005F2A10" w:rsidP="005F2A10">
      <w:pPr>
        <w:spacing w:after="0" w:line="240" w:lineRule="auto"/>
        <w:jc w:val="both"/>
        <w:rPr>
          <w:rFonts w:eastAsiaTheme="majorEastAsia" w:cstheme="minorHAnsi"/>
          <w:sz w:val="24"/>
          <w:szCs w:val="24"/>
          <w:lang w:eastAsia="es-MX"/>
        </w:rPr>
      </w:pPr>
    </w:p>
    <w:p w14:paraId="26581851" w14:textId="5FBAD07E" w:rsidR="005F2A10" w:rsidRPr="005F2A10" w:rsidRDefault="005F2A10" w:rsidP="005F2A10">
      <w:pPr>
        <w:spacing w:after="0" w:line="240" w:lineRule="auto"/>
        <w:jc w:val="both"/>
        <w:rPr>
          <w:rFonts w:eastAsiaTheme="majorEastAsia" w:cstheme="minorHAnsi"/>
          <w:sz w:val="24"/>
          <w:szCs w:val="24"/>
          <w:lang w:eastAsia="es-MX"/>
        </w:rPr>
      </w:pPr>
      <w:r w:rsidRPr="005F2A10">
        <w:rPr>
          <w:rFonts w:eastAsiaTheme="majorEastAsia" w:cstheme="minorHAnsi"/>
          <w:sz w:val="24"/>
          <w:szCs w:val="24"/>
          <w:lang w:eastAsia="es-MX"/>
        </w:rPr>
        <w:t>5.</w:t>
      </w:r>
      <w:r w:rsidR="00074FBD">
        <w:rPr>
          <w:rFonts w:eastAsiaTheme="majorEastAsia" w:cstheme="minorHAnsi"/>
          <w:sz w:val="24"/>
          <w:szCs w:val="24"/>
          <w:lang w:eastAsia="es-MX"/>
        </w:rPr>
        <w:t xml:space="preserve"> </w:t>
      </w:r>
      <w:r w:rsidRPr="005F2A10">
        <w:rPr>
          <w:rFonts w:eastAsiaTheme="majorEastAsia" w:cstheme="minorHAnsi"/>
          <w:sz w:val="24"/>
          <w:szCs w:val="24"/>
          <w:lang w:eastAsia="es-MX"/>
        </w:rPr>
        <w:t xml:space="preserve">El Estado violó el derecho a la propiedad comunitaria, las </w:t>
      </w:r>
      <w:proofErr w:type="gramStart"/>
      <w:r w:rsidRPr="005F2A10">
        <w:rPr>
          <w:rFonts w:eastAsiaTheme="majorEastAsia" w:cstheme="minorHAnsi"/>
          <w:sz w:val="24"/>
          <w:szCs w:val="24"/>
          <w:lang w:eastAsia="es-MX"/>
        </w:rPr>
        <w:t>garantías judiciales y la protección judicial</w:t>
      </w:r>
      <w:proofErr w:type="gramEnd"/>
      <w:r w:rsidRPr="005F2A10">
        <w:rPr>
          <w:rFonts w:eastAsiaTheme="majorEastAsia" w:cstheme="minorHAnsi"/>
          <w:sz w:val="24"/>
          <w:szCs w:val="24"/>
          <w:lang w:eastAsia="es-MX"/>
        </w:rPr>
        <w:t xml:space="preserve">, consagrados respectivamente en los artículos 21.1, 8.1 y 25.1 de la Convención Americana, en relación con los artículos 1.1 y 2 de la misma, en perjuicio de los miembros de la Comunidad </w:t>
      </w:r>
      <w:proofErr w:type="spellStart"/>
      <w:r w:rsidRPr="005F2A10">
        <w:rPr>
          <w:rFonts w:eastAsiaTheme="majorEastAsia" w:cstheme="minorHAnsi"/>
          <w:sz w:val="24"/>
          <w:szCs w:val="24"/>
          <w:lang w:eastAsia="es-MX"/>
        </w:rPr>
        <w:t>Xákmok</w:t>
      </w:r>
      <w:proofErr w:type="spellEnd"/>
      <w:r w:rsidRPr="005F2A10">
        <w:rPr>
          <w:rFonts w:eastAsiaTheme="majorEastAsia" w:cstheme="minorHAnsi"/>
          <w:sz w:val="24"/>
          <w:szCs w:val="24"/>
          <w:lang w:eastAsia="es-MX"/>
        </w:rPr>
        <w:t xml:space="preserve"> </w:t>
      </w:r>
      <w:proofErr w:type="spellStart"/>
      <w:r w:rsidRPr="005F2A10">
        <w:rPr>
          <w:rFonts w:eastAsiaTheme="majorEastAsia" w:cstheme="minorHAnsi"/>
          <w:sz w:val="24"/>
          <w:szCs w:val="24"/>
          <w:lang w:eastAsia="es-MX"/>
        </w:rPr>
        <w:t>Kásek</w:t>
      </w:r>
      <w:proofErr w:type="spellEnd"/>
      <w:r w:rsidRPr="005F2A10">
        <w:rPr>
          <w:rFonts w:eastAsiaTheme="majorEastAsia" w:cstheme="minorHAnsi"/>
          <w:sz w:val="24"/>
          <w:szCs w:val="24"/>
          <w:lang w:eastAsia="es-MX"/>
        </w:rPr>
        <w:t>, de conformidad con lo expuesto en los párrafos 54 a 182 de esta Sentencia.</w:t>
      </w:r>
    </w:p>
    <w:p w14:paraId="1CA99A38" w14:textId="77777777" w:rsidR="005F2A10" w:rsidRPr="005F2A10" w:rsidRDefault="005F2A10" w:rsidP="005F2A10">
      <w:pPr>
        <w:spacing w:after="0" w:line="240" w:lineRule="auto"/>
        <w:jc w:val="both"/>
        <w:rPr>
          <w:rFonts w:eastAsiaTheme="majorEastAsia" w:cstheme="minorHAnsi"/>
          <w:sz w:val="24"/>
          <w:szCs w:val="24"/>
          <w:lang w:eastAsia="es-MX"/>
        </w:rPr>
      </w:pPr>
    </w:p>
    <w:p w14:paraId="318E1210" w14:textId="52D27C54" w:rsidR="005F2A10" w:rsidRPr="005F2A10" w:rsidRDefault="005F2A10" w:rsidP="005F2A10">
      <w:pPr>
        <w:spacing w:after="0" w:line="240" w:lineRule="auto"/>
        <w:jc w:val="both"/>
        <w:rPr>
          <w:rFonts w:eastAsiaTheme="majorEastAsia" w:cstheme="minorHAnsi"/>
          <w:sz w:val="24"/>
          <w:szCs w:val="24"/>
          <w:lang w:eastAsia="es-MX"/>
        </w:rPr>
      </w:pPr>
      <w:r w:rsidRPr="005F2A10">
        <w:rPr>
          <w:rFonts w:eastAsiaTheme="majorEastAsia" w:cstheme="minorHAnsi"/>
          <w:sz w:val="24"/>
          <w:szCs w:val="24"/>
          <w:lang w:eastAsia="es-MX"/>
        </w:rPr>
        <w:t>6.</w:t>
      </w:r>
      <w:r w:rsidR="00ED226E">
        <w:rPr>
          <w:rFonts w:eastAsiaTheme="majorEastAsia" w:cstheme="minorHAnsi"/>
          <w:sz w:val="24"/>
          <w:szCs w:val="24"/>
          <w:lang w:eastAsia="es-MX"/>
        </w:rPr>
        <w:t xml:space="preserve"> </w:t>
      </w:r>
      <w:r w:rsidRPr="005F2A10">
        <w:rPr>
          <w:rFonts w:eastAsiaTheme="majorEastAsia" w:cstheme="minorHAnsi"/>
          <w:sz w:val="24"/>
          <w:szCs w:val="24"/>
          <w:lang w:eastAsia="es-MX"/>
        </w:rPr>
        <w:t xml:space="preserve">El Estado violó el derecho a la vida, consagrado en el artículo 4.1 de la Convención Americana, en relación con el artículo 1.1 de la misma, en perjuicio de todos los miembros de la Comunidad </w:t>
      </w:r>
      <w:proofErr w:type="spellStart"/>
      <w:r w:rsidRPr="005F2A10">
        <w:rPr>
          <w:rFonts w:eastAsiaTheme="majorEastAsia" w:cstheme="minorHAnsi"/>
          <w:sz w:val="24"/>
          <w:szCs w:val="24"/>
          <w:lang w:eastAsia="es-MX"/>
        </w:rPr>
        <w:t>Xákmok</w:t>
      </w:r>
      <w:proofErr w:type="spellEnd"/>
      <w:r w:rsidRPr="005F2A10">
        <w:rPr>
          <w:rFonts w:eastAsiaTheme="majorEastAsia" w:cstheme="minorHAnsi"/>
          <w:sz w:val="24"/>
          <w:szCs w:val="24"/>
          <w:lang w:eastAsia="es-MX"/>
        </w:rPr>
        <w:t xml:space="preserve"> </w:t>
      </w:r>
      <w:proofErr w:type="spellStart"/>
      <w:r w:rsidRPr="005F2A10">
        <w:rPr>
          <w:rFonts w:eastAsiaTheme="majorEastAsia" w:cstheme="minorHAnsi"/>
          <w:sz w:val="24"/>
          <w:szCs w:val="24"/>
          <w:lang w:eastAsia="es-MX"/>
        </w:rPr>
        <w:t>Kásek</w:t>
      </w:r>
      <w:proofErr w:type="spellEnd"/>
      <w:r w:rsidRPr="005F2A10">
        <w:rPr>
          <w:rFonts w:eastAsiaTheme="majorEastAsia" w:cstheme="minorHAnsi"/>
          <w:sz w:val="24"/>
          <w:szCs w:val="24"/>
          <w:lang w:eastAsia="es-MX"/>
        </w:rPr>
        <w:t>, de conformidad con lo expuesto en los párrafos 195, 196, 202 a 202, 205 a 208, 211 a 217 de esta Sentencia.</w:t>
      </w:r>
    </w:p>
    <w:p w14:paraId="3257C0BC" w14:textId="77777777" w:rsidR="005F2A10" w:rsidRPr="005F2A10" w:rsidRDefault="005F2A10" w:rsidP="005F2A10">
      <w:pPr>
        <w:spacing w:after="0" w:line="240" w:lineRule="auto"/>
        <w:jc w:val="both"/>
        <w:rPr>
          <w:rFonts w:eastAsiaTheme="majorEastAsia" w:cstheme="minorHAnsi"/>
          <w:sz w:val="24"/>
          <w:szCs w:val="24"/>
          <w:lang w:eastAsia="es-MX"/>
        </w:rPr>
      </w:pPr>
    </w:p>
    <w:p w14:paraId="6B89CCBA" w14:textId="2ECF724E" w:rsidR="005F2A10" w:rsidRPr="005F2A10" w:rsidRDefault="005F2A10" w:rsidP="005F2A10">
      <w:pPr>
        <w:spacing w:after="0" w:line="240" w:lineRule="auto"/>
        <w:jc w:val="both"/>
        <w:rPr>
          <w:rFonts w:eastAsiaTheme="majorEastAsia" w:cstheme="minorHAnsi"/>
          <w:sz w:val="24"/>
          <w:szCs w:val="24"/>
          <w:lang w:eastAsia="es-MX"/>
        </w:rPr>
      </w:pPr>
      <w:r w:rsidRPr="005F2A10">
        <w:rPr>
          <w:rFonts w:eastAsiaTheme="majorEastAsia" w:cstheme="minorHAnsi"/>
          <w:sz w:val="24"/>
          <w:szCs w:val="24"/>
          <w:lang w:eastAsia="es-MX"/>
        </w:rPr>
        <w:t>7.</w:t>
      </w:r>
      <w:r w:rsidR="00ED226E">
        <w:rPr>
          <w:rFonts w:eastAsiaTheme="majorEastAsia" w:cstheme="minorHAnsi"/>
          <w:sz w:val="24"/>
          <w:szCs w:val="24"/>
          <w:lang w:eastAsia="es-MX"/>
        </w:rPr>
        <w:t xml:space="preserve"> </w:t>
      </w:r>
      <w:r w:rsidRPr="005F2A10">
        <w:rPr>
          <w:rFonts w:eastAsiaTheme="majorEastAsia" w:cstheme="minorHAnsi"/>
          <w:sz w:val="24"/>
          <w:szCs w:val="24"/>
          <w:lang w:eastAsia="es-MX"/>
        </w:rPr>
        <w:t xml:space="preserve">El Estado violó el derecho a la vida, contemplado en el artículo 4.1 de la Convención Americana, en relación con el artículo 1.1 de la misma, en perjuicio de Sara Gonzáles López, </w:t>
      </w:r>
      <w:proofErr w:type="spellStart"/>
      <w:r w:rsidRPr="005F2A10">
        <w:rPr>
          <w:rFonts w:eastAsiaTheme="majorEastAsia" w:cstheme="minorHAnsi"/>
          <w:sz w:val="24"/>
          <w:szCs w:val="24"/>
          <w:lang w:eastAsia="es-MX"/>
        </w:rPr>
        <w:t>Yelsi</w:t>
      </w:r>
      <w:proofErr w:type="spellEnd"/>
      <w:r w:rsidRPr="005F2A10">
        <w:rPr>
          <w:rFonts w:eastAsiaTheme="majorEastAsia" w:cstheme="minorHAnsi"/>
          <w:sz w:val="24"/>
          <w:szCs w:val="24"/>
          <w:lang w:eastAsia="es-MX"/>
        </w:rPr>
        <w:t xml:space="preserve"> Karina López Cabañas, </w:t>
      </w:r>
      <w:proofErr w:type="spellStart"/>
      <w:r w:rsidRPr="005F2A10">
        <w:rPr>
          <w:rFonts w:eastAsiaTheme="majorEastAsia" w:cstheme="minorHAnsi"/>
          <w:sz w:val="24"/>
          <w:szCs w:val="24"/>
          <w:lang w:eastAsia="es-MX"/>
        </w:rPr>
        <w:t>Remigia</w:t>
      </w:r>
      <w:proofErr w:type="spellEnd"/>
      <w:r w:rsidRPr="005F2A10">
        <w:rPr>
          <w:rFonts w:eastAsiaTheme="majorEastAsia" w:cstheme="minorHAnsi"/>
          <w:sz w:val="24"/>
          <w:szCs w:val="24"/>
          <w:lang w:eastAsia="es-MX"/>
        </w:rPr>
        <w:t xml:space="preserve"> Ruiz, Aida Carolina Gonzáles, NN Ávalos o Ríos Torres, Abundio Inter </w:t>
      </w:r>
      <w:proofErr w:type="spellStart"/>
      <w:r w:rsidRPr="005F2A10">
        <w:rPr>
          <w:rFonts w:eastAsiaTheme="majorEastAsia" w:cstheme="minorHAnsi"/>
          <w:sz w:val="24"/>
          <w:szCs w:val="24"/>
          <w:lang w:eastAsia="es-MX"/>
        </w:rPr>
        <w:t>Dermott</w:t>
      </w:r>
      <w:proofErr w:type="spellEnd"/>
      <w:r w:rsidRPr="005F2A10">
        <w:rPr>
          <w:rFonts w:eastAsiaTheme="majorEastAsia" w:cstheme="minorHAnsi"/>
          <w:sz w:val="24"/>
          <w:szCs w:val="24"/>
          <w:lang w:eastAsia="es-MX"/>
        </w:rPr>
        <w:t xml:space="preserve">, NN </w:t>
      </w:r>
      <w:proofErr w:type="spellStart"/>
      <w:r w:rsidRPr="005F2A10">
        <w:rPr>
          <w:rFonts w:eastAsiaTheme="majorEastAsia" w:cstheme="minorHAnsi"/>
          <w:sz w:val="24"/>
          <w:szCs w:val="24"/>
          <w:lang w:eastAsia="es-MX"/>
        </w:rPr>
        <w:t>Dermott</w:t>
      </w:r>
      <w:proofErr w:type="spellEnd"/>
      <w:r w:rsidRPr="005F2A10">
        <w:rPr>
          <w:rFonts w:eastAsiaTheme="majorEastAsia" w:cstheme="minorHAnsi"/>
          <w:sz w:val="24"/>
          <w:szCs w:val="24"/>
          <w:lang w:eastAsia="es-MX"/>
        </w:rPr>
        <w:t xml:space="preserve"> Martínez, NN García </w:t>
      </w:r>
      <w:proofErr w:type="spellStart"/>
      <w:r w:rsidRPr="005F2A10">
        <w:rPr>
          <w:rFonts w:eastAsiaTheme="majorEastAsia" w:cstheme="minorHAnsi"/>
          <w:sz w:val="24"/>
          <w:szCs w:val="24"/>
          <w:lang w:eastAsia="es-MX"/>
        </w:rPr>
        <w:t>Dermott</w:t>
      </w:r>
      <w:proofErr w:type="spellEnd"/>
      <w:r w:rsidRPr="005F2A10">
        <w:rPr>
          <w:rFonts w:eastAsiaTheme="majorEastAsia" w:cstheme="minorHAnsi"/>
          <w:sz w:val="24"/>
          <w:szCs w:val="24"/>
          <w:lang w:eastAsia="es-MX"/>
        </w:rPr>
        <w:t xml:space="preserve">, Adalberto Gonzáles López, Roberto Roa Gonzáles, NN Ávalos o Ríos Torres, NN </w:t>
      </w:r>
      <w:proofErr w:type="spellStart"/>
      <w:r w:rsidRPr="005F2A10">
        <w:rPr>
          <w:rFonts w:eastAsiaTheme="majorEastAsia" w:cstheme="minorHAnsi"/>
          <w:sz w:val="24"/>
          <w:szCs w:val="24"/>
          <w:lang w:eastAsia="es-MX"/>
        </w:rPr>
        <w:t>Dermontt</w:t>
      </w:r>
      <w:proofErr w:type="spellEnd"/>
      <w:r w:rsidRPr="005F2A10">
        <w:rPr>
          <w:rFonts w:eastAsiaTheme="majorEastAsia" w:cstheme="minorHAnsi"/>
          <w:sz w:val="24"/>
          <w:szCs w:val="24"/>
          <w:lang w:eastAsia="es-MX"/>
        </w:rPr>
        <w:t xml:space="preserve"> Ruiz y NN </w:t>
      </w:r>
      <w:proofErr w:type="spellStart"/>
      <w:r w:rsidRPr="005F2A10">
        <w:rPr>
          <w:rFonts w:eastAsiaTheme="majorEastAsia" w:cstheme="minorHAnsi"/>
          <w:sz w:val="24"/>
          <w:szCs w:val="24"/>
          <w:lang w:eastAsia="es-MX"/>
        </w:rPr>
        <w:t>Wilfrida</w:t>
      </w:r>
      <w:proofErr w:type="spellEnd"/>
      <w:r w:rsidRPr="005F2A10">
        <w:rPr>
          <w:rFonts w:eastAsiaTheme="majorEastAsia" w:cstheme="minorHAnsi"/>
          <w:sz w:val="24"/>
          <w:szCs w:val="24"/>
          <w:lang w:eastAsia="es-MX"/>
        </w:rPr>
        <w:t xml:space="preserve"> Ojeda, de conformidad con lo expuesto en los párrafos 231 a 234 de esta Sentencia.</w:t>
      </w:r>
    </w:p>
    <w:p w14:paraId="207FF302" w14:textId="77777777" w:rsidR="005F2A10" w:rsidRPr="005F2A10" w:rsidRDefault="005F2A10" w:rsidP="005F2A10">
      <w:pPr>
        <w:spacing w:after="0" w:line="240" w:lineRule="auto"/>
        <w:jc w:val="both"/>
        <w:rPr>
          <w:rFonts w:eastAsiaTheme="majorEastAsia" w:cstheme="minorHAnsi"/>
          <w:sz w:val="24"/>
          <w:szCs w:val="24"/>
          <w:lang w:eastAsia="es-MX"/>
        </w:rPr>
      </w:pPr>
    </w:p>
    <w:p w14:paraId="679A5BE1" w14:textId="0A371A0B" w:rsidR="005F2A10" w:rsidRPr="005F2A10" w:rsidRDefault="005F2A10" w:rsidP="005F2A10">
      <w:pPr>
        <w:spacing w:after="0" w:line="240" w:lineRule="auto"/>
        <w:jc w:val="both"/>
        <w:rPr>
          <w:rFonts w:eastAsiaTheme="majorEastAsia" w:cstheme="minorHAnsi"/>
          <w:sz w:val="24"/>
          <w:szCs w:val="24"/>
          <w:lang w:eastAsia="es-MX"/>
        </w:rPr>
      </w:pPr>
      <w:r w:rsidRPr="005F2A10">
        <w:rPr>
          <w:rFonts w:eastAsiaTheme="majorEastAsia" w:cstheme="minorHAnsi"/>
          <w:sz w:val="24"/>
          <w:szCs w:val="24"/>
          <w:lang w:eastAsia="es-MX"/>
        </w:rPr>
        <w:t>8.</w:t>
      </w:r>
      <w:r w:rsidR="00ED226E">
        <w:rPr>
          <w:rFonts w:eastAsiaTheme="majorEastAsia" w:cstheme="minorHAnsi"/>
          <w:sz w:val="24"/>
          <w:szCs w:val="24"/>
          <w:lang w:eastAsia="es-MX"/>
        </w:rPr>
        <w:t xml:space="preserve"> </w:t>
      </w:r>
      <w:r w:rsidRPr="005F2A10">
        <w:rPr>
          <w:rFonts w:eastAsiaTheme="majorEastAsia" w:cstheme="minorHAnsi"/>
          <w:sz w:val="24"/>
          <w:szCs w:val="24"/>
          <w:lang w:eastAsia="es-MX"/>
        </w:rPr>
        <w:t xml:space="preserve">El Estado violó el derecho al reconocimiento de la personalidad jurídica, reconocido en el artículo 3 de la Convención Americana, en relación con el artículo 1.1 de la misma, en perjuicio de NN Jonás Ávalos o Jonás Ríos Torres, Rosa </w:t>
      </w:r>
      <w:proofErr w:type="spellStart"/>
      <w:r w:rsidRPr="005F2A10">
        <w:rPr>
          <w:rFonts w:eastAsiaTheme="majorEastAsia" w:cstheme="minorHAnsi"/>
          <w:sz w:val="24"/>
          <w:szCs w:val="24"/>
          <w:lang w:eastAsia="es-MX"/>
        </w:rPr>
        <w:t>Dermott</w:t>
      </w:r>
      <w:proofErr w:type="spellEnd"/>
      <w:r w:rsidRPr="005F2A10">
        <w:rPr>
          <w:rFonts w:eastAsiaTheme="majorEastAsia" w:cstheme="minorHAnsi"/>
          <w:sz w:val="24"/>
          <w:szCs w:val="24"/>
          <w:lang w:eastAsia="es-MX"/>
        </w:rPr>
        <w:t xml:space="preserve">, </w:t>
      </w:r>
      <w:proofErr w:type="spellStart"/>
      <w:r w:rsidRPr="005F2A10">
        <w:rPr>
          <w:rFonts w:eastAsiaTheme="majorEastAsia" w:cstheme="minorHAnsi"/>
          <w:sz w:val="24"/>
          <w:szCs w:val="24"/>
          <w:lang w:eastAsia="es-MX"/>
        </w:rPr>
        <w:t>Yelsi</w:t>
      </w:r>
      <w:proofErr w:type="spellEnd"/>
      <w:r w:rsidRPr="005F2A10">
        <w:rPr>
          <w:rFonts w:eastAsiaTheme="majorEastAsia" w:cstheme="minorHAnsi"/>
          <w:sz w:val="24"/>
          <w:szCs w:val="24"/>
          <w:lang w:eastAsia="es-MX"/>
        </w:rPr>
        <w:t xml:space="preserve"> Karina López Cabañas, Tito García, Aída Carolina González, Abundio Inter. Dermot, NN </w:t>
      </w:r>
      <w:proofErr w:type="spellStart"/>
      <w:r w:rsidRPr="005F2A10">
        <w:rPr>
          <w:rFonts w:eastAsiaTheme="majorEastAsia" w:cstheme="minorHAnsi"/>
          <w:sz w:val="24"/>
          <w:szCs w:val="24"/>
          <w:lang w:eastAsia="es-MX"/>
        </w:rPr>
        <w:t>Dermott</w:t>
      </w:r>
      <w:proofErr w:type="spellEnd"/>
      <w:r w:rsidRPr="005F2A10">
        <w:rPr>
          <w:rFonts w:eastAsiaTheme="majorEastAsia" w:cstheme="minorHAnsi"/>
          <w:sz w:val="24"/>
          <w:szCs w:val="24"/>
          <w:lang w:eastAsia="es-MX"/>
        </w:rPr>
        <w:t xml:space="preserve"> Larrosa, NN Ávalos o Ríos Torres, NN </w:t>
      </w:r>
      <w:proofErr w:type="spellStart"/>
      <w:r w:rsidRPr="005F2A10">
        <w:rPr>
          <w:rFonts w:eastAsiaTheme="majorEastAsia" w:cstheme="minorHAnsi"/>
          <w:sz w:val="24"/>
          <w:szCs w:val="24"/>
          <w:lang w:eastAsia="es-MX"/>
        </w:rPr>
        <w:t>Dermott</w:t>
      </w:r>
      <w:proofErr w:type="spellEnd"/>
      <w:r w:rsidRPr="005F2A10">
        <w:rPr>
          <w:rFonts w:eastAsiaTheme="majorEastAsia" w:cstheme="minorHAnsi"/>
          <w:sz w:val="24"/>
          <w:szCs w:val="24"/>
          <w:lang w:eastAsia="es-MX"/>
        </w:rPr>
        <w:t xml:space="preserve"> Martínez, NN </w:t>
      </w:r>
      <w:proofErr w:type="spellStart"/>
      <w:r w:rsidRPr="005F2A10">
        <w:rPr>
          <w:rFonts w:eastAsiaTheme="majorEastAsia" w:cstheme="minorHAnsi"/>
          <w:sz w:val="24"/>
          <w:szCs w:val="24"/>
          <w:lang w:eastAsia="es-MX"/>
        </w:rPr>
        <w:t>Dermott</w:t>
      </w:r>
      <w:proofErr w:type="spellEnd"/>
      <w:r w:rsidRPr="005F2A10">
        <w:rPr>
          <w:rFonts w:eastAsiaTheme="majorEastAsia" w:cstheme="minorHAnsi"/>
          <w:sz w:val="24"/>
          <w:szCs w:val="24"/>
          <w:lang w:eastAsia="es-MX"/>
        </w:rPr>
        <w:t xml:space="preserve"> Larrosa, NN García </w:t>
      </w:r>
      <w:proofErr w:type="spellStart"/>
      <w:r w:rsidRPr="005F2A10">
        <w:rPr>
          <w:rFonts w:eastAsiaTheme="majorEastAsia" w:cstheme="minorHAnsi"/>
          <w:sz w:val="24"/>
          <w:szCs w:val="24"/>
          <w:lang w:eastAsia="es-MX"/>
        </w:rPr>
        <w:t>Dermott</w:t>
      </w:r>
      <w:proofErr w:type="spellEnd"/>
      <w:r w:rsidRPr="005F2A10">
        <w:rPr>
          <w:rFonts w:eastAsiaTheme="majorEastAsia" w:cstheme="minorHAnsi"/>
          <w:sz w:val="24"/>
          <w:szCs w:val="24"/>
          <w:lang w:eastAsia="es-MX"/>
        </w:rPr>
        <w:t xml:space="preserve">, Adalberto González López, Roberto Roa Gonzáles, NN Ávalos o Ríos Torres, NN Ávalos o Ríos Torres; NN </w:t>
      </w:r>
      <w:proofErr w:type="spellStart"/>
      <w:r w:rsidRPr="005F2A10">
        <w:rPr>
          <w:rFonts w:eastAsiaTheme="majorEastAsia" w:cstheme="minorHAnsi"/>
          <w:sz w:val="24"/>
          <w:szCs w:val="24"/>
          <w:lang w:eastAsia="es-MX"/>
        </w:rPr>
        <w:t>Dermott</w:t>
      </w:r>
      <w:proofErr w:type="spellEnd"/>
      <w:r w:rsidRPr="005F2A10">
        <w:rPr>
          <w:rFonts w:eastAsiaTheme="majorEastAsia" w:cstheme="minorHAnsi"/>
          <w:sz w:val="24"/>
          <w:szCs w:val="24"/>
          <w:lang w:eastAsia="es-MX"/>
        </w:rPr>
        <w:t xml:space="preserve"> Ruiz, Mercedes </w:t>
      </w:r>
      <w:proofErr w:type="spellStart"/>
      <w:r w:rsidRPr="005F2A10">
        <w:rPr>
          <w:rFonts w:eastAsiaTheme="majorEastAsia" w:cstheme="minorHAnsi"/>
          <w:sz w:val="24"/>
          <w:szCs w:val="24"/>
          <w:lang w:eastAsia="es-MX"/>
        </w:rPr>
        <w:t>Dermott</w:t>
      </w:r>
      <w:proofErr w:type="spellEnd"/>
      <w:r w:rsidRPr="005F2A10">
        <w:rPr>
          <w:rFonts w:eastAsiaTheme="majorEastAsia" w:cstheme="minorHAnsi"/>
          <w:sz w:val="24"/>
          <w:szCs w:val="24"/>
          <w:lang w:eastAsia="es-MX"/>
        </w:rPr>
        <w:t xml:space="preserve"> Larrosa, Sargento Giménez y Rosana Corrientes Domínguez, de conformidad con lo expuesto en los párrafos 251 a 254 de esta Sentencia.</w:t>
      </w:r>
    </w:p>
    <w:p w14:paraId="27C3C3DF" w14:textId="77777777" w:rsidR="005F2A10" w:rsidRPr="005F2A10" w:rsidRDefault="005F2A10" w:rsidP="005F2A10">
      <w:pPr>
        <w:spacing w:after="0" w:line="240" w:lineRule="auto"/>
        <w:jc w:val="both"/>
        <w:rPr>
          <w:rFonts w:eastAsiaTheme="majorEastAsia" w:cstheme="minorHAnsi"/>
          <w:sz w:val="24"/>
          <w:szCs w:val="24"/>
          <w:lang w:eastAsia="es-MX"/>
        </w:rPr>
      </w:pPr>
    </w:p>
    <w:p w14:paraId="1C3E0287" w14:textId="7F97818D" w:rsidR="005F2A10" w:rsidRPr="005F2A10" w:rsidRDefault="005F2A10" w:rsidP="005F2A10">
      <w:pPr>
        <w:spacing w:after="0" w:line="240" w:lineRule="auto"/>
        <w:jc w:val="both"/>
        <w:rPr>
          <w:rFonts w:eastAsiaTheme="majorEastAsia" w:cstheme="minorHAnsi"/>
          <w:sz w:val="24"/>
          <w:szCs w:val="24"/>
          <w:lang w:eastAsia="es-MX"/>
        </w:rPr>
      </w:pPr>
      <w:r w:rsidRPr="005F2A10">
        <w:rPr>
          <w:rFonts w:eastAsiaTheme="majorEastAsia" w:cstheme="minorHAnsi"/>
          <w:sz w:val="24"/>
          <w:szCs w:val="24"/>
          <w:lang w:eastAsia="es-MX"/>
        </w:rPr>
        <w:t>9.</w:t>
      </w:r>
      <w:r w:rsidR="007C3DEF">
        <w:rPr>
          <w:rFonts w:eastAsiaTheme="majorEastAsia" w:cstheme="minorHAnsi"/>
          <w:sz w:val="24"/>
          <w:szCs w:val="24"/>
          <w:lang w:eastAsia="es-MX"/>
        </w:rPr>
        <w:t xml:space="preserve"> </w:t>
      </w:r>
      <w:r w:rsidRPr="005F2A10">
        <w:rPr>
          <w:rFonts w:eastAsiaTheme="majorEastAsia" w:cstheme="minorHAnsi"/>
          <w:sz w:val="24"/>
          <w:szCs w:val="24"/>
          <w:lang w:eastAsia="es-MX"/>
        </w:rPr>
        <w:t>El Estado incumplió con el deber de no discriminar, contenido en el artículo 1.1 de la Convención Americana, en relación con los derechos reconocidos en los artículos 21.1, 8.1, 25.1, 4.1, 3, y 19 del mismo instrumento, de acuerdo con lo expuesto en los párrafos 273 a 275 de esta Sentencia.</w:t>
      </w:r>
    </w:p>
    <w:p w14:paraId="11F3B795" w14:textId="77777777" w:rsidR="005F2A10" w:rsidRPr="005F2A10" w:rsidRDefault="005F2A10" w:rsidP="005F2A10">
      <w:pPr>
        <w:spacing w:after="0" w:line="240" w:lineRule="auto"/>
        <w:jc w:val="both"/>
        <w:rPr>
          <w:rFonts w:eastAsiaTheme="majorEastAsia" w:cstheme="minorHAnsi"/>
          <w:sz w:val="24"/>
          <w:szCs w:val="24"/>
          <w:lang w:eastAsia="es-MX"/>
        </w:rPr>
      </w:pPr>
    </w:p>
    <w:p w14:paraId="5801A62A" w14:textId="77777777" w:rsidR="00EA005A" w:rsidRDefault="00EA005A" w:rsidP="005F2A10">
      <w:pPr>
        <w:spacing w:after="0" w:line="240" w:lineRule="auto"/>
        <w:jc w:val="both"/>
        <w:rPr>
          <w:rFonts w:ascii="Gadugi" w:eastAsiaTheme="majorEastAsia" w:hAnsi="Gadugi" w:cstheme="majorBidi"/>
          <w:b/>
          <w:bCs/>
          <w:color w:val="C00000"/>
          <w:sz w:val="24"/>
          <w:szCs w:val="24"/>
          <w:lang w:eastAsia="es-MX"/>
        </w:rPr>
      </w:pPr>
    </w:p>
    <w:p w14:paraId="29717D3A" w14:textId="3E435131" w:rsidR="00EA005A" w:rsidRDefault="00EA005A" w:rsidP="00EA005A">
      <w:pPr>
        <w:pStyle w:val="Ttulo4"/>
        <w:rPr>
          <w:rFonts w:ascii="Gadugi" w:hAnsi="Gadugi"/>
          <w:b/>
          <w:bCs/>
          <w:i w:val="0"/>
          <w:iCs w:val="0"/>
          <w:color w:val="C00000"/>
          <w:sz w:val="24"/>
          <w:szCs w:val="24"/>
          <w:lang w:eastAsia="es-MX"/>
        </w:rPr>
      </w:pPr>
      <w:r w:rsidRPr="000562A9">
        <w:rPr>
          <w:rFonts w:ascii="Gadugi" w:hAnsi="Gadugi"/>
          <w:b/>
          <w:bCs/>
          <w:i w:val="0"/>
          <w:iCs w:val="0"/>
          <w:color w:val="C00000"/>
          <w:sz w:val="24"/>
          <w:szCs w:val="24"/>
          <w:lang w:eastAsia="es-MX"/>
        </w:rPr>
        <w:t xml:space="preserve">CASO </w:t>
      </w:r>
      <w:r w:rsidR="00B57D8F">
        <w:rPr>
          <w:rFonts w:ascii="Gadugi" w:hAnsi="Gadugi"/>
          <w:b/>
          <w:bCs/>
          <w:i w:val="0"/>
          <w:iCs w:val="0"/>
          <w:color w:val="C00000"/>
          <w:sz w:val="24"/>
          <w:szCs w:val="24"/>
          <w:lang w:eastAsia="es-MX"/>
        </w:rPr>
        <w:t>4</w:t>
      </w:r>
      <w:r w:rsidR="00B57D8F" w:rsidRPr="000562A9">
        <w:rPr>
          <w:rFonts w:ascii="Gadugi" w:hAnsi="Gadugi"/>
          <w:b/>
          <w:bCs/>
          <w:i w:val="0"/>
          <w:iCs w:val="0"/>
          <w:color w:val="C00000"/>
          <w:sz w:val="24"/>
          <w:szCs w:val="24"/>
          <w:lang w:eastAsia="es-MX"/>
        </w:rPr>
        <w:t>:</w:t>
      </w:r>
      <w:r w:rsidR="00B57D8F">
        <w:rPr>
          <w:rFonts w:ascii="Gadugi" w:hAnsi="Gadugi"/>
          <w:b/>
          <w:bCs/>
          <w:i w:val="0"/>
          <w:iCs w:val="0"/>
          <w:color w:val="C00000"/>
          <w:sz w:val="24"/>
          <w:szCs w:val="24"/>
          <w:lang w:eastAsia="es-MX"/>
        </w:rPr>
        <w:t xml:space="preserve"> </w:t>
      </w:r>
      <w:r w:rsidR="00B57D8F" w:rsidRPr="00B57D8F">
        <w:rPr>
          <w:rFonts w:ascii="Gadugi" w:hAnsi="Gadugi"/>
          <w:b/>
          <w:bCs/>
          <w:i w:val="0"/>
          <w:iCs w:val="0"/>
          <w:color w:val="C00000"/>
          <w:sz w:val="24"/>
          <w:szCs w:val="24"/>
          <w:lang w:eastAsia="es-MX"/>
        </w:rPr>
        <w:t>CASO SERVELLÓN GARCÍA Y OTROS VS HONDURAS</w:t>
      </w:r>
    </w:p>
    <w:p w14:paraId="3A494F3C" w14:textId="40872942" w:rsidR="00EA005A" w:rsidRDefault="00EA005A" w:rsidP="005F2A10">
      <w:pPr>
        <w:spacing w:after="0" w:line="240" w:lineRule="auto"/>
        <w:jc w:val="both"/>
        <w:rPr>
          <w:rFonts w:ascii="Gadugi" w:eastAsiaTheme="majorEastAsia" w:hAnsi="Gadugi" w:cstheme="majorBidi"/>
          <w:b/>
          <w:bCs/>
          <w:color w:val="C00000"/>
          <w:sz w:val="24"/>
          <w:szCs w:val="24"/>
          <w:lang w:eastAsia="es-MX"/>
        </w:rPr>
      </w:pPr>
    </w:p>
    <w:p w14:paraId="69350ACE" w14:textId="32EC67DD" w:rsidR="00E07CC1" w:rsidRPr="00E07CC1" w:rsidRDefault="00E07CC1" w:rsidP="00E07CC1">
      <w:pPr>
        <w:rPr>
          <w:rFonts w:ascii="Gadugi" w:hAnsi="Gadugi"/>
          <w:b/>
          <w:bCs/>
          <w:color w:val="C00000"/>
          <w:lang w:eastAsia="es-MX"/>
        </w:rPr>
      </w:pPr>
      <w:r w:rsidRPr="003C40A8">
        <w:rPr>
          <w:rFonts w:ascii="Gadugi" w:hAnsi="Gadugi" w:cs="Arial"/>
          <w:b/>
          <w:bCs/>
          <w:color w:val="C00000"/>
          <w:shd w:val="clear" w:color="auto" w:fill="FFFFFF"/>
        </w:rPr>
        <w:t xml:space="preserve">Órgano </w:t>
      </w:r>
      <w:proofErr w:type="spellStart"/>
      <w:r w:rsidRPr="003C40A8">
        <w:rPr>
          <w:rFonts w:ascii="Gadugi" w:hAnsi="Gadugi" w:cs="Arial"/>
          <w:b/>
          <w:bCs/>
          <w:color w:val="C00000"/>
          <w:shd w:val="clear" w:color="auto" w:fill="FFFFFF"/>
        </w:rPr>
        <w:t>CoIDH</w:t>
      </w:r>
      <w:proofErr w:type="spellEnd"/>
      <w:r w:rsidRPr="003C40A8">
        <w:rPr>
          <w:rFonts w:ascii="Gadugi" w:hAnsi="Gadugi" w:cs="Arial"/>
          <w:b/>
          <w:bCs/>
          <w:color w:val="C00000"/>
          <w:shd w:val="clear" w:color="auto" w:fill="FFFFFF"/>
        </w:rPr>
        <w:t>.</w:t>
      </w:r>
    </w:p>
    <w:p w14:paraId="24C5A7FD" w14:textId="28D54477" w:rsidR="00E07CC1" w:rsidRPr="00E07CC1" w:rsidRDefault="00E07CC1" w:rsidP="00E07CC1">
      <w:pPr>
        <w:spacing w:after="0" w:line="240" w:lineRule="auto"/>
        <w:rPr>
          <w:rFonts w:ascii="Gadugi" w:hAnsi="Gadugi" w:cs="Arial"/>
          <w:b/>
          <w:bCs/>
          <w:shd w:val="clear" w:color="auto" w:fill="FFFFFF"/>
        </w:rPr>
      </w:pPr>
      <w:r w:rsidRPr="00E07CC1">
        <w:rPr>
          <w:rFonts w:ascii="Gadugi" w:hAnsi="Gadugi" w:cs="Arial"/>
          <w:b/>
          <w:bCs/>
          <w:shd w:val="clear" w:color="auto" w:fill="FFFFFF"/>
        </w:rPr>
        <w:t>Corte Interamericana de Derechos Humanos</w:t>
      </w:r>
    </w:p>
    <w:p w14:paraId="4DCA5174" w14:textId="77777777" w:rsidR="00E07CC1" w:rsidRPr="00E07CC1" w:rsidRDefault="00E07CC1" w:rsidP="00E07CC1">
      <w:pPr>
        <w:spacing w:after="0" w:line="240" w:lineRule="auto"/>
        <w:rPr>
          <w:rFonts w:ascii="Gadugi" w:hAnsi="Gadugi" w:cs="Arial"/>
          <w:b/>
          <w:bCs/>
          <w:color w:val="C00000"/>
          <w:shd w:val="clear" w:color="auto" w:fill="FFFFFF"/>
        </w:rPr>
      </w:pPr>
      <w:r w:rsidRPr="00E07CC1">
        <w:rPr>
          <w:rFonts w:ascii="Gadugi" w:hAnsi="Gadugi" w:cs="Arial"/>
          <w:b/>
          <w:bCs/>
          <w:color w:val="C00000"/>
          <w:shd w:val="clear" w:color="auto" w:fill="FFFFFF"/>
        </w:rPr>
        <w:t>Caso Servellón García y otros Vs. Honduras</w:t>
      </w:r>
    </w:p>
    <w:p w14:paraId="65A39FFC" w14:textId="77777777" w:rsidR="00E07CC1" w:rsidRPr="00E07CC1" w:rsidRDefault="00E07CC1" w:rsidP="00E07CC1">
      <w:pPr>
        <w:spacing w:after="0" w:line="240" w:lineRule="auto"/>
        <w:rPr>
          <w:rFonts w:ascii="Gadugi" w:hAnsi="Gadugi" w:cs="Arial"/>
          <w:b/>
          <w:bCs/>
          <w:shd w:val="clear" w:color="auto" w:fill="FFFFFF"/>
        </w:rPr>
      </w:pPr>
      <w:r w:rsidRPr="00E07CC1">
        <w:rPr>
          <w:rFonts w:ascii="Gadugi" w:hAnsi="Gadugi" w:cs="Arial"/>
          <w:b/>
          <w:bCs/>
          <w:shd w:val="clear" w:color="auto" w:fill="FFFFFF"/>
        </w:rPr>
        <w:t>Resuelto el 21 de septiembre de 2006</w:t>
      </w:r>
    </w:p>
    <w:p w14:paraId="2D7F082C" w14:textId="77777777" w:rsidR="00E07CC1" w:rsidRPr="00E07CC1" w:rsidRDefault="00E07CC1" w:rsidP="00E07CC1">
      <w:pPr>
        <w:spacing w:after="0" w:line="240" w:lineRule="auto"/>
        <w:jc w:val="both"/>
        <w:rPr>
          <w:rFonts w:eastAsiaTheme="majorEastAsia" w:cstheme="minorHAnsi"/>
          <w:sz w:val="24"/>
          <w:szCs w:val="24"/>
          <w:lang w:eastAsia="es-MX"/>
        </w:rPr>
      </w:pPr>
    </w:p>
    <w:p w14:paraId="7D694C55" w14:textId="77777777" w:rsidR="00E07CC1" w:rsidRPr="00E07CC1" w:rsidRDefault="00E07CC1" w:rsidP="00E07CC1">
      <w:pPr>
        <w:spacing w:after="0" w:line="240" w:lineRule="auto"/>
        <w:jc w:val="both"/>
        <w:rPr>
          <w:rFonts w:eastAsiaTheme="majorEastAsia" w:cstheme="minorHAnsi"/>
          <w:b/>
          <w:bCs/>
          <w:sz w:val="24"/>
          <w:szCs w:val="24"/>
          <w:lang w:eastAsia="es-MX"/>
        </w:rPr>
      </w:pPr>
      <w:r w:rsidRPr="00E07CC1">
        <w:rPr>
          <w:rFonts w:eastAsiaTheme="majorEastAsia" w:cstheme="minorHAnsi"/>
          <w:b/>
          <w:bCs/>
          <w:sz w:val="24"/>
          <w:szCs w:val="24"/>
          <w:lang w:eastAsia="es-MX"/>
        </w:rPr>
        <w:t>Temática</w:t>
      </w:r>
    </w:p>
    <w:p w14:paraId="4BA25C9A" w14:textId="43E26DA3" w:rsidR="00E07CC1" w:rsidRPr="00E07CC1" w:rsidRDefault="00E07CC1" w:rsidP="00E07CC1">
      <w:pPr>
        <w:pStyle w:val="Prrafodelista"/>
        <w:numPr>
          <w:ilvl w:val="0"/>
          <w:numId w:val="11"/>
        </w:num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Obligación de respetar los derechos;</w:t>
      </w:r>
    </w:p>
    <w:p w14:paraId="2EC76660" w14:textId="4A3C0C91" w:rsidR="00E07CC1" w:rsidRPr="00E07CC1" w:rsidRDefault="00E07CC1" w:rsidP="00E07CC1">
      <w:pPr>
        <w:pStyle w:val="Prrafodelista"/>
        <w:numPr>
          <w:ilvl w:val="0"/>
          <w:numId w:val="11"/>
        </w:num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Libertad de pensamiento y expresión;</w:t>
      </w:r>
    </w:p>
    <w:p w14:paraId="32AF2FF7" w14:textId="2D7E2909" w:rsidR="00E07CC1" w:rsidRPr="00E07CC1" w:rsidRDefault="00E07CC1" w:rsidP="00E07CC1">
      <w:pPr>
        <w:pStyle w:val="Prrafodelista"/>
        <w:numPr>
          <w:ilvl w:val="0"/>
          <w:numId w:val="11"/>
        </w:num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Derecho de los niños y niñas;</w:t>
      </w:r>
    </w:p>
    <w:p w14:paraId="05CFEE53" w14:textId="7DABC103" w:rsidR="00E07CC1" w:rsidRPr="00E07CC1" w:rsidRDefault="00E07CC1" w:rsidP="00E07CC1">
      <w:pPr>
        <w:pStyle w:val="Prrafodelista"/>
        <w:numPr>
          <w:ilvl w:val="0"/>
          <w:numId w:val="11"/>
        </w:num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Protección judicial;</w:t>
      </w:r>
    </w:p>
    <w:p w14:paraId="14F6A698" w14:textId="68080C1C" w:rsidR="00E07CC1" w:rsidRPr="00E07CC1" w:rsidRDefault="00E07CC1" w:rsidP="00E07CC1">
      <w:pPr>
        <w:pStyle w:val="Prrafodelista"/>
        <w:numPr>
          <w:ilvl w:val="0"/>
          <w:numId w:val="11"/>
        </w:num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Derecho a la vida;</w:t>
      </w:r>
    </w:p>
    <w:p w14:paraId="5561D0C9" w14:textId="0DFFCC90" w:rsidR="00E07CC1" w:rsidRPr="00E07CC1" w:rsidRDefault="00E07CC1" w:rsidP="00E07CC1">
      <w:pPr>
        <w:pStyle w:val="Prrafodelista"/>
        <w:numPr>
          <w:ilvl w:val="0"/>
          <w:numId w:val="11"/>
        </w:num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Derecho a la integridad personal;</w:t>
      </w:r>
    </w:p>
    <w:p w14:paraId="2493985F" w14:textId="19FD9E26" w:rsidR="00E07CC1" w:rsidRPr="00E07CC1" w:rsidRDefault="00E07CC1" w:rsidP="00E07CC1">
      <w:pPr>
        <w:pStyle w:val="Prrafodelista"/>
        <w:numPr>
          <w:ilvl w:val="0"/>
          <w:numId w:val="11"/>
        </w:num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Derecho a la libertad personal; y</w:t>
      </w:r>
    </w:p>
    <w:p w14:paraId="4D4936D3" w14:textId="3800877D" w:rsidR="00E07CC1" w:rsidRPr="00E07CC1" w:rsidRDefault="00E07CC1" w:rsidP="00E07CC1">
      <w:pPr>
        <w:pStyle w:val="Prrafodelista"/>
        <w:numPr>
          <w:ilvl w:val="0"/>
          <w:numId w:val="11"/>
        </w:num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Garantías judiciales.</w:t>
      </w:r>
    </w:p>
    <w:p w14:paraId="1803A1DF" w14:textId="77777777" w:rsidR="00E07CC1" w:rsidRPr="00E07CC1" w:rsidRDefault="00E07CC1" w:rsidP="00E07CC1">
      <w:pPr>
        <w:spacing w:after="0" w:line="240" w:lineRule="auto"/>
        <w:jc w:val="both"/>
        <w:rPr>
          <w:rFonts w:eastAsiaTheme="majorEastAsia" w:cstheme="minorHAnsi"/>
          <w:sz w:val="24"/>
          <w:szCs w:val="24"/>
          <w:lang w:eastAsia="es-MX"/>
        </w:rPr>
      </w:pPr>
    </w:p>
    <w:p w14:paraId="5E65B3B0" w14:textId="6CC6C78B" w:rsidR="00E07CC1" w:rsidRPr="00134CA3" w:rsidRDefault="00E07CC1" w:rsidP="00E07CC1">
      <w:pPr>
        <w:spacing w:after="0" w:line="240" w:lineRule="auto"/>
        <w:jc w:val="both"/>
        <w:rPr>
          <w:rFonts w:eastAsiaTheme="majorEastAsia" w:cstheme="minorHAnsi"/>
          <w:b/>
          <w:bCs/>
          <w:sz w:val="24"/>
          <w:szCs w:val="24"/>
          <w:lang w:eastAsia="es-MX"/>
        </w:rPr>
      </w:pPr>
      <w:r w:rsidRPr="00134CA3">
        <w:rPr>
          <w:rFonts w:eastAsiaTheme="majorEastAsia" w:cstheme="minorHAnsi"/>
          <w:b/>
          <w:bCs/>
          <w:sz w:val="24"/>
          <w:szCs w:val="24"/>
          <w:lang w:eastAsia="es-MX"/>
        </w:rPr>
        <w:t>Caso concreto</w:t>
      </w:r>
    </w:p>
    <w:p w14:paraId="20E201F4" w14:textId="77777777" w:rsidR="00134CA3" w:rsidRPr="00E07CC1" w:rsidRDefault="00134CA3" w:rsidP="00E07CC1">
      <w:pPr>
        <w:spacing w:after="0" w:line="240" w:lineRule="auto"/>
        <w:jc w:val="both"/>
        <w:rPr>
          <w:rFonts w:eastAsiaTheme="majorEastAsia" w:cstheme="minorHAnsi"/>
          <w:sz w:val="24"/>
          <w:szCs w:val="24"/>
          <w:lang w:eastAsia="es-MX"/>
        </w:rPr>
      </w:pPr>
    </w:p>
    <w:p w14:paraId="7EAB524E"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 xml:space="preserve">El caso se refiere a la responsabilidad del Estado por la detención arbitraria y posterior ejecución extrajudicial de Marco Antonio Servellón García, Rony Alexis </w:t>
      </w:r>
      <w:proofErr w:type="spellStart"/>
      <w:r w:rsidRPr="00E07CC1">
        <w:rPr>
          <w:rFonts w:eastAsiaTheme="majorEastAsia" w:cstheme="minorHAnsi"/>
          <w:sz w:val="24"/>
          <w:szCs w:val="24"/>
          <w:lang w:eastAsia="es-MX"/>
        </w:rPr>
        <w:t>Betancourth</w:t>
      </w:r>
      <w:proofErr w:type="spellEnd"/>
      <w:r w:rsidRPr="00E07CC1">
        <w:rPr>
          <w:rFonts w:eastAsiaTheme="majorEastAsia" w:cstheme="minorHAnsi"/>
          <w:sz w:val="24"/>
          <w:szCs w:val="24"/>
          <w:lang w:eastAsia="es-MX"/>
        </w:rPr>
        <w:t xml:space="preserve"> Vásquez, Orlando Álvarez Ríos, Diomedes Obed García Sánchez por parte de agentes públicos, así como por la falta de investigación y sanción de los responsables.</w:t>
      </w:r>
    </w:p>
    <w:p w14:paraId="3CF31E89" w14:textId="77777777" w:rsidR="00E07CC1" w:rsidRPr="00E07CC1" w:rsidRDefault="00E07CC1" w:rsidP="00E07CC1">
      <w:pPr>
        <w:spacing w:after="0" w:line="240" w:lineRule="auto"/>
        <w:jc w:val="both"/>
        <w:rPr>
          <w:rFonts w:eastAsiaTheme="majorEastAsia" w:cstheme="minorHAnsi"/>
          <w:sz w:val="24"/>
          <w:szCs w:val="24"/>
          <w:lang w:eastAsia="es-MX"/>
        </w:rPr>
      </w:pPr>
    </w:p>
    <w:p w14:paraId="55E746EF" w14:textId="658E1F6F" w:rsidR="00E07CC1" w:rsidRDefault="00E07CC1" w:rsidP="00E07CC1">
      <w:pPr>
        <w:spacing w:after="0" w:line="240" w:lineRule="auto"/>
        <w:jc w:val="both"/>
        <w:rPr>
          <w:rFonts w:eastAsiaTheme="majorEastAsia" w:cstheme="minorHAnsi"/>
          <w:b/>
          <w:bCs/>
          <w:sz w:val="24"/>
          <w:szCs w:val="24"/>
          <w:lang w:eastAsia="es-MX"/>
        </w:rPr>
      </w:pPr>
      <w:r w:rsidRPr="00482AA6">
        <w:rPr>
          <w:rFonts w:eastAsiaTheme="majorEastAsia" w:cstheme="minorHAnsi"/>
          <w:b/>
          <w:bCs/>
          <w:sz w:val="24"/>
          <w:szCs w:val="24"/>
          <w:lang w:eastAsia="es-MX"/>
        </w:rPr>
        <w:t>Hechos</w:t>
      </w:r>
    </w:p>
    <w:p w14:paraId="1858CEE7" w14:textId="77777777" w:rsidR="00482AA6" w:rsidRPr="00482AA6" w:rsidRDefault="00482AA6" w:rsidP="00E07CC1">
      <w:pPr>
        <w:spacing w:after="0" w:line="240" w:lineRule="auto"/>
        <w:jc w:val="both"/>
        <w:rPr>
          <w:rFonts w:eastAsiaTheme="majorEastAsia" w:cstheme="minorHAnsi"/>
          <w:b/>
          <w:bCs/>
          <w:sz w:val="24"/>
          <w:szCs w:val="24"/>
          <w:lang w:eastAsia="es-MX"/>
        </w:rPr>
      </w:pPr>
    </w:p>
    <w:p w14:paraId="24991E82"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Los hechos se llevan a cabo en contexto de violencia marcado por la victimización de niños y jóvenes en situación de riesgo social por parte del Estado a inicios de la década de los 90s. El 15 de septiembre de 1995 la Fuerza de Seguridad Pública realizó un operativo policial llevado a cabo en las inmediaciones de un estadio en la ciudad de Tegucigalpa, con el objeto de evitar disturbios durante los desfiles que se realizarían para celebrar el Día de la Independencia Nacional de Honduras.</w:t>
      </w:r>
    </w:p>
    <w:p w14:paraId="21343958" w14:textId="77777777" w:rsidR="00E07CC1" w:rsidRPr="00E07CC1" w:rsidRDefault="00E07CC1" w:rsidP="00E07CC1">
      <w:pPr>
        <w:spacing w:after="0" w:line="240" w:lineRule="auto"/>
        <w:jc w:val="both"/>
        <w:rPr>
          <w:rFonts w:eastAsiaTheme="majorEastAsia" w:cstheme="minorHAnsi"/>
          <w:sz w:val="24"/>
          <w:szCs w:val="24"/>
          <w:lang w:eastAsia="es-MX"/>
        </w:rPr>
      </w:pPr>
    </w:p>
    <w:p w14:paraId="6B88AFD2"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 xml:space="preserve">Los niños Marco Antonio Servellón García, Rony Alexis </w:t>
      </w:r>
      <w:proofErr w:type="spellStart"/>
      <w:r w:rsidRPr="00E07CC1">
        <w:rPr>
          <w:rFonts w:eastAsiaTheme="majorEastAsia" w:cstheme="minorHAnsi"/>
          <w:sz w:val="24"/>
          <w:szCs w:val="24"/>
          <w:lang w:eastAsia="es-MX"/>
        </w:rPr>
        <w:t>Betancourth</w:t>
      </w:r>
      <w:proofErr w:type="spellEnd"/>
      <w:r w:rsidRPr="00E07CC1">
        <w:rPr>
          <w:rFonts w:eastAsiaTheme="majorEastAsia" w:cstheme="minorHAnsi"/>
          <w:sz w:val="24"/>
          <w:szCs w:val="24"/>
          <w:lang w:eastAsia="es-MX"/>
        </w:rPr>
        <w:t xml:space="preserve"> Vásquez, y los jóvenes Orlando Álvarez Ríos y Diomedes Obed García Sánchez fueron detenidos por la Fuerza de </w:t>
      </w:r>
      <w:r w:rsidRPr="00E07CC1">
        <w:rPr>
          <w:rFonts w:eastAsiaTheme="majorEastAsia" w:cstheme="minorHAnsi"/>
          <w:sz w:val="24"/>
          <w:szCs w:val="24"/>
          <w:lang w:eastAsia="es-MX"/>
        </w:rPr>
        <w:lastRenderedPageBreak/>
        <w:t>Seguridad de Honduras. Las cuatro personas fueron golpeadas y posteriormente asesinadas. El 17 de septiembre de 1995 sus cadáveres fueron encontrados en diferentes lugares de la ciudad de Tegucigalpa. A pesar de que sus familiares interpusieron una serie de recursos para investigar y sancionar a los responsables, no se realizaron mayores diligencias.</w:t>
      </w:r>
    </w:p>
    <w:p w14:paraId="75CDF6BC" w14:textId="77777777" w:rsidR="00E07CC1" w:rsidRPr="00E07CC1" w:rsidRDefault="00E07CC1" w:rsidP="00E07CC1">
      <w:pPr>
        <w:spacing w:after="0" w:line="240" w:lineRule="auto"/>
        <w:jc w:val="both"/>
        <w:rPr>
          <w:rFonts w:eastAsiaTheme="majorEastAsia" w:cstheme="minorHAnsi"/>
          <w:sz w:val="24"/>
          <w:szCs w:val="24"/>
          <w:lang w:eastAsia="es-MX"/>
        </w:rPr>
      </w:pPr>
    </w:p>
    <w:p w14:paraId="797F766A" w14:textId="220624C6" w:rsidR="00E07CC1" w:rsidRDefault="00E07CC1" w:rsidP="00E07CC1">
      <w:pPr>
        <w:spacing w:after="0" w:line="240" w:lineRule="auto"/>
        <w:jc w:val="both"/>
        <w:rPr>
          <w:rFonts w:eastAsiaTheme="majorEastAsia" w:cstheme="minorHAnsi"/>
          <w:b/>
          <w:bCs/>
          <w:sz w:val="24"/>
          <w:szCs w:val="24"/>
          <w:lang w:eastAsia="es-MX"/>
        </w:rPr>
      </w:pPr>
      <w:r w:rsidRPr="00482AA6">
        <w:rPr>
          <w:rFonts w:eastAsiaTheme="majorEastAsia" w:cstheme="minorHAnsi"/>
          <w:b/>
          <w:bCs/>
          <w:sz w:val="24"/>
          <w:szCs w:val="24"/>
          <w:lang w:eastAsia="es-MX"/>
        </w:rPr>
        <w:t xml:space="preserve">Consideraciones de la </w:t>
      </w:r>
      <w:proofErr w:type="spellStart"/>
      <w:r w:rsidRPr="00482AA6">
        <w:rPr>
          <w:rFonts w:eastAsiaTheme="majorEastAsia" w:cstheme="minorHAnsi"/>
          <w:b/>
          <w:bCs/>
          <w:sz w:val="24"/>
          <w:szCs w:val="24"/>
          <w:lang w:eastAsia="es-MX"/>
        </w:rPr>
        <w:t>CoIDH</w:t>
      </w:r>
      <w:proofErr w:type="spellEnd"/>
    </w:p>
    <w:p w14:paraId="60BD83E3" w14:textId="77777777" w:rsidR="00482AA6" w:rsidRPr="00482AA6" w:rsidRDefault="00482AA6" w:rsidP="00E07CC1">
      <w:pPr>
        <w:spacing w:after="0" w:line="240" w:lineRule="auto"/>
        <w:jc w:val="both"/>
        <w:rPr>
          <w:rFonts w:eastAsiaTheme="majorEastAsia" w:cstheme="minorHAnsi"/>
          <w:b/>
          <w:bCs/>
          <w:sz w:val="24"/>
          <w:szCs w:val="24"/>
          <w:lang w:eastAsia="es-MX"/>
        </w:rPr>
      </w:pPr>
    </w:p>
    <w:p w14:paraId="29EEC4E8" w14:textId="77777777" w:rsidR="00E07CC1" w:rsidRPr="00482AA6" w:rsidRDefault="00E07CC1" w:rsidP="00E07CC1">
      <w:pPr>
        <w:spacing w:after="0" w:line="240" w:lineRule="auto"/>
        <w:jc w:val="both"/>
        <w:rPr>
          <w:rFonts w:eastAsiaTheme="majorEastAsia" w:cstheme="minorHAnsi"/>
          <w:b/>
          <w:bCs/>
          <w:sz w:val="24"/>
          <w:szCs w:val="24"/>
          <w:lang w:eastAsia="es-MX"/>
        </w:rPr>
      </w:pPr>
      <w:r w:rsidRPr="00482AA6">
        <w:rPr>
          <w:rFonts w:eastAsiaTheme="majorEastAsia" w:cstheme="minorHAnsi"/>
          <w:b/>
          <w:bCs/>
          <w:sz w:val="24"/>
          <w:szCs w:val="24"/>
          <w:lang w:eastAsia="es-MX"/>
        </w:rPr>
        <w:t>I. Violación de los artículos 4.1, 5.1, 5.2 y 5.5, 7.1, 7.2, 7.3, 7.4 y 7.5, y 19, de la Convención Americana, en relación con el artículo 1.1 de la misma (Derecho a la vida, a la integridad personal, a la libertad personal, derechos del niño y obligación de respetar los derechos)</w:t>
      </w:r>
    </w:p>
    <w:p w14:paraId="4804D09F" w14:textId="77777777" w:rsidR="00E07CC1" w:rsidRPr="00E07CC1" w:rsidRDefault="00E07CC1" w:rsidP="00E07CC1">
      <w:pPr>
        <w:spacing w:after="0" w:line="240" w:lineRule="auto"/>
        <w:jc w:val="both"/>
        <w:rPr>
          <w:rFonts w:eastAsiaTheme="majorEastAsia" w:cstheme="minorHAnsi"/>
          <w:sz w:val="24"/>
          <w:szCs w:val="24"/>
          <w:lang w:eastAsia="es-MX"/>
        </w:rPr>
      </w:pPr>
    </w:p>
    <w:p w14:paraId="7BC44384"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 xml:space="preserve">80. La Corte concluyó que el Estado reconoció su responsabilidad internacional por la violación de los artículos 4.1, 5.1 y 5.2 y 7.1, 7.2, 7.3, 7.4 y 7.5 de la Convención Americana, en relación con el artículo 1.1 de dicho instrumento, en perjuicio de Marco Antonio Servellón García, Rony Alexis </w:t>
      </w:r>
      <w:proofErr w:type="spellStart"/>
      <w:r w:rsidRPr="00E07CC1">
        <w:rPr>
          <w:rFonts w:eastAsiaTheme="majorEastAsia" w:cstheme="minorHAnsi"/>
          <w:sz w:val="24"/>
          <w:szCs w:val="24"/>
          <w:lang w:eastAsia="es-MX"/>
        </w:rPr>
        <w:t>Betancourth</w:t>
      </w:r>
      <w:proofErr w:type="spellEnd"/>
      <w:r w:rsidRPr="00E07CC1">
        <w:rPr>
          <w:rFonts w:eastAsiaTheme="majorEastAsia" w:cstheme="minorHAnsi"/>
          <w:sz w:val="24"/>
          <w:szCs w:val="24"/>
          <w:lang w:eastAsia="es-MX"/>
        </w:rPr>
        <w:t xml:space="preserve"> Vásquez, Orlando Álvarez Ríos y Diomedes Obed García Sánchez, y los artículos 5.5 y 19 de la Convención, en perjuicio de Marco Antonio Servellón García y Rony Alexis </w:t>
      </w:r>
      <w:proofErr w:type="spellStart"/>
      <w:r w:rsidRPr="00E07CC1">
        <w:rPr>
          <w:rFonts w:eastAsiaTheme="majorEastAsia" w:cstheme="minorHAnsi"/>
          <w:sz w:val="24"/>
          <w:szCs w:val="24"/>
          <w:lang w:eastAsia="es-MX"/>
        </w:rPr>
        <w:t>Betancourth</w:t>
      </w:r>
      <w:proofErr w:type="spellEnd"/>
      <w:r w:rsidRPr="00E07CC1">
        <w:rPr>
          <w:rFonts w:eastAsiaTheme="majorEastAsia" w:cstheme="minorHAnsi"/>
          <w:sz w:val="24"/>
          <w:szCs w:val="24"/>
          <w:lang w:eastAsia="es-MX"/>
        </w:rPr>
        <w:t xml:space="preserve"> Vásquez. </w:t>
      </w:r>
    </w:p>
    <w:p w14:paraId="335F2467" w14:textId="77777777" w:rsidR="00E07CC1" w:rsidRPr="00E07CC1" w:rsidRDefault="00E07CC1" w:rsidP="00E07CC1">
      <w:pPr>
        <w:spacing w:after="0" w:line="240" w:lineRule="auto"/>
        <w:jc w:val="both"/>
        <w:rPr>
          <w:rFonts w:eastAsiaTheme="majorEastAsia" w:cstheme="minorHAnsi"/>
          <w:sz w:val="24"/>
          <w:szCs w:val="24"/>
          <w:lang w:eastAsia="es-MX"/>
        </w:rPr>
      </w:pPr>
    </w:p>
    <w:p w14:paraId="64044A39"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86. La Convención ha consagrado como principal garantía de la libertad y la seguridad individual la prohibición de la detención o encarcelamiento ilegal o arbitrario. La Corte ha manifestado que el Estado, en relación con la detención ilegal, “si bien tiene el derecho y la obligación de garantizar su seguridad y mantener el orden público, su poder no es ilimitado, pues tiene el deber, en todo momento, de aplicar procedimientos conformes a Derecho y respetuosos de los derechos fundamentales, a todo individuo que se encuentre bajo su jurisdicción.</w:t>
      </w:r>
    </w:p>
    <w:p w14:paraId="13A05F80" w14:textId="77777777" w:rsidR="00E07CC1" w:rsidRPr="00E07CC1" w:rsidRDefault="00E07CC1" w:rsidP="00E07CC1">
      <w:pPr>
        <w:spacing w:after="0" w:line="240" w:lineRule="auto"/>
        <w:jc w:val="both"/>
        <w:rPr>
          <w:rFonts w:eastAsiaTheme="majorEastAsia" w:cstheme="minorHAnsi"/>
          <w:sz w:val="24"/>
          <w:szCs w:val="24"/>
          <w:lang w:eastAsia="es-MX"/>
        </w:rPr>
      </w:pPr>
    </w:p>
    <w:p w14:paraId="0A7C6F78"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87. Con la finalidad de mantener la seguridad y el orden públicos, el Estado legisla y adopta diversas medidas de distinta naturaleza para prevenir y regular las conductas de sus ciudadanos, una de las cuales es promover la presencia de fuerzas policiales en el espacio público. No obstante, la Corte observa que un incorrecto actuar de esos agentes estatales en su interacción con las personas a quienes deben proteger, representa una de las principales amenazas al derecho a libertad personal, el cual, cuando es vulnerado, genera un riesgo de que se produzca la vulneración de otros derechos, como la integridad personal y, en algunos casos, la vida.</w:t>
      </w:r>
    </w:p>
    <w:p w14:paraId="62CD0A62" w14:textId="77777777" w:rsidR="00E07CC1" w:rsidRPr="00E07CC1" w:rsidRDefault="00E07CC1" w:rsidP="00E07CC1">
      <w:pPr>
        <w:spacing w:after="0" w:line="240" w:lineRule="auto"/>
        <w:jc w:val="both"/>
        <w:rPr>
          <w:rFonts w:eastAsiaTheme="majorEastAsia" w:cstheme="minorHAnsi"/>
          <w:sz w:val="24"/>
          <w:szCs w:val="24"/>
          <w:lang w:eastAsia="es-MX"/>
        </w:rPr>
      </w:pPr>
    </w:p>
    <w:p w14:paraId="6F144FDA"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88. El artículo 7 de la Convención consagra garantías que representan límites al ejercicio de la autoridad por parte de agentes del Estado. Esos límites se aplican a los instrumentos de control estatales, uno de los cuales es la detención. Dicha medida estará en concordancia con las garantías consagradas en la Convención siempre y cuando su aplicación tenga un carácter excepcional, respete el principio a la presunción de inocencia y los principios de legalidad, necesidad y proporcionalidad, indispensables en una sociedad democrática.</w:t>
      </w:r>
    </w:p>
    <w:p w14:paraId="794860DE" w14:textId="77777777" w:rsidR="00E07CC1" w:rsidRPr="00E07CC1" w:rsidRDefault="00E07CC1" w:rsidP="00E07CC1">
      <w:pPr>
        <w:spacing w:after="0" w:line="240" w:lineRule="auto"/>
        <w:jc w:val="both"/>
        <w:rPr>
          <w:rFonts w:eastAsiaTheme="majorEastAsia" w:cstheme="minorHAnsi"/>
          <w:sz w:val="24"/>
          <w:szCs w:val="24"/>
          <w:lang w:eastAsia="es-MX"/>
        </w:rPr>
      </w:pPr>
    </w:p>
    <w:p w14:paraId="68B91C75"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lastRenderedPageBreak/>
        <w:t>89. La restricción del derecho a la libertad personal, debe darse únicamente por las causas y en las condiciones fijadas de antemano por las Constituciones Políticas o por las leyes dictadas conforme a ellas (aspecto material), además, con estricta sujeción a los procedimientos objetivamente definidos en la misma (aspecto formal). A su vez, la legislación que establece las causales de restricción de la libertad personal debe ser dictada de conformidad con los principios que rigen la Convención, y ser conducente a la efectiva observancia de las garantías en ella previstas.</w:t>
      </w:r>
    </w:p>
    <w:p w14:paraId="20859F6E" w14:textId="77777777" w:rsidR="00E07CC1" w:rsidRPr="00E07CC1" w:rsidRDefault="00E07CC1" w:rsidP="00E07CC1">
      <w:pPr>
        <w:spacing w:after="0" w:line="240" w:lineRule="auto"/>
        <w:jc w:val="both"/>
        <w:rPr>
          <w:rFonts w:eastAsiaTheme="majorEastAsia" w:cstheme="minorHAnsi"/>
          <w:sz w:val="24"/>
          <w:szCs w:val="24"/>
          <w:lang w:eastAsia="es-MX"/>
        </w:rPr>
      </w:pPr>
    </w:p>
    <w:p w14:paraId="4141FA28"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 xml:space="preserve">90. La Convención prohíbe la detención o encarcelamiento por métodos que pueden ser legales, pero que en la práctica resultan irrazonables, o carentes de proporcionalidad. La Corte ha establecido que para que se cumplan los requisitos necesarios para restringir el derecho a la libertad personal, deben existir indicios suficientes que permitan suponer razonablemente la culpabilidad de la persona sometida a un proceso y que la detención sea estrictamente necesaria para asegurar que el acusado no impedirá el desarrollo eficiente de las investigaciones ni eludirá la acción de la justicia. Al ordenarse medidas restrictivas de la libertad es preciso que el Estado fundamente y acredite la existencia, en el caso concreto, de esos requisitos exigidos por la Convención. </w:t>
      </w:r>
    </w:p>
    <w:p w14:paraId="1B26970B" w14:textId="77777777" w:rsidR="00E07CC1" w:rsidRPr="00E07CC1" w:rsidRDefault="00E07CC1" w:rsidP="00E07CC1">
      <w:pPr>
        <w:spacing w:after="0" w:line="240" w:lineRule="auto"/>
        <w:jc w:val="both"/>
        <w:rPr>
          <w:rFonts w:eastAsiaTheme="majorEastAsia" w:cstheme="minorHAnsi"/>
          <w:sz w:val="24"/>
          <w:szCs w:val="24"/>
          <w:lang w:eastAsia="es-MX"/>
        </w:rPr>
      </w:pPr>
    </w:p>
    <w:p w14:paraId="327D318D"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91. La detención de las víctimas constituyó una detención colectiva y programada, en la que aproximadamente 128 personas fueron detenidas, sin orden de detención y sin haber sido aprehendidas en flagrante delito, y que fue realizada con la declarada finalidad de evitar disturbios durante los desfiles que se realizarían para celebrar el Día de la Independencia Nacional.</w:t>
      </w:r>
    </w:p>
    <w:p w14:paraId="07E2BCAD" w14:textId="77777777" w:rsidR="00E07CC1" w:rsidRPr="00E07CC1" w:rsidRDefault="00E07CC1" w:rsidP="00E07CC1">
      <w:pPr>
        <w:spacing w:after="0" w:line="240" w:lineRule="auto"/>
        <w:jc w:val="both"/>
        <w:rPr>
          <w:rFonts w:eastAsiaTheme="majorEastAsia" w:cstheme="minorHAnsi"/>
          <w:sz w:val="24"/>
          <w:szCs w:val="24"/>
          <w:lang w:eastAsia="es-MX"/>
        </w:rPr>
      </w:pPr>
    </w:p>
    <w:p w14:paraId="206CF325"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92. La detención colectiva puede representar un mecanismo para garantizar la seguridad ciudadana cuando el Estado cuenta con elementos para acreditar que la actuación de cada una de las personas afectadas se encuadra en alguna de las causas de detención previstas por sus normas internas en concordancia con la Convención. Es decir, que existan elementos para individualizar y separar las conductas de cada uno de los detenidos y que, a la vez, exista el control de la autoridad judicial.</w:t>
      </w:r>
    </w:p>
    <w:p w14:paraId="0EB8920F" w14:textId="77777777" w:rsidR="00E07CC1" w:rsidRPr="00E07CC1" w:rsidRDefault="00E07CC1" w:rsidP="00E07CC1">
      <w:pPr>
        <w:spacing w:after="0" w:line="240" w:lineRule="auto"/>
        <w:jc w:val="both"/>
        <w:rPr>
          <w:rFonts w:eastAsiaTheme="majorEastAsia" w:cstheme="minorHAnsi"/>
          <w:sz w:val="24"/>
          <w:szCs w:val="24"/>
          <w:lang w:eastAsia="es-MX"/>
        </w:rPr>
      </w:pPr>
    </w:p>
    <w:p w14:paraId="59C80517"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 xml:space="preserve">93. Por ello, una detención masiva y programada de personas sin causa legal, en la que el Estado detiene masivamente a personas que la autoridad supone que podrían representar un riesgo o peligro a la seguridad de los demás, sin indicios fundados de la comisión de un delito, constituye una detención ilegal y arbitraria. </w:t>
      </w:r>
    </w:p>
    <w:p w14:paraId="697833AC" w14:textId="77777777" w:rsidR="00E07CC1" w:rsidRPr="00E07CC1" w:rsidRDefault="00E07CC1" w:rsidP="00E07CC1">
      <w:pPr>
        <w:spacing w:after="0" w:line="240" w:lineRule="auto"/>
        <w:jc w:val="both"/>
        <w:rPr>
          <w:rFonts w:eastAsiaTheme="majorEastAsia" w:cstheme="minorHAnsi"/>
          <w:sz w:val="24"/>
          <w:szCs w:val="24"/>
          <w:lang w:eastAsia="es-MX"/>
        </w:rPr>
      </w:pPr>
    </w:p>
    <w:p w14:paraId="4363320A"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 xml:space="preserve">94. Este Tribunal consideró que el principio de igualdad ante la ley y no discriminación pertenece al </w:t>
      </w:r>
      <w:proofErr w:type="spellStart"/>
      <w:r w:rsidRPr="00E07CC1">
        <w:rPr>
          <w:rFonts w:eastAsiaTheme="majorEastAsia" w:cstheme="minorHAnsi"/>
          <w:sz w:val="24"/>
          <w:szCs w:val="24"/>
          <w:lang w:eastAsia="es-MX"/>
        </w:rPr>
        <w:t>jus</w:t>
      </w:r>
      <w:proofErr w:type="spellEnd"/>
      <w:r w:rsidRPr="00E07CC1">
        <w:rPr>
          <w:rFonts w:eastAsiaTheme="majorEastAsia" w:cstheme="minorHAnsi"/>
          <w:sz w:val="24"/>
          <w:szCs w:val="24"/>
          <w:lang w:eastAsia="es-MX"/>
        </w:rPr>
        <w:t xml:space="preserve"> cogens el cual, revestido de carácter imperativo, acarrea obligaciones erga omnes de protección que vinculan a todos los Estados y generan efectos con respecto a terceros, inclusive particulares. </w:t>
      </w:r>
    </w:p>
    <w:p w14:paraId="4F837A54" w14:textId="77777777" w:rsidR="00E07CC1" w:rsidRPr="00E07CC1" w:rsidRDefault="00E07CC1" w:rsidP="00E07CC1">
      <w:pPr>
        <w:spacing w:after="0" w:line="240" w:lineRule="auto"/>
        <w:jc w:val="both"/>
        <w:rPr>
          <w:rFonts w:eastAsiaTheme="majorEastAsia" w:cstheme="minorHAnsi"/>
          <w:sz w:val="24"/>
          <w:szCs w:val="24"/>
          <w:lang w:eastAsia="es-MX"/>
        </w:rPr>
      </w:pPr>
    </w:p>
    <w:p w14:paraId="01F8DA69"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 xml:space="preserve">96. Las detenciones programadas y colectivas, las que no se encuentran fundadas en la individualización de conductas punibles y que carecen del control judicial, son contrarias a la presunción de inocencia, coartan indebidamente la libertad personal y transforman la </w:t>
      </w:r>
      <w:r w:rsidRPr="00E07CC1">
        <w:rPr>
          <w:rFonts w:eastAsiaTheme="majorEastAsia" w:cstheme="minorHAnsi"/>
          <w:sz w:val="24"/>
          <w:szCs w:val="24"/>
          <w:lang w:eastAsia="es-MX"/>
        </w:rPr>
        <w:lastRenderedPageBreak/>
        <w:t>detención preventiva en un mecanismo discriminatorio, por lo que el Estado no puede realizarlas, en circunstancia alguna. (…)</w:t>
      </w:r>
    </w:p>
    <w:p w14:paraId="42DFA538" w14:textId="77777777" w:rsidR="00E07CC1" w:rsidRPr="00E07CC1" w:rsidRDefault="00E07CC1" w:rsidP="00E07CC1">
      <w:pPr>
        <w:spacing w:after="0" w:line="240" w:lineRule="auto"/>
        <w:jc w:val="both"/>
        <w:rPr>
          <w:rFonts w:eastAsiaTheme="majorEastAsia" w:cstheme="minorHAnsi"/>
          <w:sz w:val="24"/>
          <w:szCs w:val="24"/>
          <w:lang w:eastAsia="es-MX"/>
        </w:rPr>
      </w:pPr>
    </w:p>
    <w:p w14:paraId="18D21C3B"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 xml:space="preserve">99. Las víctimas fueron detenidas colectivamente, de forma ilegal y arbitraria, sometidas a tortura y tratos crueles, inhumanos o degradantes durante su detención. Fueron golpeadas con pistolas en la cabeza y con sillas, acusadas de “ladrón” y estuvieron aisladas y amarradas durante su detención. Mientras se encontraban bajo la custodia estatal, y cumpliendo las amenazas que les hicieron los agentes estatales, fueron asesinados con armas de fuego y armas blancas. El ensañamiento con que se ejecutó a las víctimas, privándoles de la vida en forma humillante, las marcas de tortura física presentes en los cuatro cadáveres, y la forma como sus cuerpos fueron abandonados a la intemperie, constituyeron graves atentados al derecho a la vida, a la integridad y libertad personales. </w:t>
      </w:r>
    </w:p>
    <w:p w14:paraId="4F91C778" w14:textId="77777777" w:rsidR="00E07CC1" w:rsidRPr="00E07CC1" w:rsidRDefault="00E07CC1" w:rsidP="00E07CC1">
      <w:pPr>
        <w:spacing w:after="0" w:line="240" w:lineRule="auto"/>
        <w:jc w:val="both"/>
        <w:rPr>
          <w:rFonts w:eastAsiaTheme="majorEastAsia" w:cstheme="minorHAnsi"/>
          <w:sz w:val="24"/>
          <w:szCs w:val="24"/>
          <w:lang w:eastAsia="es-MX"/>
        </w:rPr>
      </w:pPr>
    </w:p>
    <w:p w14:paraId="269E1DBD"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 xml:space="preserve">102. Es ilícita toda forma de ejercicio del poder público que viole los derechos reconocidos por la Convención. La Corte ha señalado que los Estados responden por los actos de sus agentes, realizados al amparo de su carácter oficial, y por las omisiones de </w:t>
      </w:r>
      <w:proofErr w:type="gramStart"/>
      <w:r w:rsidRPr="00E07CC1">
        <w:rPr>
          <w:rFonts w:eastAsiaTheme="majorEastAsia" w:cstheme="minorHAnsi"/>
          <w:sz w:val="24"/>
          <w:szCs w:val="24"/>
          <w:lang w:eastAsia="es-MX"/>
        </w:rPr>
        <w:t>los mismos</w:t>
      </w:r>
      <w:proofErr w:type="gramEnd"/>
      <w:r w:rsidRPr="00E07CC1">
        <w:rPr>
          <w:rFonts w:eastAsiaTheme="majorEastAsia" w:cstheme="minorHAnsi"/>
          <w:sz w:val="24"/>
          <w:szCs w:val="24"/>
          <w:lang w:eastAsia="es-MX"/>
        </w:rPr>
        <w:t>, aún si actúan fuera de los límites de su competencia o en violación del derecho interno. De manera especial, los Estados deben vigilar que sus cuerpos de seguridad, a quienes les está atribuido el uso de la fuerza legítima, respeten el derecho a la vida de quienes se encuentren bajo su jurisdicción.</w:t>
      </w:r>
    </w:p>
    <w:p w14:paraId="1AE798A8" w14:textId="77777777" w:rsidR="00E07CC1" w:rsidRPr="00E07CC1" w:rsidRDefault="00E07CC1" w:rsidP="00E07CC1">
      <w:pPr>
        <w:spacing w:after="0" w:line="240" w:lineRule="auto"/>
        <w:jc w:val="both"/>
        <w:rPr>
          <w:rFonts w:eastAsiaTheme="majorEastAsia" w:cstheme="minorHAnsi"/>
          <w:sz w:val="24"/>
          <w:szCs w:val="24"/>
          <w:lang w:eastAsia="es-MX"/>
        </w:rPr>
      </w:pPr>
    </w:p>
    <w:p w14:paraId="41D812F6"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 xml:space="preserve">103. En el presente caso agentes de la fuerza pública, haciendo uso ilegal de su autoridad, detuvieron a las víctimas y las ejecutaron. Al respecto, la Corte ha reiterado que, en relación con el derecho a la vida, los Estados tienen la obligación de garantizar la creación de las condiciones que se requieran para que no se produzcan violaciones de ese derecho inalienable, y que es particularmente grave su vulneración cuando ésta es producida por agentes estatales, hecho reconocido por el Estado en su allanamiento. </w:t>
      </w:r>
    </w:p>
    <w:p w14:paraId="195C4E79" w14:textId="77777777" w:rsidR="00E07CC1" w:rsidRPr="00E07CC1" w:rsidRDefault="00E07CC1" w:rsidP="00E07CC1">
      <w:pPr>
        <w:spacing w:after="0" w:line="240" w:lineRule="auto"/>
        <w:jc w:val="both"/>
        <w:rPr>
          <w:rFonts w:eastAsiaTheme="majorEastAsia" w:cstheme="minorHAnsi"/>
          <w:sz w:val="24"/>
          <w:szCs w:val="24"/>
          <w:lang w:eastAsia="es-MX"/>
        </w:rPr>
      </w:pPr>
    </w:p>
    <w:p w14:paraId="053B290A"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 xml:space="preserve">108. La obligación positiva derivada del deber de respeto y garantía, de crear las condiciones que se requieran para que no se produzcan violaciones a los derechos humanos, en circunstancias como la del presente caso, en que ha existido un contexto de violencia caracterizado por ejecuciones extrajudiciales e impunidad, se convierte en el deber, a cargo del Estado, de hacer cesar las condiciones que permiten la ocurrencia reiterada de las privaciones arbitrarias a la vida y de su falta de investigación. </w:t>
      </w:r>
    </w:p>
    <w:p w14:paraId="49A21722" w14:textId="77777777" w:rsidR="00E07CC1" w:rsidRPr="00E07CC1" w:rsidRDefault="00E07CC1" w:rsidP="00E07CC1">
      <w:pPr>
        <w:spacing w:after="0" w:line="240" w:lineRule="auto"/>
        <w:jc w:val="both"/>
        <w:rPr>
          <w:rFonts w:eastAsiaTheme="majorEastAsia" w:cstheme="minorHAnsi"/>
          <w:sz w:val="24"/>
          <w:szCs w:val="24"/>
          <w:lang w:eastAsia="es-MX"/>
        </w:rPr>
      </w:pPr>
    </w:p>
    <w:p w14:paraId="6A5E5D86"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 xml:space="preserve">109. Está demostrado que el Estado no adoptó las medidas necesarias para cambiar el contexto de violencia en contra de los niños y jóvenes en el marco del cual fueron ejecutados Marco Antonio Servellón García, Rony Alexis </w:t>
      </w:r>
      <w:proofErr w:type="spellStart"/>
      <w:r w:rsidRPr="00E07CC1">
        <w:rPr>
          <w:rFonts w:eastAsiaTheme="majorEastAsia" w:cstheme="minorHAnsi"/>
          <w:sz w:val="24"/>
          <w:szCs w:val="24"/>
          <w:lang w:eastAsia="es-MX"/>
        </w:rPr>
        <w:t>Betancourth</w:t>
      </w:r>
      <w:proofErr w:type="spellEnd"/>
      <w:r w:rsidRPr="00E07CC1">
        <w:rPr>
          <w:rFonts w:eastAsiaTheme="majorEastAsia" w:cstheme="minorHAnsi"/>
          <w:sz w:val="24"/>
          <w:szCs w:val="24"/>
          <w:lang w:eastAsia="es-MX"/>
        </w:rPr>
        <w:t xml:space="preserve"> Vásquez, Orlando Álvarez Ríos y Diomedes Obed García Sánchez. Esto agrava la responsabilidad internacional del Estado.</w:t>
      </w:r>
    </w:p>
    <w:p w14:paraId="4136C648" w14:textId="77777777" w:rsidR="00E07CC1" w:rsidRPr="00E07CC1" w:rsidRDefault="00E07CC1" w:rsidP="00E07CC1">
      <w:pPr>
        <w:spacing w:after="0" w:line="240" w:lineRule="auto"/>
        <w:jc w:val="both"/>
        <w:rPr>
          <w:rFonts w:eastAsiaTheme="majorEastAsia" w:cstheme="minorHAnsi"/>
          <w:sz w:val="24"/>
          <w:szCs w:val="24"/>
          <w:lang w:eastAsia="es-MX"/>
        </w:rPr>
      </w:pPr>
    </w:p>
    <w:p w14:paraId="6D618182"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 xml:space="preserve">112. La Corte advirtió, en atención al principio de igualdad ante la ley y no discriminación, el Estado no puede permitir por parte de sus agentes, ni fomentar en la sociedad prácticas que reproduzcan el estigma de que niños y jóvenes pobres están condicionados a la </w:t>
      </w:r>
      <w:r w:rsidRPr="00E07CC1">
        <w:rPr>
          <w:rFonts w:eastAsiaTheme="majorEastAsia" w:cstheme="minorHAnsi"/>
          <w:sz w:val="24"/>
          <w:szCs w:val="24"/>
          <w:lang w:eastAsia="es-MX"/>
        </w:rPr>
        <w:lastRenderedPageBreak/>
        <w:t xml:space="preserve">delincuencia, o necesariamente vinculados al aumento de la inseguridad ciudadana. Esa estigmatización crea un clima propicio para que aquellos menores en situación de riesgo se encuentren ante una amenaza latente a que su vida y libertad sean ilegalmente restringidas. </w:t>
      </w:r>
    </w:p>
    <w:p w14:paraId="50B251C2" w14:textId="77777777" w:rsidR="00E07CC1" w:rsidRPr="00E07CC1" w:rsidRDefault="00E07CC1" w:rsidP="00E07CC1">
      <w:pPr>
        <w:spacing w:after="0" w:line="240" w:lineRule="auto"/>
        <w:jc w:val="both"/>
        <w:rPr>
          <w:rFonts w:eastAsiaTheme="majorEastAsia" w:cstheme="minorHAnsi"/>
          <w:sz w:val="24"/>
          <w:szCs w:val="24"/>
          <w:lang w:eastAsia="es-MX"/>
        </w:rPr>
      </w:pPr>
    </w:p>
    <w:p w14:paraId="63F7714A"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 xml:space="preserve">113. (…) El Tribunal entiende que la debida protección de los derechos de los </w:t>
      </w:r>
      <w:proofErr w:type="gramStart"/>
      <w:r w:rsidRPr="00E07CC1">
        <w:rPr>
          <w:rFonts w:eastAsiaTheme="majorEastAsia" w:cstheme="minorHAnsi"/>
          <w:sz w:val="24"/>
          <w:szCs w:val="24"/>
          <w:lang w:eastAsia="es-MX"/>
        </w:rPr>
        <w:t>niños,</w:t>
      </w:r>
      <w:proofErr w:type="gramEnd"/>
      <w:r w:rsidRPr="00E07CC1">
        <w:rPr>
          <w:rFonts w:eastAsiaTheme="majorEastAsia" w:cstheme="minorHAnsi"/>
          <w:sz w:val="24"/>
          <w:szCs w:val="24"/>
          <w:lang w:eastAsia="es-MX"/>
        </w:rPr>
        <w:t xml:space="preserve"> debe tomar en consideración sus características propias y la necesidad de propiciar su desarrollo, y debe ofrecerles las condiciones necesarias para que el niño viva y desarrolle sus aptitudes con pleno aprovechamiento de sus potencialidades. Asimismo, la Corte indicó que el artículo 19 de la Convención debe entenderse como un derecho complementario que el tratado establece para seres humanos que por su desarrollo físico y emocional necesitan medidas de protección especial.</w:t>
      </w:r>
    </w:p>
    <w:p w14:paraId="26C220B7" w14:textId="77777777" w:rsidR="00E07CC1" w:rsidRPr="00E07CC1" w:rsidRDefault="00E07CC1" w:rsidP="00E07CC1">
      <w:pPr>
        <w:spacing w:after="0" w:line="240" w:lineRule="auto"/>
        <w:jc w:val="both"/>
        <w:rPr>
          <w:rFonts w:eastAsiaTheme="majorEastAsia" w:cstheme="minorHAnsi"/>
          <w:sz w:val="24"/>
          <w:szCs w:val="24"/>
          <w:lang w:eastAsia="es-MX"/>
        </w:rPr>
      </w:pPr>
    </w:p>
    <w:p w14:paraId="006DD77D"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 xml:space="preserve">114. (…) Dentro de las medidas de protección a que alude el artículo 19 de la Convención, se debe incluir la asistencia especial a los niños privados de su medio familiar, la garantía de la supervivencia y el desarrollo del niño, el derecho a un nivel de vida adecuado y la reinserción social de todo niño víctima de abandono o explotación. </w:t>
      </w:r>
    </w:p>
    <w:p w14:paraId="10F08312" w14:textId="77777777" w:rsidR="00E07CC1" w:rsidRPr="00E07CC1" w:rsidRDefault="00E07CC1" w:rsidP="00E07CC1">
      <w:pPr>
        <w:spacing w:after="0" w:line="240" w:lineRule="auto"/>
        <w:jc w:val="both"/>
        <w:rPr>
          <w:rFonts w:eastAsiaTheme="majorEastAsia" w:cstheme="minorHAnsi"/>
          <w:sz w:val="24"/>
          <w:szCs w:val="24"/>
          <w:lang w:eastAsia="es-MX"/>
        </w:rPr>
      </w:pPr>
    </w:p>
    <w:p w14:paraId="75E106E7"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 xml:space="preserve">117. Los hechos del presente caso ocurrieron en razón de la condición de personas en situación de riesgo social que tenían las víctimas, lo que demuestra que el Estado no les proporcionó a Marco Antonio Servellón García ni a Rony Alexis </w:t>
      </w:r>
      <w:proofErr w:type="spellStart"/>
      <w:r w:rsidRPr="00E07CC1">
        <w:rPr>
          <w:rFonts w:eastAsiaTheme="majorEastAsia" w:cstheme="minorHAnsi"/>
          <w:sz w:val="24"/>
          <w:szCs w:val="24"/>
          <w:lang w:eastAsia="es-MX"/>
        </w:rPr>
        <w:t>Betancourth</w:t>
      </w:r>
      <w:proofErr w:type="spellEnd"/>
      <w:r w:rsidRPr="00E07CC1">
        <w:rPr>
          <w:rFonts w:eastAsiaTheme="majorEastAsia" w:cstheme="minorHAnsi"/>
          <w:sz w:val="24"/>
          <w:szCs w:val="24"/>
          <w:lang w:eastAsia="es-MX"/>
        </w:rPr>
        <w:t xml:space="preserve"> Vásquez un ambiente que les protegiera de la violencia y del abuso, y no permitió su acceso a servicios y bienes esenciales, de una forma tal que esa falta privó definitivamente a los menores su posibilidad de emanciparse, desarrollarse y de tornarse adultos que pudieran determinar su propio futuro.</w:t>
      </w:r>
    </w:p>
    <w:p w14:paraId="54D2CE8E" w14:textId="77777777" w:rsidR="00E07CC1" w:rsidRPr="00E07CC1" w:rsidRDefault="00E07CC1" w:rsidP="00E07CC1">
      <w:pPr>
        <w:spacing w:after="0" w:line="240" w:lineRule="auto"/>
        <w:jc w:val="both"/>
        <w:rPr>
          <w:rFonts w:eastAsiaTheme="majorEastAsia" w:cstheme="minorHAnsi"/>
          <w:sz w:val="24"/>
          <w:szCs w:val="24"/>
          <w:lang w:eastAsia="es-MX"/>
        </w:rPr>
      </w:pPr>
    </w:p>
    <w:p w14:paraId="364AFEC5"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 xml:space="preserve">120. El Tribunal ha especificado que la eficiente determinación de la verdad en el marco de la obligación de investigar una muerte que pudo deberse a una ejecución </w:t>
      </w:r>
      <w:proofErr w:type="gramStart"/>
      <w:r w:rsidRPr="00E07CC1">
        <w:rPr>
          <w:rFonts w:eastAsiaTheme="majorEastAsia" w:cstheme="minorHAnsi"/>
          <w:sz w:val="24"/>
          <w:szCs w:val="24"/>
          <w:lang w:eastAsia="es-MX"/>
        </w:rPr>
        <w:t>extrajudicial,</w:t>
      </w:r>
      <w:proofErr w:type="gramEnd"/>
      <w:r w:rsidRPr="00E07CC1">
        <w:rPr>
          <w:rFonts w:eastAsiaTheme="majorEastAsia" w:cstheme="minorHAnsi"/>
          <w:sz w:val="24"/>
          <w:szCs w:val="24"/>
          <w:lang w:eastAsia="es-MX"/>
        </w:rPr>
        <w:t xml:space="preserve"> debe darse desde las primeras diligencias con toda acuciosidad. Las autoridades estatales que conducen una investigación deben, inter </w:t>
      </w:r>
      <w:proofErr w:type="spellStart"/>
      <w:r w:rsidRPr="00E07CC1">
        <w:rPr>
          <w:rFonts w:eastAsiaTheme="majorEastAsia" w:cstheme="minorHAnsi"/>
          <w:sz w:val="24"/>
          <w:szCs w:val="24"/>
          <w:lang w:eastAsia="es-MX"/>
        </w:rPr>
        <w:t>alia</w:t>
      </w:r>
      <w:proofErr w:type="spellEnd"/>
      <w:r w:rsidRPr="00E07CC1">
        <w:rPr>
          <w:rFonts w:eastAsiaTheme="majorEastAsia" w:cstheme="minorHAnsi"/>
          <w:sz w:val="24"/>
          <w:szCs w:val="24"/>
          <w:lang w:eastAsia="es-MX"/>
        </w:rPr>
        <w:t xml:space="preserve">, a) identificar a la víctima; b) recuperar y preservar el material probatorio relacionado con la muerte; c) identificar posibles testigos y obtener sus declaraciones en relación con la muerte que se investiga; d) determinar la causa, forma, lugar y momento de la muerte, así como cualquier procedimiento o práctica que pueda haberla provocado, y </w:t>
      </w:r>
      <w:proofErr w:type="spellStart"/>
      <w:r w:rsidRPr="00E07CC1">
        <w:rPr>
          <w:rFonts w:eastAsiaTheme="majorEastAsia" w:cstheme="minorHAnsi"/>
          <w:sz w:val="24"/>
          <w:szCs w:val="24"/>
          <w:lang w:eastAsia="es-MX"/>
        </w:rPr>
        <w:t>e</w:t>
      </w:r>
      <w:proofErr w:type="spellEnd"/>
      <w:r w:rsidRPr="00E07CC1">
        <w:rPr>
          <w:rFonts w:eastAsiaTheme="majorEastAsia" w:cstheme="minorHAnsi"/>
          <w:sz w:val="24"/>
          <w:szCs w:val="24"/>
          <w:lang w:eastAsia="es-MX"/>
        </w:rPr>
        <w:t>) distinguir entre muerte natural, muerte accidental, suicidio y homicidio. Además, es necesario investigar exhaustivamente la escena del crimen, se deben realizar autopsias y análisis de restos humanos, en forma rigurosa, por profesionales competentes y empleando los procedimientos más apropiados.</w:t>
      </w:r>
    </w:p>
    <w:p w14:paraId="761C9598" w14:textId="77777777" w:rsidR="00E07CC1" w:rsidRPr="00E07CC1" w:rsidRDefault="00E07CC1" w:rsidP="00E07CC1">
      <w:pPr>
        <w:spacing w:after="0" w:line="240" w:lineRule="auto"/>
        <w:jc w:val="both"/>
        <w:rPr>
          <w:rFonts w:eastAsiaTheme="majorEastAsia" w:cstheme="minorHAnsi"/>
          <w:sz w:val="24"/>
          <w:szCs w:val="24"/>
          <w:lang w:eastAsia="es-MX"/>
        </w:rPr>
      </w:pPr>
    </w:p>
    <w:p w14:paraId="41A3D3BE"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 xml:space="preserve">123. En casos de ejecuciones extrajudiciales es fundamental que los Estados investiguen efectivamente la privación del derecho a la vida, y en su caso, castiguen a todos sus responsables, especialmente cuando están involucrados agentes estatales, ya que, de no ser así, se estarían creando, dentro de un ambiente de impunidad, las condiciones para que este tipo de hechos vuelva a repetirse, lo que es contrario al deber de respetar y garantizar el derecho a la vida. </w:t>
      </w:r>
    </w:p>
    <w:p w14:paraId="44FEECAD" w14:textId="77777777" w:rsidR="00E07CC1" w:rsidRPr="00E07CC1" w:rsidRDefault="00E07CC1" w:rsidP="00E07CC1">
      <w:pPr>
        <w:spacing w:after="0" w:line="240" w:lineRule="auto"/>
        <w:jc w:val="both"/>
        <w:rPr>
          <w:rFonts w:eastAsiaTheme="majorEastAsia" w:cstheme="minorHAnsi"/>
          <w:sz w:val="24"/>
          <w:szCs w:val="24"/>
          <w:lang w:eastAsia="es-MX"/>
        </w:rPr>
      </w:pPr>
    </w:p>
    <w:p w14:paraId="02CA7BB9"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lastRenderedPageBreak/>
        <w:t xml:space="preserve">125. Las anteriores consideraciones llevaron a la Corte a concluir que, por haber faltado a sus deberes de respeto, prevención y protección de los derechos a la vida y a la integridad y libertad personales por la detención ilegal y arbitraria, la tortura y los tratos crueles, inhumanos o degradantes y la muerte de las víctimas, el Estado tiene responsabilidad internacional por la violación de los artículos 7.1, 7.2, 7.3, 7.4 y 7.5, 5.1 y 5.2, y 4.1 de la Convención Americana, en relación con el artículo 1.1 de dicho tratado, en perjuicio de Marco Antonio Servellón García, Rony Alexis </w:t>
      </w:r>
      <w:proofErr w:type="spellStart"/>
      <w:r w:rsidRPr="00E07CC1">
        <w:rPr>
          <w:rFonts w:eastAsiaTheme="majorEastAsia" w:cstheme="minorHAnsi"/>
          <w:sz w:val="24"/>
          <w:szCs w:val="24"/>
          <w:lang w:eastAsia="es-MX"/>
        </w:rPr>
        <w:t>Betancourth</w:t>
      </w:r>
      <w:proofErr w:type="spellEnd"/>
      <w:r w:rsidRPr="00E07CC1">
        <w:rPr>
          <w:rFonts w:eastAsiaTheme="majorEastAsia" w:cstheme="minorHAnsi"/>
          <w:sz w:val="24"/>
          <w:szCs w:val="24"/>
          <w:lang w:eastAsia="es-MX"/>
        </w:rPr>
        <w:t xml:space="preserve"> Vásquez, Orlando Álvarez Ríos y Diomedes Obed García Sánchez, así como por la violación del  artículo 5.5 de la Convención, en conexión con el artículo 19 de ese instrumento, ambos en relación con el artículo 1.1 del mismo tratado, en perjuicio de Marco Antonio Servellón García y Rony Alexis </w:t>
      </w:r>
      <w:proofErr w:type="spellStart"/>
      <w:r w:rsidRPr="00E07CC1">
        <w:rPr>
          <w:rFonts w:eastAsiaTheme="majorEastAsia" w:cstheme="minorHAnsi"/>
          <w:sz w:val="24"/>
          <w:szCs w:val="24"/>
          <w:lang w:eastAsia="es-MX"/>
        </w:rPr>
        <w:t>Betancourth</w:t>
      </w:r>
      <w:proofErr w:type="spellEnd"/>
      <w:r w:rsidRPr="00E07CC1">
        <w:rPr>
          <w:rFonts w:eastAsiaTheme="majorEastAsia" w:cstheme="minorHAnsi"/>
          <w:sz w:val="24"/>
          <w:szCs w:val="24"/>
          <w:lang w:eastAsia="es-MX"/>
        </w:rPr>
        <w:t xml:space="preserve"> Vásquez. </w:t>
      </w:r>
    </w:p>
    <w:p w14:paraId="2CF917A3" w14:textId="77777777" w:rsidR="00E07CC1" w:rsidRPr="00E07CC1" w:rsidRDefault="00E07CC1" w:rsidP="00E07CC1">
      <w:pPr>
        <w:spacing w:after="0" w:line="240" w:lineRule="auto"/>
        <w:jc w:val="both"/>
        <w:rPr>
          <w:rFonts w:eastAsiaTheme="majorEastAsia" w:cstheme="minorHAnsi"/>
          <w:sz w:val="24"/>
          <w:szCs w:val="24"/>
          <w:lang w:eastAsia="es-MX"/>
        </w:rPr>
      </w:pPr>
    </w:p>
    <w:p w14:paraId="6B0CA13B"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126. El Tribunal pasó de analizar lo alegado por la Comisión y los representantes respecto de la violación del artículo 5.1 y 5.2 de la Convención Americana, en perjuicio de los familiares de las víctimas.</w:t>
      </w:r>
    </w:p>
    <w:p w14:paraId="5E923D2F" w14:textId="77777777" w:rsidR="00E07CC1" w:rsidRPr="00E07CC1" w:rsidRDefault="00E07CC1" w:rsidP="00E07CC1">
      <w:pPr>
        <w:spacing w:after="0" w:line="240" w:lineRule="auto"/>
        <w:jc w:val="both"/>
        <w:rPr>
          <w:rFonts w:eastAsiaTheme="majorEastAsia" w:cstheme="minorHAnsi"/>
          <w:sz w:val="24"/>
          <w:szCs w:val="24"/>
          <w:lang w:eastAsia="es-MX"/>
        </w:rPr>
      </w:pPr>
    </w:p>
    <w:p w14:paraId="2B420B84"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128. La Corte ha señalado, en reiteradas oportunidades, que los familiares de las víctimas de violaciones de los derechos humanos pueden ser, a su vez, víctimas. El Tribunal ha considerado violado el derecho a la integridad psíquica y moral de algunos familiares de las víctimas con motivo del sufrimiento que estos han padecido como producto de las circunstancias particulares de las violaciones perpetradas contra sus seres queridos y a causa de las posteriores actuaciones u omisiones de las autoridades estatales frente a los hechos.</w:t>
      </w:r>
    </w:p>
    <w:p w14:paraId="1FC09FD2" w14:textId="77777777" w:rsidR="00E07CC1" w:rsidRPr="00E07CC1" w:rsidRDefault="00E07CC1" w:rsidP="00E07CC1">
      <w:pPr>
        <w:spacing w:after="0" w:line="240" w:lineRule="auto"/>
        <w:jc w:val="both"/>
        <w:rPr>
          <w:rFonts w:eastAsiaTheme="majorEastAsia" w:cstheme="minorHAnsi"/>
          <w:sz w:val="24"/>
          <w:szCs w:val="24"/>
          <w:lang w:eastAsia="es-MX"/>
        </w:rPr>
      </w:pPr>
    </w:p>
    <w:p w14:paraId="3BBFFF1A"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 xml:space="preserve">139. La Corte concluyó que el Estado tiene responsabilidad por violación al derecho a la integridad personal consagrado en el artículo 5.1 de la Convención Americana, en relación al artículo 1.1 de dicho tratado, en perjuicio de los familiares de Marco Antonio Servellón García, señores Reyes Servellón Santos, padre, </w:t>
      </w:r>
      <w:proofErr w:type="spellStart"/>
      <w:r w:rsidRPr="00E07CC1">
        <w:rPr>
          <w:rFonts w:eastAsiaTheme="majorEastAsia" w:cstheme="minorHAnsi"/>
          <w:sz w:val="24"/>
          <w:szCs w:val="24"/>
          <w:lang w:eastAsia="es-MX"/>
        </w:rPr>
        <w:t>Bricelda</w:t>
      </w:r>
      <w:proofErr w:type="spellEnd"/>
      <w:r w:rsidRPr="00E07CC1">
        <w:rPr>
          <w:rFonts w:eastAsiaTheme="majorEastAsia" w:cstheme="minorHAnsi"/>
          <w:sz w:val="24"/>
          <w:szCs w:val="24"/>
          <w:lang w:eastAsia="es-MX"/>
        </w:rPr>
        <w:t xml:space="preserve"> </w:t>
      </w:r>
      <w:proofErr w:type="spellStart"/>
      <w:r w:rsidRPr="00E07CC1">
        <w:rPr>
          <w:rFonts w:eastAsiaTheme="majorEastAsia" w:cstheme="minorHAnsi"/>
          <w:sz w:val="24"/>
          <w:szCs w:val="24"/>
          <w:lang w:eastAsia="es-MX"/>
        </w:rPr>
        <w:t>Aide</w:t>
      </w:r>
      <w:proofErr w:type="spellEnd"/>
      <w:r w:rsidRPr="00E07CC1">
        <w:rPr>
          <w:rFonts w:eastAsiaTheme="majorEastAsia" w:cstheme="minorHAnsi"/>
          <w:sz w:val="24"/>
          <w:szCs w:val="24"/>
          <w:lang w:eastAsia="es-MX"/>
        </w:rPr>
        <w:t xml:space="preserve"> García Lobo, madre, y </w:t>
      </w:r>
      <w:proofErr w:type="spellStart"/>
      <w:r w:rsidRPr="00E07CC1">
        <w:rPr>
          <w:rFonts w:eastAsiaTheme="majorEastAsia" w:cstheme="minorHAnsi"/>
          <w:sz w:val="24"/>
          <w:szCs w:val="24"/>
          <w:lang w:eastAsia="es-MX"/>
        </w:rPr>
        <w:t>Marja</w:t>
      </w:r>
      <w:proofErr w:type="spellEnd"/>
      <w:r w:rsidRPr="00E07CC1">
        <w:rPr>
          <w:rFonts w:eastAsiaTheme="majorEastAsia" w:cstheme="minorHAnsi"/>
          <w:sz w:val="24"/>
          <w:szCs w:val="24"/>
          <w:lang w:eastAsia="es-MX"/>
        </w:rPr>
        <w:t xml:space="preserve"> Ibeth Castro García, hermana; de los familiares de Rony Alexis </w:t>
      </w:r>
      <w:proofErr w:type="spellStart"/>
      <w:r w:rsidRPr="00E07CC1">
        <w:rPr>
          <w:rFonts w:eastAsiaTheme="majorEastAsia" w:cstheme="minorHAnsi"/>
          <w:sz w:val="24"/>
          <w:szCs w:val="24"/>
          <w:lang w:eastAsia="es-MX"/>
        </w:rPr>
        <w:t>Betancourth</w:t>
      </w:r>
      <w:proofErr w:type="spellEnd"/>
      <w:r w:rsidRPr="00E07CC1">
        <w:rPr>
          <w:rFonts w:eastAsiaTheme="majorEastAsia" w:cstheme="minorHAnsi"/>
          <w:sz w:val="24"/>
          <w:szCs w:val="24"/>
          <w:lang w:eastAsia="es-MX"/>
        </w:rPr>
        <w:t xml:space="preserve"> Vásquez, señores Manases </w:t>
      </w:r>
      <w:proofErr w:type="spellStart"/>
      <w:r w:rsidRPr="00E07CC1">
        <w:rPr>
          <w:rFonts w:eastAsiaTheme="majorEastAsia" w:cstheme="minorHAnsi"/>
          <w:sz w:val="24"/>
          <w:szCs w:val="24"/>
          <w:lang w:eastAsia="es-MX"/>
        </w:rPr>
        <w:t>Betancourth</w:t>
      </w:r>
      <w:proofErr w:type="spellEnd"/>
      <w:r w:rsidRPr="00E07CC1">
        <w:rPr>
          <w:rFonts w:eastAsiaTheme="majorEastAsia" w:cstheme="minorHAnsi"/>
          <w:sz w:val="24"/>
          <w:szCs w:val="24"/>
          <w:lang w:eastAsia="es-MX"/>
        </w:rPr>
        <w:t xml:space="preserve"> Núñez, padre, Hilda </w:t>
      </w:r>
      <w:proofErr w:type="spellStart"/>
      <w:r w:rsidRPr="00E07CC1">
        <w:rPr>
          <w:rFonts w:eastAsiaTheme="majorEastAsia" w:cstheme="minorHAnsi"/>
          <w:sz w:val="24"/>
          <w:szCs w:val="24"/>
          <w:lang w:eastAsia="es-MX"/>
        </w:rPr>
        <w:t>Estebana</w:t>
      </w:r>
      <w:proofErr w:type="spellEnd"/>
      <w:r w:rsidRPr="00E07CC1">
        <w:rPr>
          <w:rFonts w:eastAsiaTheme="majorEastAsia" w:cstheme="minorHAnsi"/>
          <w:sz w:val="24"/>
          <w:szCs w:val="24"/>
          <w:lang w:eastAsia="es-MX"/>
        </w:rPr>
        <w:t xml:space="preserve"> Hernández López, madre, Zara </w:t>
      </w:r>
      <w:proofErr w:type="spellStart"/>
      <w:r w:rsidRPr="00E07CC1">
        <w:rPr>
          <w:rFonts w:eastAsiaTheme="majorEastAsia" w:cstheme="minorHAnsi"/>
          <w:sz w:val="24"/>
          <w:szCs w:val="24"/>
          <w:lang w:eastAsia="es-MX"/>
        </w:rPr>
        <w:t>Beatris</w:t>
      </w:r>
      <w:proofErr w:type="spellEnd"/>
      <w:r w:rsidRPr="00E07CC1">
        <w:rPr>
          <w:rFonts w:eastAsiaTheme="majorEastAsia" w:cstheme="minorHAnsi"/>
          <w:sz w:val="24"/>
          <w:szCs w:val="24"/>
          <w:lang w:eastAsia="es-MX"/>
        </w:rPr>
        <w:t xml:space="preserve"> Bustillo Rivera, hija, y Ana Luisa Vargas Soto, compañera de hogar, y de la hermana de Orlando Álvarez Ríos, señora Dilcia Álvarez Ríos.</w:t>
      </w:r>
    </w:p>
    <w:p w14:paraId="4FAA4AAE" w14:textId="77777777" w:rsidR="00E07CC1" w:rsidRPr="00E07CC1" w:rsidRDefault="00E07CC1" w:rsidP="00E07CC1">
      <w:pPr>
        <w:spacing w:after="0" w:line="240" w:lineRule="auto"/>
        <w:jc w:val="both"/>
        <w:rPr>
          <w:rFonts w:eastAsiaTheme="majorEastAsia" w:cstheme="minorHAnsi"/>
          <w:sz w:val="24"/>
          <w:szCs w:val="24"/>
          <w:lang w:eastAsia="es-MX"/>
        </w:rPr>
      </w:pPr>
    </w:p>
    <w:p w14:paraId="52FFE4EE" w14:textId="77777777" w:rsidR="00E07CC1" w:rsidRPr="00482AA6" w:rsidRDefault="00E07CC1" w:rsidP="00E07CC1">
      <w:pPr>
        <w:spacing w:after="0" w:line="240" w:lineRule="auto"/>
        <w:jc w:val="both"/>
        <w:rPr>
          <w:rFonts w:eastAsiaTheme="majorEastAsia" w:cstheme="minorHAnsi"/>
          <w:b/>
          <w:bCs/>
          <w:sz w:val="24"/>
          <w:szCs w:val="24"/>
          <w:lang w:eastAsia="es-MX"/>
        </w:rPr>
      </w:pPr>
      <w:r w:rsidRPr="00482AA6">
        <w:rPr>
          <w:rFonts w:eastAsiaTheme="majorEastAsia" w:cstheme="minorHAnsi"/>
          <w:b/>
          <w:bCs/>
          <w:sz w:val="24"/>
          <w:szCs w:val="24"/>
          <w:lang w:eastAsia="es-MX"/>
        </w:rPr>
        <w:t>II. Violación de los artículos 8.1 y 8.2, 7.6 y 25.1 de la Convención Americana en relación con el artículo 1.1 de la misma (garantías judiciales, libertad personal, protección judicial, y obligación de respetar los derechos)</w:t>
      </w:r>
    </w:p>
    <w:p w14:paraId="3DFE51A2" w14:textId="77777777" w:rsidR="00E07CC1" w:rsidRPr="00E07CC1" w:rsidRDefault="00E07CC1" w:rsidP="00E07CC1">
      <w:pPr>
        <w:spacing w:after="0" w:line="240" w:lineRule="auto"/>
        <w:jc w:val="both"/>
        <w:rPr>
          <w:rFonts w:eastAsiaTheme="majorEastAsia" w:cstheme="minorHAnsi"/>
          <w:sz w:val="24"/>
          <w:szCs w:val="24"/>
          <w:lang w:eastAsia="es-MX"/>
        </w:rPr>
      </w:pPr>
    </w:p>
    <w:p w14:paraId="608E7F27"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 xml:space="preserve">140. La Corte concluyó, a la luz del reconocimiento de responsabilidad internacional realizado por el Estado, que éste violó los artículos 7.6, 8.1 y 25.1 de la Convención Americana, en perjuicio de Marco Antonio Servellón García, Rony Alexis </w:t>
      </w:r>
      <w:proofErr w:type="spellStart"/>
      <w:r w:rsidRPr="00E07CC1">
        <w:rPr>
          <w:rFonts w:eastAsiaTheme="majorEastAsia" w:cstheme="minorHAnsi"/>
          <w:sz w:val="24"/>
          <w:szCs w:val="24"/>
          <w:lang w:eastAsia="es-MX"/>
        </w:rPr>
        <w:t>Betancourth</w:t>
      </w:r>
      <w:proofErr w:type="spellEnd"/>
      <w:r w:rsidRPr="00E07CC1">
        <w:rPr>
          <w:rFonts w:eastAsiaTheme="majorEastAsia" w:cstheme="minorHAnsi"/>
          <w:sz w:val="24"/>
          <w:szCs w:val="24"/>
          <w:lang w:eastAsia="es-MX"/>
        </w:rPr>
        <w:t xml:space="preserve"> Vásquez, Orlando Álvarez Ríos y Diomedes Obed García Sánchez, por no haberles garantizado una protección efectiva a través del recurso de hábeas corpus, y que el Estado violó el artículo 8.2 de la Convención por no haber respetado el principio a la presunción de inocencia, en perjuicio de las mencionadas víctimas. Asimismo, el Tribunal admitió la </w:t>
      </w:r>
      <w:r w:rsidRPr="00E07CC1">
        <w:rPr>
          <w:rFonts w:eastAsiaTheme="majorEastAsia" w:cstheme="minorHAnsi"/>
          <w:sz w:val="24"/>
          <w:szCs w:val="24"/>
          <w:lang w:eastAsia="es-MX"/>
        </w:rPr>
        <w:lastRenderedPageBreak/>
        <w:t xml:space="preserve">violación de los artículos 8 y 25 de la Convención, en perjuicio de los familiares de Marco Antonio Servellón García, Rony Alexis </w:t>
      </w:r>
      <w:proofErr w:type="spellStart"/>
      <w:r w:rsidRPr="00E07CC1">
        <w:rPr>
          <w:rFonts w:eastAsiaTheme="majorEastAsia" w:cstheme="minorHAnsi"/>
          <w:sz w:val="24"/>
          <w:szCs w:val="24"/>
          <w:lang w:eastAsia="es-MX"/>
        </w:rPr>
        <w:t>Betancourth</w:t>
      </w:r>
      <w:proofErr w:type="spellEnd"/>
      <w:r w:rsidRPr="00E07CC1">
        <w:rPr>
          <w:rFonts w:eastAsiaTheme="majorEastAsia" w:cstheme="minorHAnsi"/>
          <w:sz w:val="24"/>
          <w:szCs w:val="24"/>
          <w:lang w:eastAsia="es-MX"/>
        </w:rPr>
        <w:t xml:space="preserve"> Vásquez, Orlando Álvarez Ríos y Diomedes Obed García Sánchez por la falta de una adecuada investigación de los hechos.</w:t>
      </w:r>
    </w:p>
    <w:p w14:paraId="55B0EA10" w14:textId="77777777" w:rsidR="00E07CC1" w:rsidRPr="00E07CC1" w:rsidRDefault="00E07CC1" w:rsidP="00E07CC1">
      <w:pPr>
        <w:spacing w:after="0" w:line="240" w:lineRule="auto"/>
        <w:jc w:val="both"/>
        <w:rPr>
          <w:rFonts w:eastAsiaTheme="majorEastAsia" w:cstheme="minorHAnsi"/>
          <w:sz w:val="24"/>
          <w:szCs w:val="24"/>
          <w:lang w:eastAsia="es-MX"/>
        </w:rPr>
      </w:pPr>
    </w:p>
    <w:p w14:paraId="7F103B0E"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 xml:space="preserve">146. La Corte estableció que el Estado ha faltado a sus deberes de respeto, prevención y protección, y que por lo tanto es responsable por la violación de los derechos a la vida, a la integridad y a la libertad personales de Marco Antonio Servellón García, Rony Alexis </w:t>
      </w:r>
      <w:proofErr w:type="spellStart"/>
      <w:r w:rsidRPr="00E07CC1">
        <w:rPr>
          <w:rFonts w:eastAsiaTheme="majorEastAsia" w:cstheme="minorHAnsi"/>
          <w:sz w:val="24"/>
          <w:szCs w:val="24"/>
          <w:lang w:eastAsia="es-MX"/>
        </w:rPr>
        <w:t>Betancourth</w:t>
      </w:r>
      <w:proofErr w:type="spellEnd"/>
      <w:r w:rsidRPr="00E07CC1">
        <w:rPr>
          <w:rFonts w:eastAsiaTheme="majorEastAsia" w:cstheme="minorHAnsi"/>
          <w:sz w:val="24"/>
          <w:szCs w:val="24"/>
          <w:lang w:eastAsia="es-MX"/>
        </w:rPr>
        <w:t xml:space="preserve"> Vásquez, Orlando Álvarez Ríos y Diomedes Obed García Sánchez. </w:t>
      </w:r>
      <w:proofErr w:type="gramStart"/>
      <w:r w:rsidRPr="00E07CC1">
        <w:rPr>
          <w:rFonts w:eastAsiaTheme="majorEastAsia" w:cstheme="minorHAnsi"/>
          <w:sz w:val="24"/>
          <w:szCs w:val="24"/>
          <w:lang w:eastAsia="es-MX"/>
        </w:rPr>
        <w:t>En razón de</w:t>
      </w:r>
      <w:proofErr w:type="gramEnd"/>
      <w:r w:rsidRPr="00E07CC1">
        <w:rPr>
          <w:rFonts w:eastAsiaTheme="majorEastAsia" w:cstheme="minorHAnsi"/>
          <w:sz w:val="24"/>
          <w:szCs w:val="24"/>
          <w:lang w:eastAsia="es-MX"/>
        </w:rPr>
        <w:t xml:space="preserve"> todo ello el Estado tiene el deber de investigar las afectaciones a dichos derechos como una condición para garantizarlos, como se desprende del artículo 1.1 de la Convención Americana.</w:t>
      </w:r>
    </w:p>
    <w:p w14:paraId="2CB680B9" w14:textId="77777777" w:rsidR="00E07CC1" w:rsidRPr="00E07CC1" w:rsidRDefault="00E07CC1" w:rsidP="00E07CC1">
      <w:pPr>
        <w:spacing w:after="0" w:line="240" w:lineRule="auto"/>
        <w:jc w:val="both"/>
        <w:rPr>
          <w:rFonts w:eastAsiaTheme="majorEastAsia" w:cstheme="minorHAnsi"/>
          <w:sz w:val="24"/>
          <w:szCs w:val="24"/>
          <w:lang w:eastAsia="es-MX"/>
        </w:rPr>
      </w:pPr>
    </w:p>
    <w:p w14:paraId="7074FDC4"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147. Los Estados Partes de la Convención están obligados a suministrar recursos judiciales efectivos a las víctimas de violaciones de derechos humanos (artículo 25), recursos que deben ser sustanciados de conformidad con las reglas del debido proceso legal (artículo 8.1), todo ello dentro de la obligación general, a cargo de los mismos Estados, de garantizar el libre y pleno ejercicio de los derechos reconocidos por el  mencionado tratado a toda persona que se encuentre bajo su jurisdicción (artículo 1.1).</w:t>
      </w:r>
    </w:p>
    <w:p w14:paraId="533829C2" w14:textId="77777777" w:rsidR="00E07CC1" w:rsidRPr="00E07CC1" w:rsidRDefault="00E07CC1" w:rsidP="00E07CC1">
      <w:pPr>
        <w:spacing w:after="0" w:line="240" w:lineRule="auto"/>
        <w:jc w:val="both"/>
        <w:rPr>
          <w:rFonts w:eastAsiaTheme="majorEastAsia" w:cstheme="minorHAnsi"/>
          <w:sz w:val="24"/>
          <w:szCs w:val="24"/>
          <w:lang w:eastAsia="es-MX"/>
        </w:rPr>
      </w:pPr>
    </w:p>
    <w:p w14:paraId="2CA6E480"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148. La Corte ha constatado que se abrió un proceso penal en la jurisdicción ordinaria, en el cual se acumularon las causas iniciadas en relación con los hechos del presente caso. A la luz de lo establecido en los artículos 8 y 25 de la Convención, los procedimientos deben ser efectivamente desarrollados con respeto a las garantías judiciales, en un plazo razonable, y deben ofrecer un recurso efectivo para asegurar los derechos de acceso a la justicia, el conocimiento de la verdad de los hechos y la reparación a los familiares. (…)</w:t>
      </w:r>
    </w:p>
    <w:p w14:paraId="1998C0FE" w14:textId="77777777" w:rsidR="00E07CC1" w:rsidRPr="00E07CC1" w:rsidRDefault="00E07CC1" w:rsidP="00E07CC1">
      <w:pPr>
        <w:spacing w:after="0" w:line="240" w:lineRule="auto"/>
        <w:jc w:val="both"/>
        <w:rPr>
          <w:rFonts w:eastAsiaTheme="majorEastAsia" w:cstheme="minorHAnsi"/>
          <w:sz w:val="24"/>
          <w:szCs w:val="24"/>
          <w:lang w:eastAsia="es-MX"/>
        </w:rPr>
      </w:pPr>
    </w:p>
    <w:p w14:paraId="1430967C"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 xml:space="preserve">153. Tomando en cuenta el reconocimiento realizado por el Estado y el acervo probatorio del presente caso, el Tribunal encuentra que la falta de celeridad en la investigación y la negligencia de las autoridades judiciales en realizar una investigación seria y exhaustiva de los hechos que conduzca a su esclarecimiento y al enjuiciamiento de los responsables, constituye una grave falta al deber de investigar y de ofrecer un recurso efectivo que establezca la verdad de los hechos, juzgue y sancione a sus responsables y garantice el acceso a la justicia para los familiares de Marco Antonio Servellón García, Rony Alexis </w:t>
      </w:r>
      <w:proofErr w:type="spellStart"/>
      <w:r w:rsidRPr="00E07CC1">
        <w:rPr>
          <w:rFonts w:eastAsiaTheme="majorEastAsia" w:cstheme="minorHAnsi"/>
          <w:sz w:val="24"/>
          <w:szCs w:val="24"/>
          <w:lang w:eastAsia="es-MX"/>
        </w:rPr>
        <w:t>Betancourth</w:t>
      </w:r>
      <w:proofErr w:type="spellEnd"/>
      <w:r w:rsidRPr="00E07CC1">
        <w:rPr>
          <w:rFonts w:eastAsiaTheme="majorEastAsia" w:cstheme="minorHAnsi"/>
          <w:sz w:val="24"/>
          <w:szCs w:val="24"/>
          <w:lang w:eastAsia="es-MX"/>
        </w:rPr>
        <w:t xml:space="preserve"> Vásquez, Orlando Álvarez Ríos Y Diomedes Obed García Sánchez con plena observancia de las garantías judiciales. La investigación que actualmente se realiza podría dejar a los posibles responsables de los hechos en la impunidad.</w:t>
      </w:r>
    </w:p>
    <w:p w14:paraId="2709CE18" w14:textId="77777777" w:rsidR="00E07CC1" w:rsidRPr="00E07CC1" w:rsidRDefault="00E07CC1" w:rsidP="00E07CC1">
      <w:pPr>
        <w:spacing w:after="0" w:line="240" w:lineRule="auto"/>
        <w:jc w:val="both"/>
        <w:rPr>
          <w:rFonts w:eastAsiaTheme="majorEastAsia" w:cstheme="minorHAnsi"/>
          <w:sz w:val="24"/>
          <w:szCs w:val="24"/>
          <w:lang w:eastAsia="es-MX"/>
        </w:rPr>
      </w:pPr>
    </w:p>
    <w:p w14:paraId="3E34274A"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154. La Corte advirtió que el Estado tiene la obligación de combatir la impunidad por todos los medios legales disponibles, ya que ésta propicia la repetición crónica de las violaciones de derechos humanos y la total indefensión de las víctimas y de sus familiares. Esa obligación de combatir la impunidad se ve acentuada cuando se trata de violaciones cuyas víctimas son niños. La impunidad en el presente caso se ve corroborada por el propio Estado que indicó que “hasta ahora, los responsables de la mayoría de esos crímenes, asesinatos de jóvenes menores de 18 años, no han sido aprehendidos”.</w:t>
      </w:r>
    </w:p>
    <w:p w14:paraId="71D4210A" w14:textId="77777777" w:rsidR="00E07CC1" w:rsidRPr="00E07CC1" w:rsidRDefault="00E07CC1" w:rsidP="00E07CC1">
      <w:pPr>
        <w:spacing w:after="0" w:line="240" w:lineRule="auto"/>
        <w:jc w:val="both"/>
        <w:rPr>
          <w:rFonts w:eastAsiaTheme="majorEastAsia" w:cstheme="minorHAnsi"/>
          <w:sz w:val="24"/>
          <w:szCs w:val="24"/>
          <w:lang w:eastAsia="es-MX"/>
        </w:rPr>
      </w:pPr>
    </w:p>
    <w:p w14:paraId="720470B2"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 xml:space="preserve">155. El Estado es responsable por la violación de los derechos consagrados en los artículos 8.1, 8.2, 7.6, y 25.1 de la Convención Americana, en relación con el artículo 1.1 de ese tratado, en perjuicio de Marco Antonio Servellón García, Rony Alexis </w:t>
      </w:r>
      <w:proofErr w:type="spellStart"/>
      <w:r w:rsidRPr="00E07CC1">
        <w:rPr>
          <w:rFonts w:eastAsiaTheme="majorEastAsia" w:cstheme="minorHAnsi"/>
          <w:sz w:val="24"/>
          <w:szCs w:val="24"/>
          <w:lang w:eastAsia="es-MX"/>
        </w:rPr>
        <w:t>Betancourth</w:t>
      </w:r>
      <w:proofErr w:type="spellEnd"/>
      <w:r w:rsidRPr="00E07CC1">
        <w:rPr>
          <w:rFonts w:eastAsiaTheme="majorEastAsia" w:cstheme="minorHAnsi"/>
          <w:sz w:val="24"/>
          <w:szCs w:val="24"/>
          <w:lang w:eastAsia="es-MX"/>
        </w:rPr>
        <w:t xml:space="preserve"> Vásquez, Orlando Álvarez Ríos y Diomedes Obed García Sánchez.</w:t>
      </w:r>
    </w:p>
    <w:p w14:paraId="2F644471" w14:textId="77777777" w:rsidR="00E07CC1" w:rsidRPr="00E07CC1" w:rsidRDefault="00E07CC1" w:rsidP="00E07CC1">
      <w:pPr>
        <w:spacing w:after="0" w:line="240" w:lineRule="auto"/>
        <w:jc w:val="both"/>
        <w:rPr>
          <w:rFonts w:eastAsiaTheme="majorEastAsia" w:cstheme="minorHAnsi"/>
          <w:sz w:val="24"/>
          <w:szCs w:val="24"/>
          <w:lang w:eastAsia="es-MX"/>
        </w:rPr>
      </w:pPr>
    </w:p>
    <w:p w14:paraId="34A26C8E"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 xml:space="preserve">156. La Corte concluyó que el proceso penal no ha constituido un recurso efectivo para garantizar el acceso a la justicia, la determinación de la verdad de los hechos, la investigación, y en su caso, la sanción de los responsables y la reparación de las consecuencias de las violaciones. Consecuentemente, el Estado es responsable por la violación de los artículos 8.1 y 25.1 de la Convención, en relación con el artículo 1.1 de ese instrumento, en perjuicio de los familiares de Marco Antonio Servellón García, Reyes Servellón Santos, padre, </w:t>
      </w:r>
      <w:proofErr w:type="spellStart"/>
      <w:r w:rsidRPr="00E07CC1">
        <w:rPr>
          <w:rFonts w:eastAsiaTheme="majorEastAsia" w:cstheme="minorHAnsi"/>
          <w:sz w:val="24"/>
          <w:szCs w:val="24"/>
          <w:lang w:eastAsia="es-MX"/>
        </w:rPr>
        <w:t>Bricelda</w:t>
      </w:r>
      <w:proofErr w:type="spellEnd"/>
      <w:r w:rsidRPr="00E07CC1">
        <w:rPr>
          <w:rFonts w:eastAsiaTheme="majorEastAsia" w:cstheme="minorHAnsi"/>
          <w:sz w:val="24"/>
          <w:szCs w:val="24"/>
          <w:lang w:eastAsia="es-MX"/>
        </w:rPr>
        <w:t xml:space="preserve"> </w:t>
      </w:r>
      <w:proofErr w:type="spellStart"/>
      <w:r w:rsidRPr="00E07CC1">
        <w:rPr>
          <w:rFonts w:eastAsiaTheme="majorEastAsia" w:cstheme="minorHAnsi"/>
          <w:sz w:val="24"/>
          <w:szCs w:val="24"/>
          <w:lang w:eastAsia="es-MX"/>
        </w:rPr>
        <w:t>Aide</w:t>
      </w:r>
      <w:proofErr w:type="spellEnd"/>
      <w:r w:rsidRPr="00E07CC1">
        <w:rPr>
          <w:rFonts w:eastAsiaTheme="majorEastAsia" w:cstheme="minorHAnsi"/>
          <w:sz w:val="24"/>
          <w:szCs w:val="24"/>
          <w:lang w:eastAsia="es-MX"/>
        </w:rPr>
        <w:t xml:space="preserve"> García Lobo, madre, y </w:t>
      </w:r>
      <w:proofErr w:type="spellStart"/>
      <w:r w:rsidRPr="00E07CC1">
        <w:rPr>
          <w:rFonts w:eastAsiaTheme="majorEastAsia" w:cstheme="minorHAnsi"/>
          <w:sz w:val="24"/>
          <w:szCs w:val="24"/>
          <w:lang w:eastAsia="es-MX"/>
        </w:rPr>
        <w:t>Marja</w:t>
      </w:r>
      <w:proofErr w:type="spellEnd"/>
      <w:r w:rsidRPr="00E07CC1">
        <w:rPr>
          <w:rFonts w:eastAsiaTheme="majorEastAsia" w:cstheme="minorHAnsi"/>
          <w:sz w:val="24"/>
          <w:szCs w:val="24"/>
          <w:lang w:eastAsia="es-MX"/>
        </w:rPr>
        <w:t xml:space="preserve"> Ibeth Castro García, Pablo Servellón García y Héctor Vicente Castro García, hermanos; de los familiares de Rony Alexis </w:t>
      </w:r>
      <w:proofErr w:type="spellStart"/>
      <w:r w:rsidRPr="00E07CC1">
        <w:rPr>
          <w:rFonts w:eastAsiaTheme="majorEastAsia" w:cstheme="minorHAnsi"/>
          <w:sz w:val="24"/>
          <w:szCs w:val="24"/>
          <w:lang w:eastAsia="es-MX"/>
        </w:rPr>
        <w:t>Betancourth</w:t>
      </w:r>
      <w:proofErr w:type="spellEnd"/>
      <w:r w:rsidRPr="00E07CC1">
        <w:rPr>
          <w:rFonts w:eastAsiaTheme="majorEastAsia" w:cstheme="minorHAnsi"/>
          <w:sz w:val="24"/>
          <w:szCs w:val="24"/>
          <w:lang w:eastAsia="es-MX"/>
        </w:rPr>
        <w:t xml:space="preserve"> Vásquez, Manases </w:t>
      </w:r>
      <w:proofErr w:type="spellStart"/>
      <w:r w:rsidRPr="00E07CC1">
        <w:rPr>
          <w:rFonts w:eastAsiaTheme="majorEastAsia" w:cstheme="minorHAnsi"/>
          <w:sz w:val="24"/>
          <w:szCs w:val="24"/>
          <w:lang w:eastAsia="es-MX"/>
        </w:rPr>
        <w:t>Betancourth</w:t>
      </w:r>
      <w:proofErr w:type="spellEnd"/>
      <w:r w:rsidRPr="00E07CC1">
        <w:rPr>
          <w:rFonts w:eastAsiaTheme="majorEastAsia" w:cstheme="minorHAnsi"/>
          <w:sz w:val="24"/>
          <w:szCs w:val="24"/>
          <w:lang w:eastAsia="es-MX"/>
        </w:rPr>
        <w:t xml:space="preserve"> Núñez, padre, Hilda </w:t>
      </w:r>
      <w:proofErr w:type="spellStart"/>
      <w:r w:rsidRPr="00E07CC1">
        <w:rPr>
          <w:rFonts w:eastAsiaTheme="majorEastAsia" w:cstheme="minorHAnsi"/>
          <w:sz w:val="24"/>
          <w:szCs w:val="24"/>
          <w:lang w:eastAsia="es-MX"/>
        </w:rPr>
        <w:t>Estebana</w:t>
      </w:r>
      <w:proofErr w:type="spellEnd"/>
      <w:r w:rsidRPr="00E07CC1">
        <w:rPr>
          <w:rFonts w:eastAsiaTheme="majorEastAsia" w:cstheme="minorHAnsi"/>
          <w:sz w:val="24"/>
          <w:szCs w:val="24"/>
          <w:lang w:eastAsia="es-MX"/>
        </w:rPr>
        <w:t xml:space="preserve"> Hernández López, madre, Zara </w:t>
      </w:r>
      <w:proofErr w:type="spellStart"/>
      <w:r w:rsidRPr="00E07CC1">
        <w:rPr>
          <w:rFonts w:eastAsiaTheme="majorEastAsia" w:cstheme="minorHAnsi"/>
          <w:sz w:val="24"/>
          <w:szCs w:val="24"/>
          <w:lang w:eastAsia="es-MX"/>
        </w:rPr>
        <w:t>Beatris</w:t>
      </w:r>
      <w:proofErr w:type="spellEnd"/>
      <w:r w:rsidRPr="00E07CC1">
        <w:rPr>
          <w:rFonts w:eastAsiaTheme="majorEastAsia" w:cstheme="minorHAnsi"/>
          <w:sz w:val="24"/>
          <w:szCs w:val="24"/>
          <w:lang w:eastAsia="es-MX"/>
        </w:rPr>
        <w:t xml:space="preserve"> Bustillo Rivera, hija, Ana Luisa Vargas Soto, compañera de hogar, y Juan Carlos </w:t>
      </w:r>
      <w:proofErr w:type="spellStart"/>
      <w:r w:rsidRPr="00E07CC1">
        <w:rPr>
          <w:rFonts w:eastAsiaTheme="majorEastAsia" w:cstheme="minorHAnsi"/>
          <w:sz w:val="24"/>
          <w:szCs w:val="24"/>
          <w:lang w:eastAsia="es-MX"/>
        </w:rPr>
        <w:t>Betancourth</w:t>
      </w:r>
      <w:proofErr w:type="spellEnd"/>
      <w:r w:rsidRPr="00E07CC1">
        <w:rPr>
          <w:rFonts w:eastAsiaTheme="majorEastAsia" w:cstheme="minorHAnsi"/>
          <w:sz w:val="24"/>
          <w:szCs w:val="24"/>
          <w:lang w:eastAsia="es-MX"/>
        </w:rPr>
        <w:t xml:space="preserve"> Hernández, </w:t>
      </w:r>
      <w:proofErr w:type="spellStart"/>
      <w:r w:rsidRPr="00E07CC1">
        <w:rPr>
          <w:rFonts w:eastAsiaTheme="majorEastAsia" w:cstheme="minorHAnsi"/>
          <w:sz w:val="24"/>
          <w:szCs w:val="24"/>
          <w:lang w:eastAsia="es-MX"/>
        </w:rPr>
        <w:t>Manaces</w:t>
      </w:r>
      <w:proofErr w:type="spellEnd"/>
      <w:r w:rsidRPr="00E07CC1">
        <w:rPr>
          <w:rFonts w:eastAsiaTheme="majorEastAsia" w:cstheme="minorHAnsi"/>
          <w:sz w:val="24"/>
          <w:szCs w:val="24"/>
          <w:lang w:eastAsia="es-MX"/>
        </w:rPr>
        <w:t xml:space="preserve"> Betancourt Aguilar, Emma Aracely </w:t>
      </w:r>
      <w:proofErr w:type="spellStart"/>
      <w:r w:rsidRPr="00E07CC1">
        <w:rPr>
          <w:rFonts w:eastAsiaTheme="majorEastAsia" w:cstheme="minorHAnsi"/>
          <w:sz w:val="24"/>
          <w:szCs w:val="24"/>
          <w:lang w:eastAsia="es-MX"/>
        </w:rPr>
        <w:t>Betancourth</w:t>
      </w:r>
      <w:proofErr w:type="spellEnd"/>
      <w:r w:rsidRPr="00E07CC1">
        <w:rPr>
          <w:rFonts w:eastAsiaTheme="majorEastAsia" w:cstheme="minorHAnsi"/>
          <w:sz w:val="24"/>
          <w:szCs w:val="24"/>
          <w:lang w:eastAsia="es-MX"/>
        </w:rPr>
        <w:t xml:space="preserve"> Aguilar, </w:t>
      </w:r>
      <w:proofErr w:type="spellStart"/>
      <w:r w:rsidRPr="00E07CC1">
        <w:rPr>
          <w:rFonts w:eastAsiaTheme="majorEastAsia" w:cstheme="minorHAnsi"/>
          <w:sz w:val="24"/>
          <w:szCs w:val="24"/>
          <w:lang w:eastAsia="es-MX"/>
        </w:rPr>
        <w:t>Enma</w:t>
      </w:r>
      <w:proofErr w:type="spellEnd"/>
      <w:r w:rsidRPr="00E07CC1">
        <w:rPr>
          <w:rFonts w:eastAsiaTheme="majorEastAsia" w:cstheme="minorHAnsi"/>
          <w:sz w:val="24"/>
          <w:szCs w:val="24"/>
          <w:lang w:eastAsia="es-MX"/>
        </w:rPr>
        <w:t xml:space="preserve"> Aracely </w:t>
      </w:r>
      <w:proofErr w:type="spellStart"/>
      <w:r w:rsidRPr="00E07CC1">
        <w:rPr>
          <w:rFonts w:eastAsiaTheme="majorEastAsia" w:cstheme="minorHAnsi"/>
          <w:sz w:val="24"/>
          <w:szCs w:val="24"/>
          <w:lang w:eastAsia="es-MX"/>
        </w:rPr>
        <w:t>Betancourth</w:t>
      </w:r>
      <w:proofErr w:type="spellEnd"/>
      <w:r w:rsidRPr="00E07CC1">
        <w:rPr>
          <w:rFonts w:eastAsiaTheme="majorEastAsia" w:cstheme="minorHAnsi"/>
          <w:sz w:val="24"/>
          <w:szCs w:val="24"/>
          <w:lang w:eastAsia="es-MX"/>
        </w:rPr>
        <w:t xml:space="preserve"> Abarca, y Lilian María Betancourt Álvarez, hermanos; de los familiares de Orlando Álvarez Ríos, Antonia Ríos, madre, y Dilcia Álvarez Ríos, hermana, y de los familiares de Diomedes Obed García Sánchez, Diomedes Tito García Casildo, padre, y Esther Patricia García Sánchez, Jorge Moisés García Sánchez y Fidelia Sarahí García Sánchez, hermanos.</w:t>
      </w:r>
    </w:p>
    <w:p w14:paraId="562B64B1" w14:textId="77777777" w:rsidR="00E07CC1" w:rsidRPr="00E07CC1" w:rsidRDefault="00E07CC1" w:rsidP="00E07CC1">
      <w:pPr>
        <w:spacing w:after="0" w:line="240" w:lineRule="auto"/>
        <w:jc w:val="both"/>
        <w:rPr>
          <w:rFonts w:eastAsiaTheme="majorEastAsia" w:cstheme="minorHAnsi"/>
          <w:sz w:val="24"/>
          <w:szCs w:val="24"/>
          <w:lang w:eastAsia="es-MX"/>
        </w:rPr>
      </w:pPr>
    </w:p>
    <w:p w14:paraId="59C2C3B9"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157. En lo que se refiere a los familiares de Diomedes Obed García Sánchez cabe observar que no fueron identificados en la demanda presentada por la Comisión. Los padres, señores Diomedes Tito García Casildo y Andrea Sánchez Loredo, fueron incluidos en la lista de familiares presentada por los representantes en su escrito de solicitudes y argumentos. Los días 14 de junio y 24 de julio de 2006 los representantes indicaron al Tribunal que “tras 10 años de ardua búsqueda” habían logrado localizar a los siguientes familiares de Diomedes: Diomedes Tito García, padre, Ester Patricia García Sánchez, Jorge Moisés García Sánchez y Fidelia Sarahí García Sánchez, hermanos, y Lidia Sánchez Loredo y Betania García Casildo, tías. Además, informaron que la señora Andrea Sánchez Loredo, madre de la víctima, había fallecido en el año 1985. Adjuntaron las certificaciones del acta de nacimiento de los padres y de los hermanos, y la certificación del acta de defunción de la madre de la víctima. Con anterioridad a ese hallazgo y durante el trámite del caso ante el sistema interamericano, tanto la Comisión como los representantes habían manifestado que no había sido posible “dar con el paradero [de los padres de Diomedes,] toda vez que el joven no tenía relación alguna con ellos y al momento de su ejecución residía en una habitación de una casa de asistencia a menores en situación de calle […]”.</w:t>
      </w:r>
    </w:p>
    <w:p w14:paraId="1FDB7FDA" w14:textId="77777777" w:rsidR="00E07CC1" w:rsidRPr="00E07CC1" w:rsidRDefault="00E07CC1" w:rsidP="00E07CC1">
      <w:pPr>
        <w:spacing w:after="0" w:line="240" w:lineRule="auto"/>
        <w:jc w:val="both"/>
        <w:rPr>
          <w:rFonts w:eastAsiaTheme="majorEastAsia" w:cstheme="minorHAnsi"/>
          <w:sz w:val="24"/>
          <w:szCs w:val="24"/>
          <w:lang w:eastAsia="es-MX"/>
        </w:rPr>
      </w:pPr>
    </w:p>
    <w:p w14:paraId="42C49A66"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 xml:space="preserve">158. La jurisprudencia de la Corte Interamericana, en cuanto a la determinación de quienes son víctimas, ha sido amplia y ajustada a las circunstancias del caso. Las presuntas víctimas deben estar señaladas en la demanda y en el informe de fondo de la Comisión emitido según el artículo 50 de la Convención. Por ende, de conformidad con el artículo 33.1 del </w:t>
      </w:r>
      <w:r w:rsidRPr="00E07CC1">
        <w:rPr>
          <w:rFonts w:eastAsiaTheme="majorEastAsia" w:cstheme="minorHAnsi"/>
          <w:sz w:val="24"/>
          <w:szCs w:val="24"/>
          <w:lang w:eastAsia="es-MX"/>
        </w:rPr>
        <w:lastRenderedPageBreak/>
        <w:t>Reglamento de la Corte, corresponde a la Comisión, y no a este Tribunal, identificar con precisión, y en la debida oportunidad procesal, a las presuntas víctimas en un caso ante la Corte. No obstante, en su defecto, en algunas ocasiones la Corte ha considerado como presuntas víctimas a personas que no fueron alegadas como tales en la demanda, siempre y cuando se haya respetado el derecho de defensa de las partes y de que las presuntas víctimas guarden relación con los hechos descritos en la demanda y con la prueba aportada a la Corte.</w:t>
      </w:r>
    </w:p>
    <w:p w14:paraId="0B640A7B" w14:textId="77777777" w:rsidR="00E07CC1" w:rsidRPr="00E07CC1" w:rsidRDefault="00E07CC1" w:rsidP="00E07CC1">
      <w:pPr>
        <w:spacing w:after="0" w:line="240" w:lineRule="auto"/>
        <w:jc w:val="both"/>
        <w:rPr>
          <w:rFonts w:eastAsiaTheme="majorEastAsia" w:cstheme="minorHAnsi"/>
          <w:sz w:val="24"/>
          <w:szCs w:val="24"/>
          <w:lang w:eastAsia="es-MX"/>
        </w:rPr>
      </w:pPr>
    </w:p>
    <w:p w14:paraId="17F2D8D8"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159. Al respecto, dado que el padre de Diomedes Obed García Sánchez había sido incluido en el escrito de solicitudes y argumentos, y que posteriormente los representantes acreditaron la existencia de Ester Patricia García Sánchez, Jorge Moisés García Sánchez y Fidelia Sarahí García Sánchez y de sus respectivos vínculos o parentesco con Diomedes Obed García Sánchez, esta Corte, en consideración de que su falta de inclusión se debió a la dificultad para dar con su paradero, y que su ubicación solo fue posible con posterioridad a la presentación de los escritos de demanda y de solicitudes y argumentos, considera a dichos familiares como presuntas víctimas y encontró la violación de los artículos 8 y 25 de la Convención en su perjuicio (…). Se otorgó el derecho de defensa de las partes al habérseles trasladado esta información aportada por los representantes y no se recibió observación alguna al respecto.</w:t>
      </w:r>
    </w:p>
    <w:p w14:paraId="5A7586DF" w14:textId="77777777" w:rsidR="00E07CC1" w:rsidRPr="00E07CC1" w:rsidRDefault="00E07CC1" w:rsidP="00E07CC1">
      <w:pPr>
        <w:spacing w:after="0" w:line="240" w:lineRule="auto"/>
        <w:jc w:val="both"/>
        <w:rPr>
          <w:rFonts w:eastAsiaTheme="majorEastAsia" w:cstheme="minorHAnsi"/>
          <w:sz w:val="24"/>
          <w:szCs w:val="24"/>
          <w:lang w:eastAsia="es-MX"/>
        </w:rPr>
      </w:pPr>
    </w:p>
    <w:p w14:paraId="69C3FFE3" w14:textId="77777777" w:rsidR="00E07CC1" w:rsidRPr="00E07CC1" w:rsidRDefault="00E07CC1" w:rsidP="00E07CC1">
      <w:pPr>
        <w:spacing w:after="0" w:line="240" w:lineRule="auto"/>
        <w:jc w:val="both"/>
        <w:rPr>
          <w:rFonts w:eastAsiaTheme="majorEastAsia" w:cstheme="minorHAnsi"/>
          <w:sz w:val="24"/>
          <w:szCs w:val="24"/>
          <w:lang w:eastAsia="es-MX"/>
        </w:rPr>
      </w:pPr>
    </w:p>
    <w:p w14:paraId="1F3C905E" w14:textId="77777777" w:rsidR="00E07CC1" w:rsidRPr="00482AA6" w:rsidRDefault="00E07CC1" w:rsidP="00E07CC1">
      <w:pPr>
        <w:spacing w:after="0" w:line="240" w:lineRule="auto"/>
        <w:jc w:val="both"/>
        <w:rPr>
          <w:rFonts w:eastAsiaTheme="majorEastAsia" w:cstheme="minorHAnsi"/>
          <w:b/>
          <w:bCs/>
          <w:sz w:val="24"/>
          <w:szCs w:val="24"/>
          <w:lang w:eastAsia="es-MX"/>
        </w:rPr>
      </w:pPr>
      <w:r w:rsidRPr="00482AA6">
        <w:rPr>
          <w:rFonts w:eastAsiaTheme="majorEastAsia" w:cstheme="minorHAnsi"/>
          <w:b/>
          <w:bCs/>
          <w:sz w:val="24"/>
          <w:szCs w:val="24"/>
          <w:lang w:eastAsia="es-MX"/>
        </w:rPr>
        <w:t>Reparaciones</w:t>
      </w:r>
    </w:p>
    <w:p w14:paraId="717B2503"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 xml:space="preserve">La Corte dispone que, </w:t>
      </w:r>
    </w:p>
    <w:p w14:paraId="1C47CD24" w14:textId="77777777" w:rsidR="00E07CC1" w:rsidRPr="00E07CC1" w:rsidRDefault="00E07CC1" w:rsidP="00E07CC1">
      <w:pPr>
        <w:spacing w:after="0" w:line="240" w:lineRule="auto"/>
        <w:jc w:val="both"/>
        <w:rPr>
          <w:rFonts w:eastAsiaTheme="majorEastAsia" w:cstheme="minorHAnsi"/>
          <w:sz w:val="24"/>
          <w:szCs w:val="24"/>
          <w:lang w:eastAsia="es-MX"/>
        </w:rPr>
      </w:pPr>
    </w:p>
    <w:p w14:paraId="0995AB08"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 xml:space="preserve"> - Esta Sentencia constituye per se una forma de reparación. </w:t>
      </w:r>
    </w:p>
    <w:p w14:paraId="4DCF1A49" w14:textId="77777777" w:rsidR="00E07CC1" w:rsidRPr="00E07CC1" w:rsidRDefault="00E07CC1" w:rsidP="00E07CC1">
      <w:pPr>
        <w:spacing w:after="0" w:line="240" w:lineRule="auto"/>
        <w:jc w:val="both"/>
        <w:rPr>
          <w:rFonts w:eastAsiaTheme="majorEastAsia" w:cstheme="minorHAnsi"/>
          <w:sz w:val="24"/>
          <w:szCs w:val="24"/>
          <w:lang w:eastAsia="es-MX"/>
        </w:rPr>
      </w:pPr>
    </w:p>
    <w:p w14:paraId="1D304E32"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 xml:space="preserve"> - El Estado debe emprender con seriedad, en un plazo razonable, todas las acciones necesarias para identificar, juzgar, y en su caso, sancionar a todos los autores materiales e intelectuales de las violaciones cometidas en perjuicio de Marco Antonio Servellón García, Rony Alexis </w:t>
      </w:r>
      <w:proofErr w:type="spellStart"/>
      <w:r w:rsidRPr="00E07CC1">
        <w:rPr>
          <w:rFonts w:eastAsiaTheme="majorEastAsia" w:cstheme="minorHAnsi"/>
          <w:sz w:val="24"/>
          <w:szCs w:val="24"/>
          <w:lang w:eastAsia="es-MX"/>
        </w:rPr>
        <w:t>Betancourth</w:t>
      </w:r>
      <w:proofErr w:type="spellEnd"/>
      <w:r w:rsidRPr="00E07CC1">
        <w:rPr>
          <w:rFonts w:eastAsiaTheme="majorEastAsia" w:cstheme="minorHAnsi"/>
          <w:sz w:val="24"/>
          <w:szCs w:val="24"/>
          <w:lang w:eastAsia="es-MX"/>
        </w:rPr>
        <w:t xml:space="preserve"> Vásquez, Orlando Álvarez Ríos y Diomedes Obed García Sánchez, para los efectos penales y cualesquiera otros que pudieran resultar de la investigación de los hechos.  Para ello, el Estado debe remover, en un plazo razonable, todos los obstáculos y mecanismos de hecho y derecho que mantienen la impunidad en el presente caso. </w:t>
      </w:r>
    </w:p>
    <w:p w14:paraId="61348850" w14:textId="77777777" w:rsidR="00E07CC1" w:rsidRPr="00E07CC1" w:rsidRDefault="00E07CC1" w:rsidP="00E07CC1">
      <w:pPr>
        <w:spacing w:after="0" w:line="240" w:lineRule="auto"/>
        <w:jc w:val="both"/>
        <w:rPr>
          <w:rFonts w:eastAsiaTheme="majorEastAsia" w:cstheme="minorHAnsi"/>
          <w:sz w:val="24"/>
          <w:szCs w:val="24"/>
          <w:lang w:eastAsia="es-MX"/>
        </w:rPr>
      </w:pPr>
    </w:p>
    <w:p w14:paraId="375E4F16"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 xml:space="preserve"> - El Estado debe publicar, en el plazo de seis meses, en el Diario Oficial y en otro diario de amplia circulación nacional, por una sola vez, el capítulo relativo a los hechos probados de esta Sentencia, sin las notas al pie de página correspondientes, y la parte resolutiva de la misma. </w:t>
      </w:r>
    </w:p>
    <w:p w14:paraId="380CD9A8" w14:textId="77777777" w:rsidR="00E07CC1" w:rsidRPr="00E07CC1" w:rsidRDefault="00E07CC1" w:rsidP="00E07CC1">
      <w:pPr>
        <w:spacing w:after="0" w:line="240" w:lineRule="auto"/>
        <w:jc w:val="both"/>
        <w:rPr>
          <w:rFonts w:eastAsiaTheme="majorEastAsia" w:cstheme="minorHAnsi"/>
          <w:sz w:val="24"/>
          <w:szCs w:val="24"/>
          <w:lang w:eastAsia="es-MX"/>
        </w:rPr>
      </w:pPr>
    </w:p>
    <w:p w14:paraId="6006D3A0"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 xml:space="preserve"> - Estado debe realizar, en un plazo de seis meses, un acto público de reconocimiento de su responsabilidad internacional. </w:t>
      </w:r>
    </w:p>
    <w:p w14:paraId="00F199EA" w14:textId="77777777" w:rsidR="00E07CC1" w:rsidRPr="00E07CC1" w:rsidRDefault="00E07CC1" w:rsidP="00E07CC1">
      <w:pPr>
        <w:spacing w:after="0" w:line="240" w:lineRule="auto"/>
        <w:jc w:val="both"/>
        <w:rPr>
          <w:rFonts w:eastAsiaTheme="majorEastAsia" w:cstheme="minorHAnsi"/>
          <w:sz w:val="24"/>
          <w:szCs w:val="24"/>
          <w:lang w:eastAsia="es-MX"/>
        </w:rPr>
      </w:pPr>
    </w:p>
    <w:p w14:paraId="4FAA51FD"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 xml:space="preserve"> - El Estado debe nombrar, dentro del plazo de un año, una calle o una plaza, en la ciudad de Tegucigalpa, en memoria de Marco Antonio Servellón García, Rony Alexis </w:t>
      </w:r>
      <w:proofErr w:type="spellStart"/>
      <w:r w:rsidRPr="00E07CC1">
        <w:rPr>
          <w:rFonts w:eastAsiaTheme="majorEastAsia" w:cstheme="minorHAnsi"/>
          <w:sz w:val="24"/>
          <w:szCs w:val="24"/>
          <w:lang w:eastAsia="es-MX"/>
        </w:rPr>
        <w:t>Betancourth</w:t>
      </w:r>
      <w:proofErr w:type="spellEnd"/>
      <w:r w:rsidRPr="00E07CC1">
        <w:rPr>
          <w:rFonts w:eastAsiaTheme="majorEastAsia" w:cstheme="minorHAnsi"/>
          <w:sz w:val="24"/>
          <w:szCs w:val="24"/>
          <w:lang w:eastAsia="es-MX"/>
        </w:rPr>
        <w:t xml:space="preserve"> </w:t>
      </w:r>
      <w:r w:rsidRPr="00E07CC1">
        <w:rPr>
          <w:rFonts w:eastAsiaTheme="majorEastAsia" w:cstheme="minorHAnsi"/>
          <w:sz w:val="24"/>
          <w:szCs w:val="24"/>
          <w:lang w:eastAsia="es-MX"/>
        </w:rPr>
        <w:lastRenderedPageBreak/>
        <w:t xml:space="preserve">Vásquez, Diomedes Obed García Sánchez y Orlando Álvarez Ríos.  En dicha calle o plaza el Estado deberá fijar una placa con los nombres de las referidas cuatro víctimas.  </w:t>
      </w:r>
    </w:p>
    <w:p w14:paraId="541848A7" w14:textId="77777777" w:rsidR="00E07CC1" w:rsidRPr="00E07CC1" w:rsidRDefault="00E07CC1" w:rsidP="00E07CC1">
      <w:pPr>
        <w:spacing w:after="0" w:line="240" w:lineRule="auto"/>
        <w:jc w:val="both"/>
        <w:rPr>
          <w:rFonts w:eastAsiaTheme="majorEastAsia" w:cstheme="minorHAnsi"/>
          <w:sz w:val="24"/>
          <w:szCs w:val="24"/>
          <w:lang w:eastAsia="es-MX"/>
        </w:rPr>
      </w:pPr>
    </w:p>
    <w:p w14:paraId="42A809A2"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 xml:space="preserve"> - El Estado debe establecer, en un plazo razonable, un programa de formación y capacitación para el personal policial, judicial, del Ministerio Público, y penitenciario sobre la especial protección que debe ser prestada por el Estado a los niños y jóvenes, el principio de igualdad ante la ley y no discriminación y los principios y normas de protección de los derechos humanos, relacionados con la aplicación de los estándares internacionales sobre la detención de personas, respetos de sus derechos y garantías judiciales, el trato que deben recibir, sus condiciones de detención, tratamiento y control médico, el derecho a contar con un abogado, a recibir visitas y a que los menores y adultos, así como lo los procesados y condenados se alojen en instalaciones diferentes.  </w:t>
      </w:r>
    </w:p>
    <w:p w14:paraId="438652F5" w14:textId="77777777" w:rsidR="00E07CC1" w:rsidRPr="00E07CC1" w:rsidRDefault="00E07CC1" w:rsidP="00E07CC1">
      <w:pPr>
        <w:spacing w:after="0" w:line="240" w:lineRule="auto"/>
        <w:jc w:val="both"/>
        <w:rPr>
          <w:rFonts w:eastAsiaTheme="majorEastAsia" w:cstheme="minorHAnsi"/>
          <w:sz w:val="24"/>
          <w:szCs w:val="24"/>
          <w:lang w:eastAsia="es-MX"/>
        </w:rPr>
      </w:pPr>
    </w:p>
    <w:p w14:paraId="1329694F"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 xml:space="preserve"> - El Estado deberá realizar, en un plazo razonable, una campaña con la finalidad de sensibilizar a la sociedad hondureña respecto de la importancia de la protección a los niños y jóvenes, informarla sobre los deberes específicos para su protección que corresponden a la familia, a la sociedad y al Estado y hacer ver a la población que los niños y jóvenes en situación de riesgo social no están identificados con la delincuencia.  Asimismo, el Estado deberá emitir, en el plazo de un año, un sello postal alusivo a la protección debida por el Estado y la sociedad a los niños y jóvenes en situación de riesgo, para evitar que estos se tornen víctimas de violencia.  </w:t>
      </w:r>
    </w:p>
    <w:p w14:paraId="36B9A92E" w14:textId="77777777" w:rsidR="00E07CC1" w:rsidRPr="00E07CC1" w:rsidRDefault="00E07CC1" w:rsidP="00E07CC1">
      <w:pPr>
        <w:spacing w:after="0" w:line="240" w:lineRule="auto"/>
        <w:jc w:val="both"/>
        <w:rPr>
          <w:rFonts w:eastAsiaTheme="majorEastAsia" w:cstheme="minorHAnsi"/>
          <w:sz w:val="24"/>
          <w:szCs w:val="24"/>
          <w:lang w:eastAsia="es-MX"/>
        </w:rPr>
      </w:pPr>
    </w:p>
    <w:p w14:paraId="0B9C2D5E"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 xml:space="preserve"> - El Estado deberá crear, dentro de un plazo razonable, una base de datos unificada entre todas las instituciones involucradas en la investigación, identificación y sanción de los responsables por las muertes violentas de niños y jóvenes en situación de riesgo.</w:t>
      </w:r>
    </w:p>
    <w:p w14:paraId="018538F5" w14:textId="77777777" w:rsidR="00E07CC1" w:rsidRPr="00E07CC1" w:rsidRDefault="00E07CC1" w:rsidP="00E07CC1">
      <w:pPr>
        <w:spacing w:after="0" w:line="240" w:lineRule="auto"/>
        <w:jc w:val="both"/>
        <w:rPr>
          <w:rFonts w:eastAsiaTheme="majorEastAsia" w:cstheme="minorHAnsi"/>
          <w:sz w:val="24"/>
          <w:szCs w:val="24"/>
          <w:lang w:eastAsia="es-MX"/>
        </w:rPr>
      </w:pPr>
    </w:p>
    <w:p w14:paraId="6EE6BF41"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 xml:space="preserve"> - El Estado debe pagar a los familiares de Marco Antonio Servellón García, Rony Alexis </w:t>
      </w:r>
      <w:proofErr w:type="spellStart"/>
      <w:r w:rsidRPr="00E07CC1">
        <w:rPr>
          <w:rFonts w:eastAsiaTheme="majorEastAsia" w:cstheme="minorHAnsi"/>
          <w:sz w:val="24"/>
          <w:szCs w:val="24"/>
          <w:lang w:eastAsia="es-MX"/>
        </w:rPr>
        <w:t>Betancourth</w:t>
      </w:r>
      <w:proofErr w:type="spellEnd"/>
      <w:r w:rsidRPr="00E07CC1">
        <w:rPr>
          <w:rFonts w:eastAsiaTheme="majorEastAsia" w:cstheme="minorHAnsi"/>
          <w:sz w:val="24"/>
          <w:szCs w:val="24"/>
          <w:lang w:eastAsia="es-MX"/>
        </w:rPr>
        <w:t xml:space="preserve"> Vásquez, Diomedes Obed García Sánchez y Orlando Álvarez Ríos, en su condición de derechohabientes, en el plazo de un año, por concepto de las indemnizaciones por daños material e inmaterial, las cantidades fijadas en los párrafos 176 y 184.a y 184.b de la presente Sentencia. </w:t>
      </w:r>
    </w:p>
    <w:p w14:paraId="25441FEB" w14:textId="77777777" w:rsidR="00E07CC1" w:rsidRPr="00E07CC1" w:rsidRDefault="00E07CC1" w:rsidP="00E07CC1">
      <w:pPr>
        <w:spacing w:after="0" w:line="240" w:lineRule="auto"/>
        <w:jc w:val="both"/>
        <w:rPr>
          <w:rFonts w:eastAsiaTheme="majorEastAsia" w:cstheme="minorHAnsi"/>
          <w:sz w:val="24"/>
          <w:szCs w:val="24"/>
          <w:lang w:eastAsia="es-MX"/>
        </w:rPr>
      </w:pPr>
    </w:p>
    <w:p w14:paraId="418950C3"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 xml:space="preserve"> - El Estado debe pagar a </w:t>
      </w:r>
      <w:proofErr w:type="spellStart"/>
      <w:r w:rsidRPr="00E07CC1">
        <w:rPr>
          <w:rFonts w:eastAsiaTheme="majorEastAsia" w:cstheme="minorHAnsi"/>
          <w:sz w:val="24"/>
          <w:szCs w:val="24"/>
          <w:lang w:eastAsia="es-MX"/>
        </w:rPr>
        <w:t>Bricelda</w:t>
      </w:r>
      <w:proofErr w:type="spellEnd"/>
      <w:r w:rsidRPr="00E07CC1">
        <w:rPr>
          <w:rFonts w:eastAsiaTheme="majorEastAsia" w:cstheme="minorHAnsi"/>
          <w:sz w:val="24"/>
          <w:szCs w:val="24"/>
          <w:lang w:eastAsia="es-MX"/>
        </w:rPr>
        <w:t xml:space="preserve"> </w:t>
      </w:r>
      <w:proofErr w:type="spellStart"/>
      <w:r w:rsidRPr="00E07CC1">
        <w:rPr>
          <w:rFonts w:eastAsiaTheme="majorEastAsia" w:cstheme="minorHAnsi"/>
          <w:sz w:val="24"/>
          <w:szCs w:val="24"/>
          <w:lang w:eastAsia="es-MX"/>
        </w:rPr>
        <w:t>Aide</w:t>
      </w:r>
      <w:proofErr w:type="spellEnd"/>
      <w:r w:rsidRPr="00E07CC1">
        <w:rPr>
          <w:rFonts w:eastAsiaTheme="majorEastAsia" w:cstheme="minorHAnsi"/>
          <w:sz w:val="24"/>
          <w:szCs w:val="24"/>
          <w:lang w:eastAsia="es-MX"/>
        </w:rPr>
        <w:t xml:space="preserve"> García Lobo, Hilda </w:t>
      </w:r>
      <w:proofErr w:type="spellStart"/>
      <w:r w:rsidRPr="00E07CC1">
        <w:rPr>
          <w:rFonts w:eastAsiaTheme="majorEastAsia" w:cstheme="minorHAnsi"/>
          <w:sz w:val="24"/>
          <w:szCs w:val="24"/>
          <w:lang w:eastAsia="es-MX"/>
        </w:rPr>
        <w:t>Estebana</w:t>
      </w:r>
      <w:proofErr w:type="spellEnd"/>
      <w:r w:rsidRPr="00E07CC1">
        <w:rPr>
          <w:rFonts w:eastAsiaTheme="majorEastAsia" w:cstheme="minorHAnsi"/>
          <w:sz w:val="24"/>
          <w:szCs w:val="24"/>
          <w:lang w:eastAsia="es-MX"/>
        </w:rPr>
        <w:t xml:space="preserve"> Hernández López y Dilcia Álvarez Ríos, en el plazo de un año, por concepto de la indemnización por daño material, la cantidad fijada en párrafo 177 de la presente Sentencia.</w:t>
      </w:r>
    </w:p>
    <w:p w14:paraId="4BEC333D"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 xml:space="preserve">  </w:t>
      </w:r>
    </w:p>
    <w:p w14:paraId="3F76824D"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 xml:space="preserve"> - El Estado debe pagar a Reyes Servellón Santos, </w:t>
      </w:r>
      <w:proofErr w:type="spellStart"/>
      <w:r w:rsidRPr="00E07CC1">
        <w:rPr>
          <w:rFonts w:eastAsiaTheme="majorEastAsia" w:cstheme="minorHAnsi"/>
          <w:sz w:val="24"/>
          <w:szCs w:val="24"/>
          <w:lang w:eastAsia="es-MX"/>
        </w:rPr>
        <w:t>Bricelda</w:t>
      </w:r>
      <w:proofErr w:type="spellEnd"/>
      <w:r w:rsidRPr="00E07CC1">
        <w:rPr>
          <w:rFonts w:eastAsiaTheme="majorEastAsia" w:cstheme="minorHAnsi"/>
          <w:sz w:val="24"/>
          <w:szCs w:val="24"/>
          <w:lang w:eastAsia="es-MX"/>
        </w:rPr>
        <w:t xml:space="preserve"> </w:t>
      </w:r>
      <w:proofErr w:type="spellStart"/>
      <w:r w:rsidRPr="00E07CC1">
        <w:rPr>
          <w:rFonts w:eastAsiaTheme="majorEastAsia" w:cstheme="minorHAnsi"/>
          <w:sz w:val="24"/>
          <w:szCs w:val="24"/>
          <w:lang w:eastAsia="es-MX"/>
        </w:rPr>
        <w:t>Aide</w:t>
      </w:r>
      <w:proofErr w:type="spellEnd"/>
      <w:r w:rsidRPr="00E07CC1">
        <w:rPr>
          <w:rFonts w:eastAsiaTheme="majorEastAsia" w:cstheme="minorHAnsi"/>
          <w:sz w:val="24"/>
          <w:szCs w:val="24"/>
          <w:lang w:eastAsia="es-MX"/>
        </w:rPr>
        <w:t xml:space="preserve"> García Lobo, </w:t>
      </w:r>
      <w:proofErr w:type="spellStart"/>
      <w:r w:rsidRPr="00E07CC1">
        <w:rPr>
          <w:rFonts w:eastAsiaTheme="majorEastAsia" w:cstheme="minorHAnsi"/>
          <w:sz w:val="24"/>
          <w:szCs w:val="24"/>
          <w:lang w:eastAsia="es-MX"/>
        </w:rPr>
        <w:t>Marja</w:t>
      </w:r>
      <w:proofErr w:type="spellEnd"/>
      <w:r w:rsidRPr="00E07CC1">
        <w:rPr>
          <w:rFonts w:eastAsiaTheme="majorEastAsia" w:cstheme="minorHAnsi"/>
          <w:sz w:val="24"/>
          <w:szCs w:val="24"/>
          <w:lang w:eastAsia="es-MX"/>
        </w:rPr>
        <w:t xml:space="preserve"> Ibeth Castro García, Manases </w:t>
      </w:r>
      <w:proofErr w:type="spellStart"/>
      <w:r w:rsidRPr="00E07CC1">
        <w:rPr>
          <w:rFonts w:eastAsiaTheme="majorEastAsia" w:cstheme="minorHAnsi"/>
          <w:sz w:val="24"/>
          <w:szCs w:val="24"/>
          <w:lang w:eastAsia="es-MX"/>
        </w:rPr>
        <w:t>Betancourth</w:t>
      </w:r>
      <w:proofErr w:type="spellEnd"/>
      <w:r w:rsidRPr="00E07CC1">
        <w:rPr>
          <w:rFonts w:eastAsiaTheme="majorEastAsia" w:cstheme="minorHAnsi"/>
          <w:sz w:val="24"/>
          <w:szCs w:val="24"/>
          <w:lang w:eastAsia="es-MX"/>
        </w:rPr>
        <w:t xml:space="preserve"> Núñez, Hilda </w:t>
      </w:r>
      <w:proofErr w:type="spellStart"/>
      <w:r w:rsidRPr="00E07CC1">
        <w:rPr>
          <w:rFonts w:eastAsiaTheme="majorEastAsia" w:cstheme="minorHAnsi"/>
          <w:sz w:val="24"/>
          <w:szCs w:val="24"/>
          <w:lang w:eastAsia="es-MX"/>
        </w:rPr>
        <w:t>Estebana</w:t>
      </w:r>
      <w:proofErr w:type="spellEnd"/>
      <w:r w:rsidRPr="00E07CC1">
        <w:rPr>
          <w:rFonts w:eastAsiaTheme="majorEastAsia" w:cstheme="minorHAnsi"/>
          <w:sz w:val="24"/>
          <w:szCs w:val="24"/>
          <w:lang w:eastAsia="es-MX"/>
        </w:rPr>
        <w:t xml:space="preserve"> Hernández López, Zara </w:t>
      </w:r>
      <w:proofErr w:type="spellStart"/>
      <w:r w:rsidRPr="00E07CC1">
        <w:rPr>
          <w:rFonts w:eastAsiaTheme="majorEastAsia" w:cstheme="minorHAnsi"/>
          <w:sz w:val="24"/>
          <w:szCs w:val="24"/>
          <w:lang w:eastAsia="es-MX"/>
        </w:rPr>
        <w:t>Beatris</w:t>
      </w:r>
      <w:proofErr w:type="spellEnd"/>
      <w:r w:rsidRPr="00E07CC1">
        <w:rPr>
          <w:rFonts w:eastAsiaTheme="majorEastAsia" w:cstheme="minorHAnsi"/>
          <w:sz w:val="24"/>
          <w:szCs w:val="24"/>
          <w:lang w:eastAsia="es-MX"/>
        </w:rPr>
        <w:t xml:space="preserve"> Bustillo Rivera, Ana Luisa Vargas Soto y Dilcia Álvarez Ríos en el plazo de un año, por concepto de la indemnización por daño inmaterial, la cantidad fijada en los párrafos 184.c, 184.d, 184.e, 184.f y 184.g de la presente Sentencia.</w:t>
      </w:r>
    </w:p>
    <w:p w14:paraId="4071A754" w14:textId="77777777" w:rsidR="00E07CC1" w:rsidRPr="00E07CC1" w:rsidRDefault="00E07CC1" w:rsidP="00E07CC1">
      <w:pPr>
        <w:spacing w:after="0" w:line="240" w:lineRule="auto"/>
        <w:jc w:val="both"/>
        <w:rPr>
          <w:rFonts w:eastAsiaTheme="majorEastAsia" w:cstheme="minorHAnsi"/>
          <w:sz w:val="24"/>
          <w:szCs w:val="24"/>
          <w:lang w:eastAsia="es-MX"/>
        </w:rPr>
      </w:pPr>
    </w:p>
    <w:p w14:paraId="632D15CF"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 xml:space="preserve"> - El Estado debe pagar, en el plazo de un año, por concepto de costas y gastos generados en el ámbito interno y en el proceso internacional ante el sistema interamericano de </w:t>
      </w:r>
      <w:r w:rsidRPr="00E07CC1">
        <w:rPr>
          <w:rFonts w:eastAsiaTheme="majorEastAsia" w:cstheme="minorHAnsi"/>
          <w:sz w:val="24"/>
          <w:szCs w:val="24"/>
          <w:lang w:eastAsia="es-MX"/>
        </w:rPr>
        <w:lastRenderedPageBreak/>
        <w:t xml:space="preserve">protección de los derechos humanos, la cantidad fijada en el párrafo 205 de la presente Sentencia, la cual deberá ser entregada a </w:t>
      </w:r>
      <w:proofErr w:type="spellStart"/>
      <w:r w:rsidRPr="00E07CC1">
        <w:rPr>
          <w:rFonts w:eastAsiaTheme="majorEastAsia" w:cstheme="minorHAnsi"/>
          <w:sz w:val="24"/>
          <w:szCs w:val="24"/>
          <w:lang w:eastAsia="es-MX"/>
        </w:rPr>
        <w:t>Bricelda</w:t>
      </w:r>
      <w:proofErr w:type="spellEnd"/>
      <w:r w:rsidRPr="00E07CC1">
        <w:rPr>
          <w:rFonts w:eastAsiaTheme="majorEastAsia" w:cstheme="minorHAnsi"/>
          <w:sz w:val="24"/>
          <w:szCs w:val="24"/>
          <w:lang w:eastAsia="es-MX"/>
        </w:rPr>
        <w:t xml:space="preserve"> </w:t>
      </w:r>
      <w:proofErr w:type="spellStart"/>
      <w:r w:rsidRPr="00E07CC1">
        <w:rPr>
          <w:rFonts w:eastAsiaTheme="majorEastAsia" w:cstheme="minorHAnsi"/>
          <w:sz w:val="24"/>
          <w:szCs w:val="24"/>
          <w:lang w:eastAsia="es-MX"/>
        </w:rPr>
        <w:t>Aide</w:t>
      </w:r>
      <w:proofErr w:type="spellEnd"/>
      <w:r w:rsidRPr="00E07CC1">
        <w:rPr>
          <w:rFonts w:eastAsiaTheme="majorEastAsia" w:cstheme="minorHAnsi"/>
          <w:sz w:val="24"/>
          <w:szCs w:val="24"/>
          <w:lang w:eastAsia="es-MX"/>
        </w:rPr>
        <w:t xml:space="preserve"> García Lobo, Hilda </w:t>
      </w:r>
      <w:proofErr w:type="spellStart"/>
      <w:r w:rsidRPr="00E07CC1">
        <w:rPr>
          <w:rFonts w:eastAsiaTheme="majorEastAsia" w:cstheme="minorHAnsi"/>
          <w:sz w:val="24"/>
          <w:szCs w:val="24"/>
          <w:lang w:eastAsia="es-MX"/>
        </w:rPr>
        <w:t>Estebana</w:t>
      </w:r>
      <w:proofErr w:type="spellEnd"/>
      <w:r w:rsidRPr="00E07CC1">
        <w:rPr>
          <w:rFonts w:eastAsiaTheme="majorEastAsia" w:cstheme="minorHAnsi"/>
          <w:sz w:val="24"/>
          <w:szCs w:val="24"/>
          <w:lang w:eastAsia="es-MX"/>
        </w:rPr>
        <w:t xml:space="preserve"> Hernández López y Dilcia Álvarez Ríos.</w:t>
      </w:r>
    </w:p>
    <w:p w14:paraId="53AA8D4D" w14:textId="77777777" w:rsidR="00E07CC1" w:rsidRPr="00E07CC1" w:rsidRDefault="00E07CC1" w:rsidP="00E07CC1">
      <w:pPr>
        <w:spacing w:after="0" w:line="240" w:lineRule="auto"/>
        <w:jc w:val="both"/>
        <w:rPr>
          <w:rFonts w:eastAsiaTheme="majorEastAsia" w:cstheme="minorHAnsi"/>
          <w:sz w:val="24"/>
          <w:szCs w:val="24"/>
          <w:lang w:eastAsia="es-MX"/>
        </w:rPr>
      </w:pPr>
    </w:p>
    <w:p w14:paraId="50FB9A6A"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 xml:space="preserve"> - Supervisará el cumplimiento íntegro de esta Sentencia, y dará por concluido el presente caso una vez que el Estado haya dado cabal cumplimiento a lo dispuesto en la misma.  Dentro del plazo de un año, contado a partir de la notificación de esta Sentencia, el Estado deberá rendir a la Corte un informe sobre las medidas adoptadas para darle cumplimiento.</w:t>
      </w:r>
    </w:p>
    <w:p w14:paraId="5F5FAD5F" w14:textId="77777777" w:rsidR="00E07CC1" w:rsidRPr="00E07CC1" w:rsidRDefault="00E07CC1" w:rsidP="00E07CC1">
      <w:pPr>
        <w:spacing w:after="0" w:line="240" w:lineRule="auto"/>
        <w:jc w:val="both"/>
        <w:rPr>
          <w:rFonts w:eastAsiaTheme="majorEastAsia" w:cstheme="minorHAnsi"/>
          <w:sz w:val="24"/>
          <w:szCs w:val="24"/>
          <w:lang w:eastAsia="es-MX"/>
        </w:rPr>
      </w:pPr>
    </w:p>
    <w:p w14:paraId="748AFFAF" w14:textId="61799200" w:rsidR="00E07CC1" w:rsidRDefault="00E07CC1" w:rsidP="00E07CC1">
      <w:pPr>
        <w:spacing w:after="0" w:line="240" w:lineRule="auto"/>
        <w:jc w:val="both"/>
        <w:rPr>
          <w:rFonts w:eastAsiaTheme="majorEastAsia" w:cstheme="minorHAnsi"/>
          <w:b/>
          <w:bCs/>
          <w:sz w:val="24"/>
          <w:szCs w:val="24"/>
          <w:lang w:eastAsia="es-MX"/>
        </w:rPr>
      </w:pPr>
      <w:r w:rsidRPr="00482AA6">
        <w:rPr>
          <w:rFonts w:eastAsiaTheme="majorEastAsia" w:cstheme="minorHAnsi"/>
          <w:b/>
          <w:bCs/>
          <w:sz w:val="24"/>
          <w:szCs w:val="24"/>
          <w:lang w:eastAsia="es-MX"/>
        </w:rPr>
        <w:t>Resolutivos</w:t>
      </w:r>
    </w:p>
    <w:p w14:paraId="0FE2F17B" w14:textId="77777777" w:rsidR="00482AA6" w:rsidRPr="00482AA6" w:rsidRDefault="00482AA6" w:rsidP="00E07CC1">
      <w:pPr>
        <w:spacing w:after="0" w:line="240" w:lineRule="auto"/>
        <w:jc w:val="both"/>
        <w:rPr>
          <w:rFonts w:eastAsiaTheme="majorEastAsia" w:cstheme="minorHAnsi"/>
          <w:b/>
          <w:bCs/>
          <w:sz w:val="24"/>
          <w:szCs w:val="24"/>
          <w:lang w:eastAsia="es-MX"/>
        </w:rPr>
      </w:pPr>
    </w:p>
    <w:p w14:paraId="137FC52D" w14:textId="77777777" w:rsidR="00E07CC1" w:rsidRPr="00482AA6" w:rsidRDefault="00E07CC1" w:rsidP="00E07CC1">
      <w:pPr>
        <w:spacing w:after="0" w:line="240" w:lineRule="auto"/>
        <w:jc w:val="both"/>
        <w:rPr>
          <w:rFonts w:eastAsiaTheme="majorEastAsia" w:cstheme="minorHAnsi"/>
          <w:b/>
          <w:bCs/>
          <w:sz w:val="24"/>
          <w:szCs w:val="24"/>
          <w:lang w:eastAsia="es-MX"/>
        </w:rPr>
      </w:pPr>
      <w:r w:rsidRPr="00482AA6">
        <w:rPr>
          <w:rFonts w:eastAsiaTheme="majorEastAsia" w:cstheme="minorHAnsi"/>
          <w:b/>
          <w:bCs/>
          <w:sz w:val="24"/>
          <w:szCs w:val="24"/>
          <w:lang w:eastAsia="es-MX"/>
        </w:rPr>
        <w:t>La Corte decide,</w:t>
      </w:r>
    </w:p>
    <w:p w14:paraId="27BC18B4" w14:textId="77777777" w:rsidR="00E07CC1" w:rsidRPr="00E07CC1" w:rsidRDefault="00E07CC1" w:rsidP="00E07CC1">
      <w:pPr>
        <w:spacing w:after="0" w:line="240" w:lineRule="auto"/>
        <w:jc w:val="both"/>
        <w:rPr>
          <w:rFonts w:eastAsiaTheme="majorEastAsia" w:cstheme="minorHAnsi"/>
          <w:sz w:val="24"/>
          <w:szCs w:val="24"/>
          <w:lang w:eastAsia="es-MX"/>
        </w:rPr>
      </w:pPr>
    </w:p>
    <w:p w14:paraId="760C848F"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 xml:space="preserve"> - Admitir el reconocimiento  de responsabilidad internacional efectuado por el Estado por la violación de los derechos a la libertad e integridad personales, a la vida, a las garantías judiciales y a la protección judicial consagrados en los artículos 7.1, 7.2, 7.3, 7.4 7.5 y 7.6, 5.1 y 5.2, 4.1, 8.1 y 8.2 y 25.1 de la Convención Americana, en perjuicio de Marco Antonio Servellón García, Rony Alexis </w:t>
      </w:r>
      <w:proofErr w:type="spellStart"/>
      <w:r w:rsidRPr="00E07CC1">
        <w:rPr>
          <w:rFonts w:eastAsiaTheme="majorEastAsia" w:cstheme="minorHAnsi"/>
          <w:sz w:val="24"/>
          <w:szCs w:val="24"/>
          <w:lang w:eastAsia="es-MX"/>
        </w:rPr>
        <w:t>Betancourth</w:t>
      </w:r>
      <w:proofErr w:type="spellEnd"/>
      <w:r w:rsidRPr="00E07CC1">
        <w:rPr>
          <w:rFonts w:eastAsiaTheme="majorEastAsia" w:cstheme="minorHAnsi"/>
          <w:sz w:val="24"/>
          <w:szCs w:val="24"/>
          <w:lang w:eastAsia="es-MX"/>
        </w:rPr>
        <w:t xml:space="preserve"> Vásquez, Orlando Álvarez Ríos y Diomedes Obed García Sánchez, y el derecho  a la integridad personal consagrado en el artículo 5.5 de la Convención, en relación a los derechos del niño consagrado en el artículo 19 de la Convención, en perjuicio de Marco Antonio Servellón García y Rony Alexis </w:t>
      </w:r>
      <w:proofErr w:type="spellStart"/>
      <w:r w:rsidRPr="00E07CC1">
        <w:rPr>
          <w:rFonts w:eastAsiaTheme="majorEastAsia" w:cstheme="minorHAnsi"/>
          <w:sz w:val="24"/>
          <w:szCs w:val="24"/>
          <w:lang w:eastAsia="es-MX"/>
        </w:rPr>
        <w:t>Betancourth</w:t>
      </w:r>
      <w:proofErr w:type="spellEnd"/>
      <w:r w:rsidRPr="00E07CC1">
        <w:rPr>
          <w:rFonts w:eastAsiaTheme="majorEastAsia" w:cstheme="minorHAnsi"/>
          <w:sz w:val="24"/>
          <w:szCs w:val="24"/>
          <w:lang w:eastAsia="es-MX"/>
        </w:rPr>
        <w:t xml:space="preserve"> Vásquez, todos en relación con la obligación general de respetar y garantizar los derechos establecida en el artículo 1.1 de dicho tratado.</w:t>
      </w:r>
    </w:p>
    <w:p w14:paraId="5946539D"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 xml:space="preserve">  </w:t>
      </w:r>
    </w:p>
    <w:p w14:paraId="7A029D00"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 xml:space="preserve"> - Admitir el reconocimiento  de responsabilidad internacional efectuado por el Estado por la violación de los derechos a las garantías judiciales y a la protección judicial consagrados en los artículos 8.1 y 25.1 de la Convención Americana, en perjuicio de los familiares de Marco Antonio Servellón García, Rony Alexis </w:t>
      </w:r>
      <w:proofErr w:type="spellStart"/>
      <w:r w:rsidRPr="00E07CC1">
        <w:rPr>
          <w:rFonts w:eastAsiaTheme="majorEastAsia" w:cstheme="minorHAnsi"/>
          <w:sz w:val="24"/>
          <w:szCs w:val="24"/>
          <w:lang w:eastAsia="es-MX"/>
        </w:rPr>
        <w:t>Betancourth</w:t>
      </w:r>
      <w:proofErr w:type="spellEnd"/>
      <w:r w:rsidRPr="00E07CC1">
        <w:rPr>
          <w:rFonts w:eastAsiaTheme="majorEastAsia" w:cstheme="minorHAnsi"/>
          <w:sz w:val="24"/>
          <w:szCs w:val="24"/>
          <w:lang w:eastAsia="es-MX"/>
        </w:rPr>
        <w:t xml:space="preserve"> Vásquez, Orlando Álvarez Ríos y Diomedes Obed García Sánchez, en relación con la  obligación general de respetar y garantizar los derechos establecida  en el artículo 1.1 de  dicho tratado.</w:t>
      </w:r>
    </w:p>
    <w:p w14:paraId="514E0994" w14:textId="77777777" w:rsidR="00E07CC1" w:rsidRPr="00E07CC1" w:rsidRDefault="00E07CC1" w:rsidP="00E07CC1">
      <w:pPr>
        <w:spacing w:after="0" w:line="240" w:lineRule="auto"/>
        <w:jc w:val="both"/>
        <w:rPr>
          <w:rFonts w:eastAsiaTheme="majorEastAsia" w:cstheme="minorHAnsi"/>
          <w:sz w:val="24"/>
          <w:szCs w:val="24"/>
          <w:lang w:eastAsia="es-MX"/>
        </w:rPr>
      </w:pPr>
    </w:p>
    <w:p w14:paraId="39D240EB" w14:textId="77777777" w:rsidR="00E07CC1" w:rsidRPr="00482AA6" w:rsidRDefault="00E07CC1" w:rsidP="00E07CC1">
      <w:pPr>
        <w:spacing w:after="0" w:line="240" w:lineRule="auto"/>
        <w:jc w:val="both"/>
        <w:rPr>
          <w:rFonts w:eastAsiaTheme="majorEastAsia" w:cstheme="minorHAnsi"/>
          <w:b/>
          <w:bCs/>
          <w:sz w:val="24"/>
          <w:szCs w:val="24"/>
          <w:lang w:eastAsia="es-MX"/>
        </w:rPr>
      </w:pPr>
      <w:r w:rsidRPr="00482AA6">
        <w:rPr>
          <w:rFonts w:eastAsiaTheme="majorEastAsia" w:cstheme="minorHAnsi"/>
          <w:b/>
          <w:bCs/>
          <w:sz w:val="24"/>
          <w:szCs w:val="24"/>
          <w:lang w:eastAsia="es-MX"/>
        </w:rPr>
        <w:t xml:space="preserve"> La Corte declara que, </w:t>
      </w:r>
    </w:p>
    <w:p w14:paraId="52113C28" w14:textId="77777777" w:rsidR="00E07CC1" w:rsidRPr="00E07CC1" w:rsidRDefault="00E07CC1" w:rsidP="00E07CC1">
      <w:pPr>
        <w:spacing w:after="0" w:line="240" w:lineRule="auto"/>
        <w:jc w:val="both"/>
        <w:rPr>
          <w:rFonts w:eastAsiaTheme="majorEastAsia" w:cstheme="minorHAnsi"/>
          <w:sz w:val="24"/>
          <w:szCs w:val="24"/>
          <w:lang w:eastAsia="es-MX"/>
        </w:rPr>
      </w:pPr>
    </w:p>
    <w:p w14:paraId="7A3D9AA0"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 xml:space="preserve"> - El Estado violó, en perjuicio de Marco Antonio Servellón García, Rony Alexis </w:t>
      </w:r>
      <w:proofErr w:type="spellStart"/>
      <w:r w:rsidRPr="00E07CC1">
        <w:rPr>
          <w:rFonts w:eastAsiaTheme="majorEastAsia" w:cstheme="minorHAnsi"/>
          <w:sz w:val="24"/>
          <w:szCs w:val="24"/>
          <w:lang w:eastAsia="es-MX"/>
        </w:rPr>
        <w:t>Betancourth</w:t>
      </w:r>
      <w:proofErr w:type="spellEnd"/>
      <w:r w:rsidRPr="00E07CC1">
        <w:rPr>
          <w:rFonts w:eastAsiaTheme="majorEastAsia" w:cstheme="minorHAnsi"/>
          <w:sz w:val="24"/>
          <w:szCs w:val="24"/>
          <w:lang w:eastAsia="es-MX"/>
        </w:rPr>
        <w:t xml:space="preserve"> Vásquez, Orlando Álvarez Ríos y Diomedes Obed García Sánchez, los derechos a la libertad e integridad personales y a la vida consagrados en los artículos 7.1, 7.2, 7.3, 7.4 y 7.5, 5.1 y 5.2, y 4.1 de la Convención Americana, y el derecho a la integridad personal consagrado  en  el  artículo  5.5  de  la  Convención, en relación a los derechos del niño consagrado en el artículo 19 de la Convención, en perjuicio de Marco Antonio Servellón García y Rony Alexis </w:t>
      </w:r>
      <w:proofErr w:type="spellStart"/>
      <w:r w:rsidRPr="00E07CC1">
        <w:rPr>
          <w:rFonts w:eastAsiaTheme="majorEastAsia" w:cstheme="minorHAnsi"/>
          <w:sz w:val="24"/>
          <w:szCs w:val="24"/>
          <w:lang w:eastAsia="es-MX"/>
        </w:rPr>
        <w:t>Betancourth</w:t>
      </w:r>
      <w:proofErr w:type="spellEnd"/>
      <w:r w:rsidRPr="00E07CC1">
        <w:rPr>
          <w:rFonts w:eastAsiaTheme="majorEastAsia" w:cstheme="minorHAnsi"/>
          <w:sz w:val="24"/>
          <w:szCs w:val="24"/>
          <w:lang w:eastAsia="es-MX"/>
        </w:rPr>
        <w:t xml:space="preserve"> Vásquez, todos en relación con la obligación general de respetar y garantizar los derechos establecida  en el artículo 1.1 de  dicho tratado. </w:t>
      </w:r>
    </w:p>
    <w:p w14:paraId="2861F2FF" w14:textId="77777777" w:rsidR="00E07CC1" w:rsidRPr="00E07CC1" w:rsidRDefault="00E07CC1" w:rsidP="00E07CC1">
      <w:pPr>
        <w:spacing w:after="0" w:line="240" w:lineRule="auto"/>
        <w:jc w:val="both"/>
        <w:rPr>
          <w:rFonts w:eastAsiaTheme="majorEastAsia" w:cstheme="minorHAnsi"/>
          <w:sz w:val="24"/>
          <w:szCs w:val="24"/>
          <w:lang w:eastAsia="es-MX"/>
        </w:rPr>
      </w:pPr>
    </w:p>
    <w:p w14:paraId="50B3F8AD"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 xml:space="preserve"> - El Estado violó, en perjuicio de los familiares de Marco Antonio Servellón García, Reyes Servellón Santos, padre;  </w:t>
      </w:r>
      <w:proofErr w:type="spellStart"/>
      <w:r w:rsidRPr="00E07CC1">
        <w:rPr>
          <w:rFonts w:eastAsiaTheme="majorEastAsia" w:cstheme="minorHAnsi"/>
          <w:sz w:val="24"/>
          <w:szCs w:val="24"/>
          <w:lang w:eastAsia="es-MX"/>
        </w:rPr>
        <w:t>Bricelda</w:t>
      </w:r>
      <w:proofErr w:type="spellEnd"/>
      <w:r w:rsidRPr="00E07CC1">
        <w:rPr>
          <w:rFonts w:eastAsiaTheme="majorEastAsia" w:cstheme="minorHAnsi"/>
          <w:sz w:val="24"/>
          <w:szCs w:val="24"/>
          <w:lang w:eastAsia="es-MX"/>
        </w:rPr>
        <w:t xml:space="preserve"> </w:t>
      </w:r>
      <w:proofErr w:type="spellStart"/>
      <w:r w:rsidRPr="00E07CC1">
        <w:rPr>
          <w:rFonts w:eastAsiaTheme="majorEastAsia" w:cstheme="minorHAnsi"/>
          <w:sz w:val="24"/>
          <w:szCs w:val="24"/>
          <w:lang w:eastAsia="es-MX"/>
        </w:rPr>
        <w:t>Aide</w:t>
      </w:r>
      <w:proofErr w:type="spellEnd"/>
      <w:r w:rsidRPr="00E07CC1">
        <w:rPr>
          <w:rFonts w:eastAsiaTheme="majorEastAsia" w:cstheme="minorHAnsi"/>
          <w:sz w:val="24"/>
          <w:szCs w:val="24"/>
          <w:lang w:eastAsia="es-MX"/>
        </w:rPr>
        <w:t xml:space="preserve"> García Lobo,  madre, y </w:t>
      </w:r>
      <w:proofErr w:type="spellStart"/>
      <w:r w:rsidRPr="00E07CC1">
        <w:rPr>
          <w:rFonts w:eastAsiaTheme="majorEastAsia" w:cstheme="minorHAnsi"/>
          <w:sz w:val="24"/>
          <w:szCs w:val="24"/>
          <w:lang w:eastAsia="es-MX"/>
        </w:rPr>
        <w:t>Marja</w:t>
      </w:r>
      <w:proofErr w:type="spellEnd"/>
      <w:r w:rsidRPr="00E07CC1">
        <w:rPr>
          <w:rFonts w:eastAsiaTheme="majorEastAsia" w:cstheme="minorHAnsi"/>
          <w:sz w:val="24"/>
          <w:szCs w:val="24"/>
          <w:lang w:eastAsia="es-MX"/>
        </w:rPr>
        <w:t xml:space="preserve"> Ibeth Castro García, </w:t>
      </w:r>
      <w:r w:rsidRPr="00E07CC1">
        <w:rPr>
          <w:rFonts w:eastAsiaTheme="majorEastAsia" w:cstheme="minorHAnsi"/>
          <w:sz w:val="24"/>
          <w:szCs w:val="24"/>
          <w:lang w:eastAsia="es-MX"/>
        </w:rPr>
        <w:lastRenderedPageBreak/>
        <w:t xml:space="preserve">hermana; de los familiares de Rony Alexis </w:t>
      </w:r>
      <w:proofErr w:type="spellStart"/>
      <w:r w:rsidRPr="00E07CC1">
        <w:rPr>
          <w:rFonts w:eastAsiaTheme="majorEastAsia" w:cstheme="minorHAnsi"/>
          <w:sz w:val="24"/>
          <w:szCs w:val="24"/>
          <w:lang w:eastAsia="es-MX"/>
        </w:rPr>
        <w:t>Betancourth</w:t>
      </w:r>
      <w:proofErr w:type="spellEnd"/>
      <w:r w:rsidRPr="00E07CC1">
        <w:rPr>
          <w:rFonts w:eastAsiaTheme="majorEastAsia" w:cstheme="minorHAnsi"/>
          <w:sz w:val="24"/>
          <w:szCs w:val="24"/>
          <w:lang w:eastAsia="es-MX"/>
        </w:rPr>
        <w:t xml:space="preserve"> Vásquez, Manases </w:t>
      </w:r>
      <w:proofErr w:type="spellStart"/>
      <w:r w:rsidRPr="00E07CC1">
        <w:rPr>
          <w:rFonts w:eastAsiaTheme="majorEastAsia" w:cstheme="minorHAnsi"/>
          <w:sz w:val="24"/>
          <w:szCs w:val="24"/>
          <w:lang w:eastAsia="es-MX"/>
        </w:rPr>
        <w:t>Betancourth</w:t>
      </w:r>
      <w:proofErr w:type="spellEnd"/>
      <w:r w:rsidRPr="00E07CC1">
        <w:rPr>
          <w:rFonts w:eastAsiaTheme="majorEastAsia" w:cstheme="minorHAnsi"/>
          <w:sz w:val="24"/>
          <w:szCs w:val="24"/>
          <w:lang w:eastAsia="es-MX"/>
        </w:rPr>
        <w:t xml:space="preserve"> Núñez, padre, Hilda </w:t>
      </w:r>
      <w:proofErr w:type="spellStart"/>
      <w:r w:rsidRPr="00E07CC1">
        <w:rPr>
          <w:rFonts w:eastAsiaTheme="majorEastAsia" w:cstheme="minorHAnsi"/>
          <w:sz w:val="24"/>
          <w:szCs w:val="24"/>
          <w:lang w:eastAsia="es-MX"/>
        </w:rPr>
        <w:t>Estebana</w:t>
      </w:r>
      <w:proofErr w:type="spellEnd"/>
      <w:r w:rsidRPr="00E07CC1">
        <w:rPr>
          <w:rFonts w:eastAsiaTheme="majorEastAsia" w:cstheme="minorHAnsi"/>
          <w:sz w:val="24"/>
          <w:szCs w:val="24"/>
          <w:lang w:eastAsia="es-MX"/>
        </w:rPr>
        <w:t xml:space="preserve"> Hernández López, madre, Zara </w:t>
      </w:r>
      <w:proofErr w:type="spellStart"/>
      <w:r w:rsidRPr="00E07CC1">
        <w:rPr>
          <w:rFonts w:eastAsiaTheme="majorEastAsia" w:cstheme="minorHAnsi"/>
          <w:sz w:val="24"/>
          <w:szCs w:val="24"/>
          <w:lang w:eastAsia="es-MX"/>
        </w:rPr>
        <w:t>Beatris</w:t>
      </w:r>
      <w:proofErr w:type="spellEnd"/>
      <w:r w:rsidRPr="00E07CC1">
        <w:rPr>
          <w:rFonts w:eastAsiaTheme="majorEastAsia" w:cstheme="minorHAnsi"/>
          <w:sz w:val="24"/>
          <w:szCs w:val="24"/>
          <w:lang w:eastAsia="es-MX"/>
        </w:rPr>
        <w:t xml:space="preserve"> Bustillo Rivera, hija, y Ana Luisa Vargas Soto, compañera de hogar, y de la hermana de Orlando Álvarez Ríos, Dilcia Álvarez Ríos, el derecho a la integridad personal consagrado en artículo 5.1 de la Convención Americana, en relación con la obligación general de respetar y garantizar los derechos establecida en el artículo 1.1 de dicho tratado.  </w:t>
      </w:r>
    </w:p>
    <w:p w14:paraId="2357EF19" w14:textId="77777777" w:rsidR="00E07CC1" w:rsidRPr="00E07CC1" w:rsidRDefault="00E07CC1" w:rsidP="00E07CC1">
      <w:pPr>
        <w:spacing w:after="0" w:line="240" w:lineRule="auto"/>
        <w:jc w:val="both"/>
        <w:rPr>
          <w:rFonts w:eastAsiaTheme="majorEastAsia" w:cstheme="minorHAnsi"/>
          <w:sz w:val="24"/>
          <w:szCs w:val="24"/>
          <w:lang w:eastAsia="es-MX"/>
        </w:rPr>
      </w:pPr>
    </w:p>
    <w:p w14:paraId="7F7C5B49"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 xml:space="preserve"> - El Estado violó, en perjuicio de Marco Antonio Servellón García, Rony Alexis </w:t>
      </w:r>
      <w:proofErr w:type="spellStart"/>
      <w:r w:rsidRPr="00E07CC1">
        <w:rPr>
          <w:rFonts w:eastAsiaTheme="majorEastAsia" w:cstheme="minorHAnsi"/>
          <w:sz w:val="24"/>
          <w:szCs w:val="24"/>
          <w:lang w:eastAsia="es-MX"/>
        </w:rPr>
        <w:t>Betancourth</w:t>
      </w:r>
      <w:proofErr w:type="spellEnd"/>
      <w:r w:rsidRPr="00E07CC1">
        <w:rPr>
          <w:rFonts w:eastAsiaTheme="majorEastAsia" w:cstheme="minorHAnsi"/>
          <w:sz w:val="24"/>
          <w:szCs w:val="24"/>
          <w:lang w:eastAsia="es-MX"/>
        </w:rPr>
        <w:t xml:space="preserve"> Vásquez, Orlando Álvarez Ríos y Diomedes Obed García Sánchez, los artículos 8.1, 8.2, 7.6 y 25.1 de la Convención, todos en relación con la obligación general de respetar y garantizar los derechos establecida en el artículo 1.1 de dicho tratado. </w:t>
      </w:r>
    </w:p>
    <w:p w14:paraId="60C6EB1D" w14:textId="77777777" w:rsidR="00E07CC1" w:rsidRPr="00E07CC1" w:rsidRDefault="00E07CC1" w:rsidP="00E07CC1">
      <w:pPr>
        <w:spacing w:after="0" w:line="240" w:lineRule="auto"/>
        <w:jc w:val="both"/>
        <w:rPr>
          <w:rFonts w:eastAsiaTheme="majorEastAsia" w:cstheme="minorHAnsi"/>
          <w:sz w:val="24"/>
          <w:szCs w:val="24"/>
          <w:lang w:eastAsia="es-MX"/>
        </w:rPr>
      </w:pPr>
    </w:p>
    <w:p w14:paraId="4A36B171" w14:textId="77777777" w:rsidR="00E07CC1" w:rsidRPr="00E07CC1" w:rsidRDefault="00E07CC1" w:rsidP="00E07CC1">
      <w:pPr>
        <w:spacing w:after="0" w:line="240" w:lineRule="auto"/>
        <w:jc w:val="both"/>
        <w:rPr>
          <w:rFonts w:eastAsiaTheme="majorEastAsia" w:cstheme="minorHAnsi"/>
          <w:sz w:val="24"/>
          <w:szCs w:val="24"/>
          <w:lang w:eastAsia="es-MX"/>
        </w:rPr>
      </w:pPr>
      <w:r w:rsidRPr="00E07CC1">
        <w:rPr>
          <w:rFonts w:eastAsiaTheme="majorEastAsia" w:cstheme="minorHAnsi"/>
          <w:sz w:val="24"/>
          <w:szCs w:val="24"/>
          <w:lang w:eastAsia="es-MX"/>
        </w:rPr>
        <w:t xml:space="preserve"> - El Estado violó, en perjuicio de los familiares de Marco Antonio Servellón García, Reyes Servellón Santos, padre, </w:t>
      </w:r>
      <w:proofErr w:type="spellStart"/>
      <w:r w:rsidRPr="00E07CC1">
        <w:rPr>
          <w:rFonts w:eastAsiaTheme="majorEastAsia" w:cstheme="minorHAnsi"/>
          <w:sz w:val="24"/>
          <w:szCs w:val="24"/>
          <w:lang w:eastAsia="es-MX"/>
        </w:rPr>
        <w:t>Bricelda</w:t>
      </w:r>
      <w:proofErr w:type="spellEnd"/>
      <w:r w:rsidRPr="00E07CC1">
        <w:rPr>
          <w:rFonts w:eastAsiaTheme="majorEastAsia" w:cstheme="minorHAnsi"/>
          <w:sz w:val="24"/>
          <w:szCs w:val="24"/>
          <w:lang w:eastAsia="es-MX"/>
        </w:rPr>
        <w:t xml:space="preserve"> </w:t>
      </w:r>
      <w:proofErr w:type="spellStart"/>
      <w:r w:rsidRPr="00E07CC1">
        <w:rPr>
          <w:rFonts w:eastAsiaTheme="majorEastAsia" w:cstheme="minorHAnsi"/>
          <w:sz w:val="24"/>
          <w:szCs w:val="24"/>
          <w:lang w:eastAsia="es-MX"/>
        </w:rPr>
        <w:t>Aide</w:t>
      </w:r>
      <w:proofErr w:type="spellEnd"/>
      <w:r w:rsidRPr="00E07CC1">
        <w:rPr>
          <w:rFonts w:eastAsiaTheme="majorEastAsia" w:cstheme="minorHAnsi"/>
          <w:sz w:val="24"/>
          <w:szCs w:val="24"/>
          <w:lang w:eastAsia="es-MX"/>
        </w:rPr>
        <w:t xml:space="preserve"> García Lobo, madre, y </w:t>
      </w:r>
      <w:proofErr w:type="spellStart"/>
      <w:r w:rsidRPr="00E07CC1">
        <w:rPr>
          <w:rFonts w:eastAsiaTheme="majorEastAsia" w:cstheme="minorHAnsi"/>
          <w:sz w:val="24"/>
          <w:szCs w:val="24"/>
          <w:lang w:eastAsia="es-MX"/>
        </w:rPr>
        <w:t>Marja</w:t>
      </w:r>
      <w:proofErr w:type="spellEnd"/>
      <w:r w:rsidRPr="00E07CC1">
        <w:rPr>
          <w:rFonts w:eastAsiaTheme="majorEastAsia" w:cstheme="minorHAnsi"/>
          <w:sz w:val="24"/>
          <w:szCs w:val="24"/>
          <w:lang w:eastAsia="es-MX"/>
        </w:rPr>
        <w:t xml:space="preserve"> Ibeth Castro García, Pablo Servellón García y Héctor Vicente Castro García, hermanos; de los familiares de Rony Alexis </w:t>
      </w:r>
      <w:proofErr w:type="spellStart"/>
      <w:r w:rsidRPr="00E07CC1">
        <w:rPr>
          <w:rFonts w:eastAsiaTheme="majorEastAsia" w:cstheme="minorHAnsi"/>
          <w:sz w:val="24"/>
          <w:szCs w:val="24"/>
          <w:lang w:eastAsia="es-MX"/>
        </w:rPr>
        <w:t>Betancourth</w:t>
      </w:r>
      <w:proofErr w:type="spellEnd"/>
      <w:r w:rsidRPr="00E07CC1">
        <w:rPr>
          <w:rFonts w:eastAsiaTheme="majorEastAsia" w:cstheme="minorHAnsi"/>
          <w:sz w:val="24"/>
          <w:szCs w:val="24"/>
          <w:lang w:eastAsia="es-MX"/>
        </w:rPr>
        <w:t xml:space="preserve"> Vásquez, Manases </w:t>
      </w:r>
      <w:proofErr w:type="spellStart"/>
      <w:r w:rsidRPr="00E07CC1">
        <w:rPr>
          <w:rFonts w:eastAsiaTheme="majorEastAsia" w:cstheme="minorHAnsi"/>
          <w:sz w:val="24"/>
          <w:szCs w:val="24"/>
          <w:lang w:eastAsia="es-MX"/>
        </w:rPr>
        <w:t>Betancourth</w:t>
      </w:r>
      <w:proofErr w:type="spellEnd"/>
      <w:r w:rsidRPr="00E07CC1">
        <w:rPr>
          <w:rFonts w:eastAsiaTheme="majorEastAsia" w:cstheme="minorHAnsi"/>
          <w:sz w:val="24"/>
          <w:szCs w:val="24"/>
          <w:lang w:eastAsia="es-MX"/>
        </w:rPr>
        <w:t xml:space="preserve"> Núñez, padre, Hilda </w:t>
      </w:r>
      <w:proofErr w:type="spellStart"/>
      <w:r w:rsidRPr="00E07CC1">
        <w:rPr>
          <w:rFonts w:eastAsiaTheme="majorEastAsia" w:cstheme="minorHAnsi"/>
          <w:sz w:val="24"/>
          <w:szCs w:val="24"/>
          <w:lang w:eastAsia="es-MX"/>
        </w:rPr>
        <w:t>Estebana</w:t>
      </w:r>
      <w:proofErr w:type="spellEnd"/>
      <w:r w:rsidRPr="00E07CC1">
        <w:rPr>
          <w:rFonts w:eastAsiaTheme="majorEastAsia" w:cstheme="minorHAnsi"/>
          <w:sz w:val="24"/>
          <w:szCs w:val="24"/>
          <w:lang w:eastAsia="es-MX"/>
        </w:rPr>
        <w:t xml:space="preserve"> Hernández López, madre, Zara </w:t>
      </w:r>
      <w:proofErr w:type="spellStart"/>
      <w:r w:rsidRPr="00E07CC1">
        <w:rPr>
          <w:rFonts w:eastAsiaTheme="majorEastAsia" w:cstheme="minorHAnsi"/>
          <w:sz w:val="24"/>
          <w:szCs w:val="24"/>
          <w:lang w:eastAsia="es-MX"/>
        </w:rPr>
        <w:t>Beatris</w:t>
      </w:r>
      <w:proofErr w:type="spellEnd"/>
      <w:r w:rsidRPr="00E07CC1">
        <w:rPr>
          <w:rFonts w:eastAsiaTheme="majorEastAsia" w:cstheme="minorHAnsi"/>
          <w:sz w:val="24"/>
          <w:szCs w:val="24"/>
          <w:lang w:eastAsia="es-MX"/>
        </w:rPr>
        <w:t xml:space="preserve"> Bustillo Rivera, hija, Ana Luisa Vargas Soto, compañera de hogar, y Juan Carlos </w:t>
      </w:r>
      <w:proofErr w:type="spellStart"/>
      <w:r w:rsidRPr="00E07CC1">
        <w:rPr>
          <w:rFonts w:eastAsiaTheme="majorEastAsia" w:cstheme="minorHAnsi"/>
          <w:sz w:val="24"/>
          <w:szCs w:val="24"/>
          <w:lang w:eastAsia="es-MX"/>
        </w:rPr>
        <w:t>Betancourth</w:t>
      </w:r>
      <w:proofErr w:type="spellEnd"/>
      <w:r w:rsidRPr="00E07CC1">
        <w:rPr>
          <w:rFonts w:eastAsiaTheme="majorEastAsia" w:cstheme="minorHAnsi"/>
          <w:sz w:val="24"/>
          <w:szCs w:val="24"/>
          <w:lang w:eastAsia="es-MX"/>
        </w:rPr>
        <w:t xml:space="preserve"> Hernández, </w:t>
      </w:r>
      <w:proofErr w:type="spellStart"/>
      <w:r w:rsidRPr="00E07CC1">
        <w:rPr>
          <w:rFonts w:eastAsiaTheme="majorEastAsia" w:cstheme="minorHAnsi"/>
          <w:sz w:val="24"/>
          <w:szCs w:val="24"/>
          <w:lang w:eastAsia="es-MX"/>
        </w:rPr>
        <w:t>Manaces</w:t>
      </w:r>
      <w:proofErr w:type="spellEnd"/>
      <w:r w:rsidRPr="00E07CC1">
        <w:rPr>
          <w:rFonts w:eastAsiaTheme="majorEastAsia" w:cstheme="minorHAnsi"/>
          <w:sz w:val="24"/>
          <w:szCs w:val="24"/>
          <w:lang w:eastAsia="es-MX"/>
        </w:rPr>
        <w:t xml:space="preserve"> Betancourt Aguilar, Emma Aracely </w:t>
      </w:r>
      <w:proofErr w:type="spellStart"/>
      <w:r w:rsidRPr="00E07CC1">
        <w:rPr>
          <w:rFonts w:eastAsiaTheme="majorEastAsia" w:cstheme="minorHAnsi"/>
          <w:sz w:val="24"/>
          <w:szCs w:val="24"/>
          <w:lang w:eastAsia="es-MX"/>
        </w:rPr>
        <w:t>Betancourth</w:t>
      </w:r>
      <w:proofErr w:type="spellEnd"/>
      <w:r w:rsidRPr="00E07CC1">
        <w:rPr>
          <w:rFonts w:eastAsiaTheme="majorEastAsia" w:cstheme="minorHAnsi"/>
          <w:sz w:val="24"/>
          <w:szCs w:val="24"/>
          <w:lang w:eastAsia="es-MX"/>
        </w:rPr>
        <w:t xml:space="preserve"> Aguilar, </w:t>
      </w:r>
      <w:proofErr w:type="spellStart"/>
      <w:r w:rsidRPr="00E07CC1">
        <w:rPr>
          <w:rFonts w:eastAsiaTheme="majorEastAsia" w:cstheme="minorHAnsi"/>
          <w:sz w:val="24"/>
          <w:szCs w:val="24"/>
          <w:lang w:eastAsia="es-MX"/>
        </w:rPr>
        <w:t>Enma</w:t>
      </w:r>
      <w:proofErr w:type="spellEnd"/>
      <w:r w:rsidRPr="00E07CC1">
        <w:rPr>
          <w:rFonts w:eastAsiaTheme="majorEastAsia" w:cstheme="minorHAnsi"/>
          <w:sz w:val="24"/>
          <w:szCs w:val="24"/>
          <w:lang w:eastAsia="es-MX"/>
        </w:rPr>
        <w:t xml:space="preserve"> Aracely </w:t>
      </w:r>
      <w:proofErr w:type="spellStart"/>
      <w:r w:rsidRPr="00E07CC1">
        <w:rPr>
          <w:rFonts w:eastAsiaTheme="majorEastAsia" w:cstheme="minorHAnsi"/>
          <w:sz w:val="24"/>
          <w:szCs w:val="24"/>
          <w:lang w:eastAsia="es-MX"/>
        </w:rPr>
        <w:t>Betancourth</w:t>
      </w:r>
      <w:proofErr w:type="spellEnd"/>
      <w:r w:rsidRPr="00E07CC1">
        <w:rPr>
          <w:rFonts w:eastAsiaTheme="majorEastAsia" w:cstheme="minorHAnsi"/>
          <w:sz w:val="24"/>
          <w:szCs w:val="24"/>
          <w:lang w:eastAsia="es-MX"/>
        </w:rPr>
        <w:t xml:space="preserve"> Abarca, y Lilian María Betancourt Álvarez, hermanos; de los familiares de Orlando Álvarez Ríos, Antonia Ríos, madre, y Dilcia Álvarez Ríos, hermana, y de los familiares de Diomedes Obed García Sánchez, Diomedes Tito García Casildo, padre, y Esther Patricia García Sánchez, Jorge Moisés García Sánchez, y Fidelia Sarahí García Sánchez, hermanos, el derecho a las garantías judiciales y a la protección judicial consagrados en los artículos 8.1 y 25.1 de la Convención Americana, en relación con la obligación general de respetar y garantizar los derechos establecida en el artículo 1.1 de dicho tratado.</w:t>
      </w:r>
    </w:p>
    <w:p w14:paraId="2F422A32" w14:textId="77777777" w:rsidR="00E07CC1" w:rsidRPr="00E07CC1" w:rsidRDefault="00E07CC1" w:rsidP="00E07CC1">
      <w:pPr>
        <w:spacing w:after="0" w:line="240" w:lineRule="auto"/>
        <w:jc w:val="both"/>
        <w:rPr>
          <w:rFonts w:eastAsiaTheme="majorEastAsia" w:cstheme="minorHAnsi"/>
          <w:sz w:val="24"/>
          <w:szCs w:val="24"/>
          <w:lang w:eastAsia="es-MX"/>
        </w:rPr>
      </w:pPr>
    </w:p>
    <w:p w14:paraId="0860C4AE" w14:textId="77777777" w:rsidR="00E07CC1" w:rsidRPr="00E07CC1" w:rsidRDefault="00E07CC1" w:rsidP="00E07CC1">
      <w:pPr>
        <w:spacing w:after="0" w:line="240" w:lineRule="auto"/>
        <w:jc w:val="both"/>
        <w:rPr>
          <w:rFonts w:eastAsiaTheme="majorEastAsia" w:cstheme="minorHAnsi"/>
          <w:sz w:val="24"/>
          <w:szCs w:val="24"/>
          <w:lang w:eastAsia="es-MX"/>
        </w:rPr>
      </w:pPr>
    </w:p>
    <w:sectPr w:rsidR="00E07CC1" w:rsidRPr="00E07CC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4962C" w14:textId="77777777" w:rsidR="0090458D" w:rsidRDefault="0090458D" w:rsidP="003625FE">
      <w:pPr>
        <w:spacing w:after="0" w:line="240" w:lineRule="auto"/>
      </w:pPr>
      <w:r>
        <w:separator/>
      </w:r>
    </w:p>
  </w:endnote>
  <w:endnote w:type="continuationSeparator" w:id="0">
    <w:p w14:paraId="08B4496C" w14:textId="77777777" w:rsidR="0090458D" w:rsidRDefault="0090458D" w:rsidP="00362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81270C" w14:textId="77777777" w:rsidR="0090458D" w:rsidRDefault="0090458D" w:rsidP="003625FE">
      <w:pPr>
        <w:spacing w:after="0" w:line="240" w:lineRule="auto"/>
      </w:pPr>
      <w:r>
        <w:separator/>
      </w:r>
    </w:p>
  </w:footnote>
  <w:footnote w:type="continuationSeparator" w:id="0">
    <w:p w14:paraId="2FEF9B2F" w14:textId="77777777" w:rsidR="0090458D" w:rsidRDefault="0090458D" w:rsidP="003625FE">
      <w:pPr>
        <w:spacing w:after="0" w:line="240" w:lineRule="auto"/>
      </w:pPr>
      <w:r>
        <w:continuationSeparator/>
      </w:r>
    </w:p>
  </w:footnote>
  <w:footnote w:id="1">
    <w:p w14:paraId="3D201F19" w14:textId="77777777" w:rsidR="00B57D8F" w:rsidRPr="00F1560D" w:rsidRDefault="00B57D8F" w:rsidP="003625FE">
      <w:pPr>
        <w:pStyle w:val="Textonotapie"/>
        <w:jc w:val="both"/>
        <w:rPr>
          <w:rFonts w:ascii="Arial" w:hAnsi="Arial" w:cs="Arial"/>
          <w:sz w:val="16"/>
          <w:szCs w:val="16"/>
        </w:rPr>
      </w:pPr>
      <w:r w:rsidRPr="00F1560D">
        <w:rPr>
          <w:rStyle w:val="Refdenotaalpie"/>
          <w:rFonts w:ascii="Arial" w:hAnsi="Arial" w:cs="Arial"/>
          <w:sz w:val="16"/>
          <w:szCs w:val="16"/>
        </w:rPr>
        <w:footnoteRef/>
      </w:r>
      <w:r w:rsidRPr="00F1560D">
        <w:rPr>
          <w:rFonts w:ascii="Arial" w:hAnsi="Arial" w:cs="Arial"/>
          <w:sz w:val="16"/>
          <w:szCs w:val="16"/>
        </w:rPr>
        <w:t xml:space="preserve"> </w:t>
      </w:r>
      <w:r w:rsidRPr="00F1560D">
        <w:rPr>
          <w:rFonts w:ascii="Arial" w:hAnsi="Arial" w:cs="Arial"/>
          <w:b/>
          <w:sz w:val="16"/>
          <w:szCs w:val="16"/>
        </w:rPr>
        <w:t xml:space="preserve">a) </w:t>
      </w:r>
      <w:r w:rsidRPr="00F1560D">
        <w:rPr>
          <w:rFonts w:ascii="Arial" w:hAnsi="Arial" w:cs="Arial"/>
          <w:sz w:val="16"/>
          <w:szCs w:val="16"/>
        </w:rPr>
        <w:t>La Directiva 2000/43 del Consejo de la Unión Europea las define como las: “</w:t>
      </w:r>
      <w:r w:rsidRPr="00F1560D">
        <w:rPr>
          <w:rFonts w:ascii="Arial" w:hAnsi="Arial" w:cs="Arial"/>
          <w:i/>
          <w:sz w:val="16"/>
          <w:szCs w:val="16"/>
        </w:rPr>
        <w:t>mediadas específicas para prevenir o compensar las desventajas que afecten a personas de un origen racial o étnico concreto</w:t>
      </w:r>
      <w:r w:rsidRPr="00F1560D">
        <w:rPr>
          <w:rFonts w:ascii="Arial" w:hAnsi="Arial" w:cs="Arial"/>
          <w:sz w:val="16"/>
          <w:szCs w:val="16"/>
        </w:rPr>
        <w:t xml:space="preserve">”; </w:t>
      </w:r>
      <w:r w:rsidRPr="00F1560D">
        <w:rPr>
          <w:rFonts w:ascii="Arial" w:hAnsi="Arial" w:cs="Arial"/>
          <w:b/>
          <w:sz w:val="16"/>
          <w:szCs w:val="16"/>
        </w:rPr>
        <w:t xml:space="preserve">b) </w:t>
      </w:r>
      <w:r w:rsidRPr="00F1560D">
        <w:rPr>
          <w:rFonts w:ascii="Arial" w:hAnsi="Arial" w:cs="Arial"/>
          <w:sz w:val="16"/>
          <w:szCs w:val="16"/>
        </w:rPr>
        <w:t>Marc Bossuyt, en el Informe final que preparó a la Subcomisión de Promoción y Protección de los Derechos Humanos de las Naciones Unidas, titulado “</w:t>
      </w:r>
      <w:r w:rsidRPr="00F1560D">
        <w:rPr>
          <w:rFonts w:ascii="Arial" w:hAnsi="Arial" w:cs="Arial"/>
          <w:i/>
          <w:sz w:val="16"/>
          <w:szCs w:val="16"/>
        </w:rPr>
        <w:t>El concepto y la práctica de la acciones afirmativas</w:t>
      </w:r>
      <w:r w:rsidRPr="00F1560D">
        <w:rPr>
          <w:rFonts w:ascii="Arial" w:hAnsi="Arial" w:cs="Arial"/>
          <w:sz w:val="16"/>
          <w:szCs w:val="16"/>
        </w:rPr>
        <w:t>”, las define como el: “</w:t>
      </w:r>
      <w:r w:rsidRPr="00F1560D">
        <w:rPr>
          <w:rFonts w:ascii="Arial" w:hAnsi="Arial" w:cs="Arial"/>
          <w:i/>
          <w:sz w:val="16"/>
          <w:szCs w:val="16"/>
        </w:rPr>
        <w:t>conjunto coherente de medidas de carácter temporal dirigidas específicamente a remediar la situación de los miembros del grupo a que están destinadas en un aspecto o varios aspectos de su vida social para alcanzar la igualdad efectiva</w:t>
      </w:r>
      <w:r w:rsidRPr="00F1560D">
        <w:rPr>
          <w:rFonts w:ascii="Arial" w:hAnsi="Arial" w:cs="Arial"/>
          <w:sz w:val="16"/>
          <w:szCs w:val="16"/>
        </w:rPr>
        <w:t xml:space="preserve">”; </w:t>
      </w:r>
      <w:r w:rsidRPr="00F1560D">
        <w:rPr>
          <w:rFonts w:ascii="Arial" w:hAnsi="Arial" w:cs="Arial"/>
          <w:b/>
          <w:sz w:val="16"/>
          <w:szCs w:val="16"/>
        </w:rPr>
        <w:t xml:space="preserve">c) </w:t>
      </w:r>
      <w:r w:rsidRPr="00F1560D">
        <w:rPr>
          <w:rFonts w:ascii="Arial" w:hAnsi="Arial" w:cs="Arial"/>
          <w:sz w:val="16"/>
          <w:szCs w:val="16"/>
        </w:rPr>
        <w:t>Por su parte, Michel Rosenfeld define la acción afirmativa como “</w:t>
      </w:r>
      <w:r w:rsidRPr="00F1560D">
        <w:rPr>
          <w:rFonts w:ascii="Arial" w:hAnsi="Arial" w:cs="Arial"/>
          <w:i/>
          <w:sz w:val="16"/>
          <w:szCs w:val="16"/>
        </w:rPr>
        <w:t>un conjunto de acciones y medidas que mediante un trato diferenciado buscan que los miembros de un grupo específico insuficientemente representado, por lo normal grupos que han sufrido discriminación, alcancen un nivel de participación más alto</w:t>
      </w:r>
      <w:r w:rsidRPr="00F1560D">
        <w:rPr>
          <w:rFonts w:ascii="Arial" w:hAnsi="Arial" w:cs="Arial"/>
          <w:sz w:val="16"/>
          <w:szCs w:val="16"/>
        </w:rPr>
        <w:t xml:space="preserve">.”; </w:t>
      </w:r>
      <w:r w:rsidRPr="00F1560D">
        <w:rPr>
          <w:rFonts w:ascii="Arial" w:hAnsi="Arial" w:cs="Arial"/>
          <w:b/>
          <w:sz w:val="16"/>
          <w:szCs w:val="16"/>
        </w:rPr>
        <w:t xml:space="preserve">d) </w:t>
      </w:r>
      <w:r w:rsidRPr="00F1560D">
        <w:rPr>
          <w:rFonts w:ascii="Arial" w:hAnsi="Arial" w:cs="Arial"/>
          <w:sz w:val="16"/>
          <w:szCs w:val="16"/>
        </w:rPr>
        <w:t>Finalmente, Alfonso Ruiz Miguel las define como “</w:t>
      </w:r>
      <w:r w:rsidRPr="00F1560D">
        <w:rPr>
          <w:rFonts w:ascii="Arial" w:hAnsi="Arial" w:cs="Arial"/>
          <w:i/>
          <w:sz w:val="16"/>
          <w:szCs w:val="16"/>
        </w:rPr>
        <w:t>aquellas medidas que tiene el fin de conseguir una mayor igualdad social sustantiva entre grupos sociales con problemas de discriminación o de desigualdad de oportunidades</w:t>
      </w:r>
      <w:r w:rsidRPr="00F1560D">
        <w:rPr>
          <w:rFonts w:ascii="Arial" w:hAnsi="Arial" w:cs="Arial"/>
          <w:sz w:val="16"/>
          <w:szCs w:val="16"/>
        </w:rPr>
        <w:t>”.</w:t>
      </w:r>
    </w:p>
  </w:footnote>
  <w:footnote w:id="2">
    <w:p w14:paraId="1455D016" w14:textId="77777777" w:rsidR="00B57D8F" w:rsidRPr="00CE7A0E" w:rsidRDefault="00B57D8F" w:rsidP="003625FE">
      <w:pPr>
        <w:jc w:val="both"/>
        <w:rPr>
          <w:rFonts w:ascii="Arial" w:hAnsi="Arial" w:cs="Arial"/>
          <w:sz w:val="16"/>
          <w:szCs w:val="16"/>
        </w:rPr>
      </w:pPr>
      <w:r w:rsidRPr="00CE7A0E">
        <w:rPr>
          <w:rStyle w:val="Refdenotaalpie"/>
          <w:rFonts w:ascii="Arial" w:hAnsi="Arial" w:cs="Arial"/>
          <w:sz w:val="16"/>
          <w:szCs w:val="16"/>
        </w:rPr>
        <w:footnoteRef/>
      </w:r>
      <w:r w:rsidRPr="00CE7A0E">
        <w:rPr>
          <w:rFonts w:ascii="Arial" w:hAnsi="Arial" w:cs="Arial"/>
          <w:sz w:val="16"/>
          <w:szCs w:val="16"/>
        </w:rPr>
        <w:t xml:space="preserve"> Párrafo 20 de la “</w:t>
      </w:r>
      <w:r w:rsidRPr="00CE7A0E">
        <w:rPr>
          <w:rFonts w:ascii="Arial" w:hAnsi="Arial" w:cs="Arial"/>
          <w:b/>
          <w:bCs/>
          <w:i/>
          <w:color w:val="000000"/>
          <w:sz w:val="16"/>
          <w:szCs w:val="16"/>
        </w:rPr>
        <w:t>Recomendación general No. 25, sobre el párrafo 1 del artículo 4 de la Convención sobre la eliminación de todas las formas de discriminación contra la mujer, referente a medidas especiales de carácter temporal</w:t>
      </w:r>
      <w:r w:rsidRPr="00CE7A0E">
        <w:rPr>
          <w:rFonts w:ascii="Arial" w:hAnsi="Arial" w:cs="Arial"/>
          <w:b/>
          <w:bCs/>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29B5"/>
    <w:multiLevelType w:val="hybridMultilevel"/>
    <w:tmpl w:val="8CAE6296"/>
    <w:lvl w:ilvl="0" w:tplc="551CA3DA">
      <w:start w:val="1"/>
      <w:numFmt w:val="decimal"/>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551327"/>
    <w:multiLevelType w:val="hybridMultilevel"/>
    <w:tmpl w:val="C1C8A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696C00"/>
    <w:multiLevelType w:val="hybridMultilevel"/>
    <w:tmpl w:val="1AFECB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B72700"/>
    <w:multiLevelType w:val="hybridMultilevel"/>
    <w:tmpl w:val="CB3C78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C82157"/>
    <w:multiLevelType w:val="hybridMultilevel"/>
    <w:tmpl w:val="71DEF0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55F41AF"/>
    <w:multiLevelType w:val="hybridMultilevel"/>
    <w:tmpl w:val="CC1E4DC2"/>
    <w:lvl w:ilvl="0" w:tplc="F6C80FC2">
      <w:start w:val="5"/>
      <w:numFmt w:val="bullet"/>
      <w:lvlText w:val=""/>
      <w:lvlJc w:val="left"/>
      <w:pPr>
        <w:ind w:left="927" w:hanging="360"/>
      </w:pPr>
      <w:rPr>
        <w:rFonts w:ascii="Wingdings" w:eastAsia="Times New Roman" w:hAnsi="Wingdings"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6" w15:restartNumberingAfterBreak="0">
    <w:nsid w:val="41E23719"/>
    <w:multiLevelType w:val="hybridMultilevel"/>
    <w:tmpl w:val="DC8A208C"/>
    <w:lvl w:ilvl="0" w:tplc="DF94C414">
      <w:start w:val="1"/>
      <w:numFmt w:val="lowerLetter"/>
      <w:lvlText w:val="%1)"/>
      <w:lvlJc w:val="left"/>
      <w:pPr>
        <w:ind w:left="927" w:hanging="360"/>
      </w:pPr>
      <w:rPr>
        <w:rFonts w:hint="default"/>
        <w:b/>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7" w15:restartNumberingAfterBreak="0">
    <w:nsid w:val="42E33A4A"/>
    <w:multiLevelType w:val="hybridMultilevel"/>
    <w:tmpl w:val="07828136"/>
    <w:lvl w:ilvl="0" w:tplc="97809AE4">
      <w:start w:val="1"/>
      <w:numFmt w:val="decimal"/>
      <w:lvlText w:val="%1."/>
      <w:lvlJc w:val="left"/>
      <w:pPr>
        <w:ind w:left="644"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10367C"/>
    <w:multiLevelType w:val="hybridMultilevel"/>
    <w:tmpl w:val="025CCB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D6C62E0"/>
    <w:multiLevelType w:val="hybridMultilevel"/>
    <w:tmpl w:val="D1BC97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6AC545E"/>
    <w:multiLevelType w:val="hybridMultilevel"/>
    <w:tmpl w:val="E9AC17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FC02190"/>
    <w:multiLevelType w:val="hybridMultilevel"/>
    <w:tmpl w:val="C0C005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0EB683D"/>
    <w:multiLevelType w:val="hybridMultilevel"/>
    <w:tmpl w:val="7E38A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A124C51"/>
    <w:multiLevelType w:val="hybridMultilevel"/>
    <w:tmpl w:val="12800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10"/>
  </w:num>
  <w:num w:numId="5">
    <w:abstractNumId w:val="3"/>
  </w:num>
  <w:num w:numId="6">
    <w:abstractNumId w:val="13"/>
  </w:num>
  <w:num w:numId="7">
    <w:abstractNumId w:val="8"/>
  </w:num>
  <w:num w:numId="8">
    <w:abstractNumId w:val="12"/>
  </w:num>
  <w:num w:numId="9">
    <w:abstractNumId w:val="5"/>
  </w:num>
  <w:num w:numId="10">
    <w:abstractNumId w:val="9"/>
  </w:num>
  <w:num w:numId="11">
    <w:abstractNumId w:val="2"/>
  </w:num>
  <w:num w:numId="12">
    <w:abstractNumId w:val="11"/>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C90"/>
    <w:rsid w:val="00014ED3"/>
    <w:rsid w:val="000562A9"/>
    <w:rsid w:val="00074FBD"/>
    <w:rsid w:val="000B23EA"/>
    <w:rsid w:val="000D4C29"/>
    <w:rsid w:val="00134CA3"/>
    <w:rsid w:val="00186AD1"/>
    <w:rsid w:val="00263E21"/>
    <w:rsid w:val="002A3616"/>
    <w:rsid w:val="002C16D7"/>
    <w:rsid w:val="002E5FB8"/>
    <w:rsid w:val="003018A0"/>
    <w:rsid w:val="003625FE"/>
    <w:rsid w:val="003634DE"/>
    <w:rsid w:val="003837FD"/>
    <w:rsid w:val="003C40A8"/>
    <w:rsid w:val="00426C90"/>
    <w:rsid w:val="0047190F"/>
    <w:rsid w:val="00482AA6"/>
    <w:rsid w:val="004E0EB1"/>
    <w:rsid w:val="00506946"/>
    <w:rsid w:val="005F2482"/>
    <w:rsid w:val="005F2A10"/>
    <w:rsid w:val="006F168B"/>
    <w:rsid w:val="00790803"/>
    <w:rsid w:val="00794C27"/>
    <w:rsid w:val="007C3DEF"/>
    <w:rsid w:val="008E0BB7"/>
    <w:rsid w:val="0090458D"/>
    <w:rsid w:val="009120FE"/>
    <w:rsid w:val="00927F7E"/>
    <w:rsid w:val="00A53145"/>
    <w:rsid w:val="00A65E1D"/>
    <w:rsid w:val="00A828C0"/>
    <w:rsid w:val="00AA2618"/>
    <w:rsid w:val="00AA369E"/>
    <w:rsid w:val="00AB32EA"/>
    <w:rsid w:val="00AE1DAC"/>
    <w:rsid w:val="00B57D8F"/>
    <w:rsid w:val="00B67C26"/>
    <w:rsid w:val="00BE4079"/>
    <w:rsid w:val="00D033AF"/>
    <w:rsid w:val="00DC1D34"/>
    <w:rsid w:val="00E07CC1"/>
    <w:rsid w:val="00E66FDD"/>
    <w:rsid w:val="00E70F5F"/>
    <w:rsid w:val="00EA005A"/>
    <w:rsid w:val="00EA1E6F"/>
    <w:rsid w:val="00EB683E"/>
    <w:rsid w:val="00ED226E"/>
    <w:rsid w:val="00FC32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C0530"/>
  <w15:chartTrackingRefBased/>
  <w15:docId w15:val="{07A711E4-5657-4D5B-94A4-176F29CF4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08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014ED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D033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26C90"/>
    <w:rPr>
      <w:color w:val="0000FF"/>
      <w:u w:val="single"/>
    </w:rPr>
  </w:style>
  <w:style w:type="paragraph" w:styleId="Prrafodelista">
    <w:name w:val="List Paragraph"/>
    <w:basedOn w:val="Normal"/>
    <w:uiPriority w:val="34"/>
    <w:qFormat/>
    <w:rsid w:val="000B23EA"/>
    <w:pPr>
      <w:ind w:left="720"/>
      <w:contextualSpacing/>
    </w:pPr>
  </w:style>
  <w:style w:type="character" w:customStyle="1" w:styleId="Ttulo1Car">
    <w:name w:val="Título 1 Car"/>
    <w:basedOn w:val="Fuentedeprrafopredeter"/>
    <w:link w:val="Ttulo1"/>
    <w:uiPriority w:val="9"/>
    <w:rsid w:val="00790803"/>
    <w:rPr>
      <w:rFonts w:asciiTheme="majorHAnsi" w:eastAsiaTheme="majorEastAsia" w:hAnsiTheme="majorHAnsi" w:cstheme="majorBidi"/>
      <w:color w:val="2F5496" w:themeColor="accent1" w:themeShade="BF"/>
      <w:sz w:val="32"/>
      <w:szCs w:val="32"/>
    </w:rPr>
  </w:style>
  <w:style w:type="paragraph" w:styleId="Encabezado">
    <w:name w:val="header"/>
    <w:basedOn w:val="Normal"/>
    <w:link w:val="EncabezadoCar"/>
    <w:uiPriority w:val="99"/>
    <w:rsid w:val="003625FE"/>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EncabezadoCar">
    <w:name w:val="Encabezado Car"/>
    <w:basedOn w:val="Fuentedeprrafopredeter"/>
    <w:link w:val="Encabezado"/>
    <w:uiPriority w:val="99"/>
    <w:rsid w:val="003625FE"/>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rsid w:val="003625FE"/>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PiedepginaCar">
    <w:name w:val="Pie de página Car"/>
    <w:basedOn w:val="Fuentedeprrafopredeter"/>
    <w:link w:val="Piedepgina"/>
    <w:uiPriority w:val="99"/>
    <w:rsid w:val="003625FE"/>
    <w:rPr>
      <w:rFonts w:ascii="Times New Roman" w:eastAsia="Times New Roman" w:hAnsi="Times New Roman" w:cs="Times New Roman"/>
      <w:sz w:val="24"/>
      <w:szCs w:val="24"/>
      <w:lang w:eastAsia="es-MX"/>
    </w:rPr>
  </w:style>
  <w:style w:type="character" w:styleId="Nmerodepgina">
    <w:name w:val="page number"/>
    <w:basedOn w:val="Fuentedeprrafopredeter"/>
    <w:uiPriority w:val="99"/>
    <w:rsid w:val="003625FE"/>
    <w:rPr>
      <w:rFonts w:cs="Times New Roman"/>
    </w:rPr>
  </w:style>
  <w:style w:type="character" w:customStyle="1" w:styleId="Cuerpodeltexto">
    <w:name w:val="Cuerpo del texto_"/>
    <w:basedOn w:val="Fuentedeprrafopredeter"/>
    <w:link w:val="Cuerpodeltexto0"/>
    <w:rsid w:val="003625FE"/>
    <w:rPr>
      <w:rFonts w:ascii="Arial" w:eastAsia="Arial" w:hAnsi="Arial" w:cs="Arial"/>
      <w:sz w:val="20"/>
      <w:szCs w:val="20"/>
    </w:rPr>
  </w:style>
  <w:style w:type="character" w:customStyle="1" w:styleId="CuerpodeltextoNegrita">
    <w:name w:val="Cuerpo del texto + Negrita"/>
    <w:basedOn w:val="Cuerpodeltexto"/>
    <w:rsid w:val="003625FE"/>
    <w:rPr>
      <w:rFonts w:ascii="Arial" w:eastAsia="Arial" w:hAnsi="Arial" w:cs="Arial"/>
      <w:b/>
      <w:bCs/>
      <w:color w:val="000000"/>
      <w:spacing w:val="0"/>
      <w:w w:val="100"/>
      <w:position w:val="0"/>
      <w:sz w:val="20"/>
      <w:szCs w:val="20"/>
      <w:lang w:val="es-ES"/>
    </w:rPr>
  </w:style>
  <w:style w:type="character" w:customStyle="1" w:styleId="Cuerpodeltexto4">
    <w:name w:val="Cuerpo del texto (4)_"/>
    <w:basedOn w:val="Fuentedeprrafopredeter"/>
    <w:link w:val="Cuerpodeltexto40"/>
    <w:rsid w:val="003625FE"/>
    <w:rPr>
      <w:rFonts w:ascii="Arial" w:eastAsia="Arial" w:hAnsi="Arial" w:cs="Arial"/>
      <w:b/>
      <w:bCs/>
      <w:sz w:val="20"/>
      <w:szCs w:val="20"/>
    </w:rPr>
  </w:style>
  <w:style w:type="character" w:customStyle="1" w:styleId="Cuerpodeltexto4Sinnegrita">
    <w:name w:val="Cuerpo del texto (4) + Sin negrita"/>
    <w:basedOn w:val="Cuerpodeltexto4"/>
    <w:rsid w:val="003625FE"/>
    <w:rPr>
      <w:rFonts w:ascii="Arial" w:eastAsia="Arial" w:hAnsi="Arial" w:cs="Arial"/>
      <w:b/>
      <w:bCs/>
      <w:color w:val="000000"/>
      <w:spacing w:val="0"/>
      <w:w w:val="100"/>
      <w:position w:val="0"/>
      <w:sz w:val="20"/>
      <w:szCs w:val="20"/>
      <w:lang w:val="es-ES"/>
    </w:rPr>
  </w:style>
  <w:style w:type="paragraph" w:customStyle="1" w:styleId="Cuerpodeltexto0">
    <w:name w:val="Cuerpo del texto"/>
    <w:basedOn w:val="Normal"/>
    <w:link w:val="Cuerpodeltexto"/>
    <w:rsid w:val="003625FE"/>
    <w:pPr>
      <w:widowControl w:val="0"/>
      <w:spacing w:before="240" w:after="0" w:line="245" w:lineRule="exact"/>
      <w:ind w:hanging="280"/>
      <w:jc w:val="both"/>
    </w:pPr>
    <w:rPr>
      <w:rFonts w:ascii="Arial" w:eastAsia="Arial" w:hAnsi="Arial" w:cs="Arial"/>
      <w:sz w:val="20"/>
      <w:szCs w:val="20"/>
    </w:rPr>
  </w:style>
  <w:style w:type="paragraph" w:customStyle="1" w:styleId="Cuerpodeltexto40">
    <w:name w:val="Cuerpo del texto (4)"/>
    <w:basedOn w:val="Normal"/>
    <w:link w:val="Cuerpodeltexto4"/>
    <w:rsid w:val="003625FE"/>
    <w:pPr>
      <w:widowControl w:val="0"/>
      <w:spacing w:after="0" w:line="245" w:lineRule="exact"/>
      <w:ind w:hanging="280"/>
      <w:jc w:val="both"/>
    </w:pPr>
    <w:rPr>
      <w:rFonts w:ascii="Arial" w:eastAsia="Arial" w:hAnsi="Arial" w:cs="Arial"/>
      <w:b/>
      <w:bCs/>
      <w:sz w:val="20"/>
      <w:szCs w:val="20"/>
    </w:rPr>
  </w:style>
  <w:style w:type="paragraph" w:styleId="Textodeglobo">
    <w:name w:val="Balloon Text"/>
    <w:basedOn w:val="Normal"/>
    <w:link w:val="TextodegloboCar"/>
    <w:uiPriority w:val="99"/>
    <w:semiHidden/>
    <w:unhideWhenUsed/>
    <w:rsid w:val="003625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625FE"/>
    <w:rPr>
      <w:rFonts w:ascii="Tahoma" w:hAnsi="Tahoma" w:cs="Tahoma"/>
      <w:sz w:val="16"/>
      <w:szCs w:val="16"/>
    </w:rPr>
  </w:style>
  <w:style w:type="table" w:styleId="Tablaconcuadrcula">
    <w:name w:val="Table Grid"/>
    <w:basedOn w:val="Tablanormal"/>
    <w:uiPriority w:val="59"/>
    <w:rsid w:val="00362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625F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3625FE"/>
    <w:pPr>
      <w:autoSpaceDE w:val="0"/>
      <w:autoSpaceDN w:val="0"/>
      <w:adjustRightInd w:val="0"/>
      <w:spacing w:after="0" w:line="240" w:lineRule="auto"/>
    </w:pPr>
    <w:rPr>
      <w:rFonts w:ascii="Eras Medium ITC" w:hAnsi="Eras Medium ITC" w:cs="Eras Medium ITC"/>
      <w:color w:val="000000"/>
      <w:sz w:val="24"/>
      <w:szCs w:val="24"/>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Ca,FA Fu?notentext, Car"/>
    <w:basedOn w:val="Normal"/>
    <w:link w:val="TextonotapieCar"/>
    <w:uiPriority w:val="99"/>
    <w:rsid w:val="003625FE"/>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Ca Car, Car Car"/>
    <w:basedOn w:val="Fuentedeprrafopredeter"/>
    <w:link w:val="Textonotapie"/>
    <w:uiPriority w:val="99"/>
    <w:rsid w:val="003625FE"/>
    <w:rPr>
      <w:rFonts w:ascii="Times New Roman" w:eastAsia="Times New Roman" w:hAnsi="Times New Roman" w:cs="Times New Roman"/>
      <w:sz w:val="20"/>
      <w:szCs w:val="20"/>
      <w:lang w:eastAsia="es-ES"/>
    </w:rPr>
  </w:style>
  <w:style w:type="character" w:styleId="Refdenotaalpie">
    <w:name w:val="footnote reference"/>
    <w:aliases w:val="Texto de nota al pie,Appel note de bas de page,Footnotes refss,Footnote number,referencia nota al pie,BVI fnr,f,4_G,16 Point,Superscript 6 Point,Footnote Reference Char3,Footnote Reference Char1 Char,Footnote Reference Char Char Char"/>
    <w:basedOn w:val="Fuentedeprrafopredeter"/>
    <w:uiPriority w:val="99"/>
    <w:rsid w:val="003625FE"/>
    <w:rPr>
      <w:vertAlign w:val="superscript"/>
    </w:rPr>
  </w:style>
  <w:style w:type="character" w:customStyle="1" w:styleId="Ttulo3Car">
    <w:name w:val="Título 3 Car"/>
    <w:basedOn w:val="Fuentedeprrafopredeter"/>
    <w:link w:val="Ttulo3"/>
    <w:uiPriority w:val="9"/>
    <w:rsid w:val="00014ED3"/>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D033A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app/tesisjur.aspx?idtesis=IX/2016&amp;tpoBusqueda=S&amp;sWord=Tesis,IX/2016" TargetMode="External"/><Relationship Id="rId3" Type="http://schemas.openxmlformats.org/officeDocument/2006/relationships/settings" Target="settings.xml"/><Relationship Id="rId7" Type="http://schemas.openxmlformats.org/officeDocument/2006/relationships/hyperlink" Target="http://portal.te.gob.mx/colecciones/sentencias/html/SUP/2014/JDC/SUP-JDC-00380-2014.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ortal.te.gob.mx/colecciones/sentencias/html/SUP/2014/JDC/SUP-JDC-00380-2014.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57</Pages>
  <Words>24203</Words>
  <Characters>133119</Characters>
  <Application>Microsoft Office Word</Application>
  <DocSecurity>0</DocSecurity>
  <Lines>1109</Lines>
  <Paragraphs>314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Adriana Sosa</cp:lastModifiedBy>
  <cp:revision>51</cp:revision>
  <dcterms:created xsi:type="dcterms:W3CDTF">2020-11-24T18:16:00Z</dcterms:created>
  <dcterms:modified xsi:type="dcterms:W3CDTF">2020-11-27T18:14:00Z</dcterms:modified>
</cp:coreProperties>
</file>