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00A2D" w14:textId="717243B4" w:rsidR="000E6388" w:rsidRDefault="000E6388" w:rsidP="000C26D4">
      <w:pPr>
        <w:pStyle w:val="Ttulo1"/>
        <w:jc w:val="center"/>
        <w:rPr>
          <w:rFonts w:ascii="Gadugi" w:eastAsia="Times New Roman" w:hAnsi="Gadugi" w:cs="Times New Roman"/>
          <w:b/>
          <w:color w:val="C00000"/>
          <w:sz w:val="24"/>
          <w:szCs w:val="24"/>
          <w:lang w:eastAsia="es-MX"/>
        </w:rPr>
      </w:pPr>
      <w:bookmarkStart w:id="0" w:name="_Hlk56943088"/>
      <w:bookmarkEnd w:id="0"/>
      <w:r w:rsidRPr="000E6388">
        <w:rPr>
          <w:rFonts w:ascii="Gadugi" w:eastAsia="Times New Roman" w:hAnsi="Gadugi" w:cs="Times New Roman"/>
          <w:b/>
          <w:color w:val="C00000"/>
          <w:sz w:val="24"/>
          <w:szCs w:val="24"/>
          <w:lang w:eastAsia="es-MX"/>
        </w:rPr>
        <w:t>TESIS XXVIII/2018</w:t>
      </w:r>
    </w:p>
    <w:p w14:paraId="4E4B1AA6" w14:textId="77777777" w:rsidR="000C26D4" w:rsidRDefault="000C26D4" w:rsidP="000C26D4"/>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0C26D4" w:rsidRPr="00EA6E20" w14:paraId="614D4777" w14:textId="77777777" w:rsidTr="00130123">
        <w:trPr>
          <w:tblCellSpacing w:w="15" w:type="dxa"/>
        </w:trPr>
        <w:tc>
          <w:tcPr>
            <w:tcW w:w="7500" w:type="dxa"/>
            <w:vAlign w:val="center"/>
            <w:hideMark/>
          </w:tcPr>
          <w:p w14:paraId="324A23D4" w14:textId="77777777" w:rsidR="000C26D4" w:rsidRPr="00EA6E20" w:rsidRDefault="000C26D4" w:rsidP="00130123">
            <w:pPr>
              <w:spacing w:after="0" w:line="240" w:lineRule="auto"/>
              <w:rPr>
                <w:rFonts w:ascii="Times New Roman" w:eastAsia="Times New Roman" w:hAnsi="Times New Roman" w:cs="Times New Roman"/>
                <w:b/>
                <w:bCs/>
                <w:color w:val="990000"/>
                <w:sz w:val="24"/>
                <w:szCs w:val="24"/>
                <w:lang w:eastAsia="es-MX"/>
              </w:rPr>
            </w:pPr>
            <w:r w:rsidRPr="00EA6E20">
              <w:rPr>
                <w:rFonts w:ascii="Times New Roman" w:eastAsia="Times New Roman" w:hAnsi="Times New Roman" w:cs="Times New Roman"/>
                <w:b/>
                <w:bCs/>
                <w:sz w:val="24"/>
                <w:szCs w:val="24"/>
                <w:lang w:eastAsia="es-MX"/>
              </w:rPr>
              <w:t>Dato personal y confidencial</w:t>
            </w:r>
            <w:r w:rsidRPr="00EA6E20">
              <w:rPr>
                <w:rFonts w:ascii="Times New Roman" w:eastAsia="Times New Roman" w:hAnsi="Times New Roman" w:cs="Times New Roman"/>
                <w:sz w:val="24"/>
                <w:szCs w:val="24"/>
                <w:lang w:eastAsia="es-MX"/>
              </w:rPr>
              <w:br/>
            </w:r>
            <w:r w:rsidRPr="00EA6E20">
              <w:rPr>
                <w:rFonts w:ascii="Times New Roman" w:eastAsia="Times New Roman" w:hAnsi="Times New Roman" w:cs="Times New Roman"/>
                <w:sz w:val="24"/>
                <w:szCs w:val="24"/>
                <w:lang w:eastAsia="es-MX"/>
              </w:rPr>
              <w:br/>
            </w:r>
            <w:r w:rsidRPr="00EA6E20">
              <w:rPr>
                <w:rFonts w:ascii="Times New Roman" w:eastAsia="Times New Roman" w:hAnsi="Times New Roman" w:cs="Times New Roman"/>
                <w:b/>
                <w:bCs/>
                <w:color w:val="990000"/>
                <w:sz w:val="24"/>
                <w:szCs w:val="24"/>
                <w:lang w:eastAsia="es-MX"/>
              </w:rPr>
              <w:t>Tesis</w:t>
            </w:r>
            <w:r w:rsidRPr="00EA6E20">
              <w:rPr>
                <w:rFonts w:ascii="Times New Roman" w:eastAsia="Times New Roman" w:hAnsi="Times New Roman" w:cs="Times New Roman"/>
                <w:b/>
                <w:bCs/>
                <w:sz w:val="24"/>
                <w:szCs w:val="24"/>
                <w:lang w:eastAsia="es-MX"/>
              </w:rPr>
              <w:t> </w:t>
            </w:r>
            <w:r w:rsidRPr="00EA6E20">
              <w:rPr>
                <w:rFonts w:ascii="Times New Roman" w:eastAsia="Times New Roman" w:hAnsi="Times New Roman" w:cs="Times New Roman"/>
                <w:b/>
                <w:bCs/>
                <w:color w:val="990000"/>
                <w:sz w:val="24"/>
                <w:szCs w:val="24"/>
                <w:lang w:eastAsia="es-MX"/>
              </w:rPr>
              <w:t>XXVIII/2018</w:t>
            </w:r>
            <w:r w:rsidRPr="00EA6E20">
              <w:rPr>
                <w:rFonts w:ascii="Times New Roman" w:eastAsia="Times New Roman" w:hAnsi="Times New Roman" w:cs="Times New Roman"/>
                <w:sz w:val="24"/>
                <w:szCs w:val="24"/>
                <w:lang w:eastAsia="es-MX"/>
              </w:rPr>
              <w:br/>
            </w:r>
          </w:p>
        </w:tc>
      </w:tr>
    </w:tbl>
    <w:p w14:paraId="6CBB9D0F" w14:textId="77777777" w:rsidR="000C26D4" w:rsidRPr="00EA6E20" w:rsidRDefault="000C26D4" w:rsidP="000C26D4">
      <w:pPr>
        <w:shd w:val="clear" w:color="auto" w:fill="FFFFFF"/>
        <w:spacing w:after="0" w:line="240" w:lineRule="auto"/>
        <w:jc w:val="both"/>
        <w:rPr>
          <w:rFonts w:ascii="Arial" w:eastAsia="Times New Roman" w:hAnsi="Arial" w:cs="Arial"/>
          <w:color w:val="000000"/>
          <w:sz w:val="24"/>
          <w:szCs w:val="24"/>
          <w:lang w:eastAsia="es-MX"/>
        </w:rPr>
      </w:pPr>
      <w:r w:rsidRPr="00EA6E20">
        <w:rPr>
          <w:rFonts w:ascii="Arial" w:eastAsia="Times New Roman" w:hAnsi="Arial" w:cs="Arial"/>
          <w:b/>
          <w:bCs/>
          <w:color w:val="000000"/>
          <w:sz w:val="24"/>
          <w:szCs w:val="24"/>
          <w:lang w:eastAsia="es-MX"/>
        </w:rPr>
        <w:t>PERSONAS CON DISCAPACIDAD. LAS AUTORIDADES ELECTORALES TIENEN EL DEBER DE ADOPTAR MEDIDAS QUE GARANTICEN SU EFECTIVO ACCESO A LA JUSTICIA DE ACUERDO CON EL MODELO SOCIAL DE DISCAPACIDAD.- </w:t>
      </w:r>
      <w:r w:rsidRPr="00EA6E20">
        <w:rPr>
          <w:rFonts w:ascii="Arial" w:eastAsia="Times New Roman" w:hAnsi="Arial" w:cs="Arial"/>
          <w:color w:val="000000"/>
          <w:sz w:val="24"/>
          <w:szCs w:val="24"/>
          <w:lang w:eastAsia="es-MX"/>
        </w:rPr>
        <w:t>De conformidad con lo dispuesto en los </w:t>
      </w:r>
      <w:hyperlink r:id="rId7" w:history="1">
        <w:r w:rsidRPr="00EA6E20">
          <w:rPr>
            <w:rFonts w:ascii="Arial" w:eastAsia="Times New Roman" w:hAnsi="Arial" w:cs="Arial"/>
            <w:color w:val="006633"/>
            <w:sz w:val="24"/>
            <w:szCs w:val="24"/>
            <w:u w:val="single"/>
            <w:lang w:eastAsia="es-MX"/>
          </w:rPr>
          <w:t>artículos 1° y 17 de la Constitución Política de los Estados Unidos Mexicanos</w:t>
        </w:r>
      </w:hyperlink>
      <w:r w:rsidRPr="00EA6E20">
        <w:rPr>
          <w:rFonts w:ascii="Arial" w:eastAsia="Times New Roman" w:hAnsi="Arial" w:cs="Arial"/>
          <w:color w:val="000000"/>
          <w:sz w:val="24"/>
          <w:szCs w:val="24"/>
          <w:lang w:eastAsia="es-MX"/>
        </w:rPr>
        <w:t>; </w:t>
      </w:r>
      <w:hyperlink r:id="rId8" w:history="1">
        <w:r w:rsidRPr="00EA6E20">
          <w:rPr>
            <w:rFonts w:ascii="Arial" w:eastAsia="Times New Roman" w:hAnsi="Arial" w:cs="Arial"/>
            <w:color w:val="006633"/>
            <w:sz w:val="24"/>
            <w:szCs w:val="24"/>
            <w:u w:val="single"/>
            <w:lang w:eastAsia="es-MX"/>
          </w:rPr>
          <w:t>2, 4, 5, 13, y 29 de la Convención sobre los Derechos de las Personas con Discapacidad</w:t>
        </w:r>
      </w:hyperlink>
      <w:r w:rsidRPr="00EA6E20">
        <w:rPr>
          <w:rFonts w:ascii="Arial" w:eastAsia="Times New Roman" w:hAnsi="Arial" w:cs="Arial"/>
          <w:color w:val="000000"/>
          <w:sz w:val="24"/>
          <w:szCs w:val="24"/>
          <w:lang w:eastAsia="es-MX"/>
        </w:rPr>
        <w:t>; </w:t>
      </w:r>
      <w:hyperlink r:id="rId9" w:history="1">
        <w:r w:rsidRPr="00EA6E20">
          <w:rPr>
            <w:rFonts w:ascii="Arial" w:eastAsia="Times New Roman" w:hAnsi="Arial" w:cs="Arial"/>
            <w:color w:val="006633"/>
            <w:sz w:val="24"/>
            <w:szCs w:val="24"/>
            <w:u w:val="single"/>
            <w:lang w:eastAsia="es-MX"/>
          </w:rPr>
          <w:t>3 de la Convención Interamericana para la Eliminación de todas las formas de Discriminación contra las Personas con Discapacidad</w:t>
        </w:r>
      </w:hyperlink>
      <w:r w:rsidRPr="00EA6E20">
        <w:rPr>
          <w:rFonts w:ascii="Arial" w:eastAsia="Times New Roman" w:hAnsi="Arial" w:cs="Arial"/>
          <w:color w:val="000000"/>
          <w:sz w:val="24"/>
          <w:szCs w:val="24"/>
          <w:lang w:eastAsia="es-MX"/>
        </w:rPr>
        <w:t>, y con la </w:t>
      </w:r>
      <w:hyperlink r:id="rId10" w:history="1">
        <w:r w:rsidRPr="00EA6E20">
          <w:rPr>
            <w:rFonts w:ascii="Arial" w:eastAsia="Times New Roman" w:hAnsi="Arial" w:cs="Arial"/>
            <w:b/>
            <w:bCs/>
            <w:color w:val="990000"/>
            <w:sz w:val="24"/>
            <w:szCs w:val="24"/>
            <w:lang w:eastAsia="es-MX"/>
          </w:rPr>
          <w:t>tesis</w:t>
        </w:r>
        <w:r w:rsidRPr="00EA6E20">
          <w:rPr>
            <w:rFonts w:ascii="Arial" w:eastAsia="Times New Roman" w:hAnsi="Arial" w:cs="Arial"/>
            <w:color w:val="006633"/>
            <w:sz w:val="24"/>
            <w:szCs w:val="24"/>
            <w:u w:val="single"/>
            <w:lang w:eastAsia="es-MX"/>
          </w:rPr>
          <w:t> de la Primera Sala de la Suprema Corte de Justicia de la Nación, de rubro: “DISCAPACIDAD. SU ANÁLISIS JURÍDICO A LA LUZ DEL MODELO SOCIAL CONSAGRADO EN LA CONVENCIÓN SOBRE LOS DERECHOS DE LAS PERSONAS CON DISCAPACIDAD”</w:t>
        </w:r>
      </w:hyperlink>
      <w:r w:rsidRPr="00EA6E20">
        <w:rPr>
          <w:rFonts w:ascii="Arial" w:eastAsia="Times New Roman" w:hAnsi="Arial" w:cs="Arial"/>
          <w:color w:val="000000"/>
          <w:sz w:val="24"/>
          <w:szCs w:val="24"/>
          <w:lang w:eastAsia="es-MX"/>
        </w:rPr>
        <w:t xml:space="preserve">, todas las autoridades del </w:t>
      </w:r>
      <w:proofErr w:type="gramStart"/>
      <w:r w:rsidRPr="00EA6E20">
        <w:rPr>
          <w:rFonts w:ascii="Arial" w:eastAsia="Times New Roman" w:hAnsi="Arial" w:cs="Arial"/>
          <w:color w:val="000000"/>
          <w:sz w:val="24"/>
          <w:szCs w:val="24"/>
          <w:lang w:eastAsia="es-MX"/>
        </w:rPr>
        <w:t>Estado,</w:t>
      </w:r>
      <w:proofErr w:type="gramEnd"/>
      <w:r w:rsidRPr="00EA6E20">
        <w:rPr>
          <w:rFonts w:ascii="Arial" w:eastAsia="Times New Roman" w:hAnsi="Arial" w:cs="Arial"/>
          <w:color w:val="000000"/>
          <w:sz w:val="24"/>
          <w:szCs w:val="24"/>
          <w:lang w:eastAsia="es-MX"/>
        </w:rPr>
        <w:t xml:space="preserve"> se encuentran obligadas a adoptar las medidas necesarias para garantizar la igualdad sustantiva y estructural, así como la no discriminación de las personas con discapacidad. En términos de lo expuesto, las autoridades jurisdiccionales electorales, deben asegurar el acceso efectivo a la justicia de las personas con discapacidad desde una perspectiva que observe el llamado “modelo social de discapacidad”, con base en el cual se asume que las limitaciones a las que se ven sometidas las personas con discapacidad son generadas por la falta de servicios que tomen en cuenta y atiendan sus necesidades, a efecto de dotarles, en la mayor medida posible, de elementos y condiciones de accesibilidad que garanticen su autonomía; tales como, la asignación de un asesor jurídico, el acondicionamiento estructural de espacios físicos, el acompañamiento de personas de confianza durante el desarrollo del proceso y la emisión de las resoluciones en formatos accesibles, a partir de audios, videos, traducciones al sistema braille, lengua de señas o cualquier otro que atienda de manera efectiva esa finalidad.</w:t>
      </w:r>
    </w:p>
    <w:p w14:paraId="748539D0" w14:textId="77777777" w:rsidR="000C26D4" w:rsidRPr="00EA6E20" w:rsidRDefault="000C26D4" w:rsidP="000C26D4">
      <w:pPr>
        <w:shd w:val="clear" w:color="auto" w:fill="FFFFFF"/>
        <w:spacing w:after="0" w:line="240" w:lineRule="auto"/>
        <w:jc w:val="both"/>
        <w:rPr>
          <w:rFonts w:ascii="Arial" w:eastAsia="Times New Roman" w:hAnsi="Arial" w:cs="Arial"/>
          <w:color w:val="000000"/>
          <w:sz w:val="24"/>
          <w:szCs w:val="24"/>
          <w:lang w:eastAsia="es-MX"/>
        </w:rPr>
      </w:pPr>
      <w:r w:rsidRPr="00EA6E20">
        <w:rPr>
          <w:rFonts w:ascii="Arial" w:eastAsia="Times New Roman" w:hAnsi="Arial" w:cs="Arial"/>
          <w:color w:val="000000"/>
          <w:sz w:val="24"/>
          <w:szCs w:val="24"/>
          <w:lang w:eastAsia="es-MX"/>
        </w:rPr>
        <w:br/>
      </w:r>
      <w:r w:rsidRPr="00EA6E20">
        <w:rPr>
          <w:rFonts w:ascii="Arial" w:eastAsia="Times New Roman" w:hAnsi="Arial" w:cs="Arial"/>
          <w:color w:val="000000"/>
          <w:sz w:val="24"/>
          <w:szCs w:val="24"/>
          <w:lang w:eastAsia="es-MX"/>
        </w:rPr>
        <w:br/>
      </w:r>
      <w:r w:rsidRPr="00EA6E20">
        <w:rPr>
          <w:rFonts w:ascii="Arial" w:eastAsia="Times New Roman" w:hAnsi="Arial" w:cs="Arial"/>
          <w:b/>
          <w:bCs/>
          <w:color w:val="000000"/>
          <w:sz w:val="24"/>
          <w:szCs w:val="24"/>
          <w:lang w:eastAsia="es-MX"/>
        </w:rPr>
        <w:t>Sexta Época:</w:t>
      </w:r>
    </w:p>
    <w:p w14:paraId="3607DA06" w14:textId="77777777" w:rsidR="000C26D4" w:rsidRDefault="000C26D4" w:rsidP="000C26D4">
      <w:pPr>
        <w:shd w:val="clear" w:color="auto" w:fill="FFFFFF"/>
        <w:spacing w:after="0" w:line="240" w:lineRule="auto"/>
        <w:jc w:val="both"/>
        <w:rPr>
          <w:rFonts w:ascii="Arial" w:eastAsia="Times New Roman" w:hAnsi="Arial" w:cs="Arial"/>
          <w:i/>
          <w:iCs/>
          <w:color w:val="000000"/>
          <w:sz w:val="24"/>
          <w:szCs w:val="24"/>
          <w:lang w:eastAsia="es-MX"/>
        </w:rPr>
      </w:pPr>
      <w:r w:rsidRPr="00EA6E20">
        <w:rPr>
          <w:rFonts w:ascii="Arial" w:eastAsia="Times New Roman" w:hAnsi="Arial" w:cs="Arial"/>
          <w:i/>
          <w:iCs/>
          <w:color w:val="000000"/>
          <w:sz w:val="24"/>
          <w:szCs w:val="24"/>
          <w:lang w:eastAsia="es-MX"/>
        </w:rPr>
        <w:br/>
      </w:r>
      <w:r w:rsidRPr="00EA6E20">
        <w:rPr>
          <w:rFonts w:ascii="Arial" w:eastAsia="Times New Roman" w:hAnsi="Arial" w:cs="Arial"/>
          <w:i/>
          <w:iCs/>
          <w:color w:val="000000"/>
          <w:sz w:val="24"/>
          <w:szCs w:val="24"/>
          <w:lang w:eastAsia="es-MX"/>
        </w:rPr>
        <w:br/>
        <w:t>Asunto general. </w:t>
      </w:r>
      <w:hyperlink r:id="rId11" w:tgtFrame="_blank" w:history="1">
        <w:r w:rsidRPr="00EA6E20">
          <w:rPr>
            <w:rFonts w:ascii="Arial" w:eastAsia="Times New Roman" w:hAnsi="Arial" w:cs="Arial"/>
            <w:i/>
            <w:iCs/>
            <w:color w:val="006633"/>
            <w:sz w:val="24"/>
            <w:szCs w:val="24"/>
            <w:u w:val="single"/>
            <w:lang w:eastAsia="es-MX"/>
          </w:rPr>
          <w:t>SUP-AG-92/2017</w:t>
        </w:r>
      </w:hyperlink>
      <w:r w:rsidRPr="00EA6E20">
        <w:rPr>
          <w:rFonts w:ascii="Arial" w:eastAsia="Times New Roman" w:hAnsi="Arial" w:cs="Arial"/>
          <w:i/>
          <w:iCs/>
          <w:color w:val="000000"/>
          <w:sz w:val="24"/>
          <w:szCs w:val="24"/>
          <w:lang w:eastAsia="es-MX"/>
        </w:rPr>
        <w:t xml:space="preserve">.—Actor: Dato personal y </w:t>
      </w:r>
      <w:proofErr w:type="gramStart"/>
      <w:r w:rsidRPr="00EA6E20">
        <w:rPr>
          <w:rFonts w:ascii="Arial" w:eastAsia="Times New Roman" w:hAnsi="Arial" w:cs="Arial"/>
          <w:i/>
          <w:iCs/>
          <w:color w:val="000000"/>
          <w:sz w:val="24"/>
          <w:szCs w:val="24"/>
          <w:lang w:eastAsia="es-MX"/>
        </w:rPr>
        <w:t>confidencial.—</w:t>
      </w:r>
      <w:proofErr w:type="gramEnd"/>
      <w:r w:rsidRPr="00EA6E20">
        <w:rPr>
          <w:rFonts w:ascii="Arial" w:eastAsia="Times New Roman" w:hAnsi="Arial" w:cs="Arial"/>
          <w:i/>
          <w:iCs/>
          <w:color w:val="000000"/>
          <w:sz w:val="24"/>
          <w:szCs w:val="24"/>
          <w:lang w:eastAsia="es-MX"/>
        </w:rPr>
        <w:t xml:space="preserve">20 de diciembre de 2017.—Unanimidad de votos.—Ponente: Mónica </w:t>
      </w:r>
      <w:proofErr w:type="spellStart"/>
      <w:r w:rsidRPr="00EA6E20">
        <w:rPr>
          <w:rFonts w:ascii="Arial" w:eastAsia="Times New Roman" w:hAnsi="Arial" w:cs="Arial"/>
          <w:i/>
          <w:iCs/>
          <w:color w:val="000000"/>
          <w:sz w:val="24"/>
          <w:szCs w:val="24"/>
          <w:lang w:eastAsia="es-MX"/>
        </w:rPr>
        <w:t>Aralí</w:t>
      </w:r>
      <w:proofErr w:type="spellEnd"/>
      <w:r w:rsidRPr="00EA6E20">
        <w:rPr>
          <w:rFonts w:ascii="Arial" w:eastAsia="Times New Roman" w:hAnsi="Arial" w:cs="Arial"/>
          <w:i/>
          <w:iCs/>
          <w:color w:val="000000"/>
          <w:sz w:val="24"/>
          <w:szCs w:val="24"/>
          <w:lang w:eastAsia="es-MX"/>
        </w:rPr>
        <w:t xml:space="preserve"> Soto Fregoso, en cuya ausencia hizo suyo el proyecto la Magistrada Presidenta Janine M. Otálora </w:t>
      </w:r>
      <w:proofErr w:type="spellStart"/>
      <w:r w:rsidRPr="00EA6E20">
        <w:rPr>
          <w:rFonts w:ascii="Arial" w:eastAsia="Times New Roman" w:hAnsi="Arial" w:cs="Arial"/>
          <w:i/>
          <w:iCs/>
          <w:color w:val="000000"/>
          <w:sz w:val="24"/>
          <w:szCs w:val="24"/>
          <w:lang w:eastAsia="es-MX"/>
        </w:rPr>
        <w:t>Malassis</w:t>
      </w:r>
      <w:proofErr w:type="spellEnd"/>
      <w:r w:rsidRPr="00EA6E20">
        <w:rPr>
          <w:rFonts w:ascii="Arial" w:eastAsia="Times New Roman" w:hAnsi="Arial" w:cs="Arial"/>
          <w:i/>
          <w:iCs/>
          <w:color w:val="000000"/>
          <w:sz w:val="24"/>
          <w:szCs w:val="24"/>
          <w:lang w:eastAsia="es-MX"/>
        </w:rPr>
        <w:t xml:space="preserve">.—Ausente: Mónica </w:t>
      </w:r>
      <w:proofErr w:type="spellStart"/>
      <w:r w:rsidRPr="00EA6E20">
        <w:rPr>
          <w:rFonts w:ascii="Arial" w:eastAsia="Times New Roman" w:hAnsi="Arial" w:cs="Arial"/>
          <w:i/>
          <w:iCs/>
          <w:color w:val="000000"/>
          <w:sz w:val="24"/>
          <w:szCs w:val="24"/>
          <w:lang w:eastAsia="es-MX"/>
        </w:rPr>
        <w:t>Aralí</w:t>
      </w:r>
      <w:proofErr w:type="spellEnd"/>
      <w:r w:rsidRPr="00EA6E20">
        <w:rPr>
          <w:rFonts w:ascii="Arial" w:eastAsia="Times New Roman" w:hAnsi="Arial" w:cs="Arial"/>
          <w:i/>
          <w:iCs/>
          <w:color w:val="000000"/>
          <w:sz w:val="24"/>
          <w:szCs w:val="24"/>
          <w:lang w:eastAsia="es-MX"/>
        </w:rPr>
        <w:t xml:space="preserve"> Soto Fregoso.—Secretaria: María Fernanda Sánchez Rubio.</w:t>
      </w:r>
    </w:p>
    <w:p w14:paraId="6643DC96" w14:textId="77777777" w:rsidR="000C26D4" w:rsidRPr="00EA6E20" w:rsidRDefault="000C26D4" w:rsidP="000C26D4">
      <w:pPr>
        <w:shd w:val="clear" w:color="auto" w:fill="FFFFFF"/>
        <w:spacing w:after="0" w:line="240" w:lineRule="auto"/>
        <w:jc w:val="both"/>
        <w:rPr>
          <w:rFonts w:ascii="Arial" w:eastAsia="Times New Roman" w:hAnsi="Arial" w:cs="Arial"/>
          <w:color w:val="000000"/>
          <w:sz w:val="24"/>
          <w:szCs w:val="24"/>
          <w:lang w:eastAsia="es-MX"/>
        </w:rPr>
      </w:pPr>
      <w:r w:rsidRPr="00EA6E20">
        <w:rPr>
          <w:rFonts w:ascii="Arial" w:eastAsia="Times New Roman" w:hAnsi="Arial" w:cs="Arial"/>
          <w:i/>
          <w:iCs/>
          <w:color w:val="000000"/>
          <w:sz w:val="24"/>
          <w:szCs w:val="24"/>
          <w:lang w:eastAsia="es-MX"/>
        </w:rPr>
        <w:br/>
      </w:r>
      <w:r w:rsidRPr="00EA6E20">
        <w:rPr>
          <w:rFonts w:ascii="Arial" w:eastAsia="Times New Roman" w:hAnsi="Arial" w:cs="Arial"/>
          <w:i/>
          <w:iCs/>
          <w:color w:val="000000"/>
          <w:sz w:val="24"/>
          <w:szCs w:val="24"/>
          <w:lang w:eastAsia="es-MX"/>
        </w:rPr>
        <w:br/>
        <w:t>Asunto general. </w:t>
      </w:r>
      <w:hyperlink r:id="rId12" w:tgtFrame="_blank" w:history="1">
        <w:r w:rsidRPr="00EA6E20">
          <w:rPr>
            <w:rFonts w:ascii="Arial" w:eastAsia="Times New Roman" w:hAnsi="Arial" w:cs="Arial"/>
            <w:i/>
            <w:iCs/>
            <w:color w:val="006633"/>
            <w:sz w:val="24"/>
            <w:szCs w:val="24"/>
            <w:u w:val="single"/>
            <w:lang w:eastAsia="es-MX"/>
          </w:rPr>
          <w:t>SUP-AG-40/2018</w:t>
        </w:r>
      </w:hyperlink>
      <w:r w:rsidRPr="00EA6E20">
        <w:rPr>
          <w:rFonts w:ascii="Arial" w:eastAsia="Times New Roman" w:hAnsi="Arial" w:cs="Arial"/>
          <w:i/>
          <w:iCs/>
          <w:color w:val="000000"/>
          <w:sz w:val="24"/>
          <w:szCs w:val="24"/>
          <w:lang w:eastAsia="es-MX"/>
        </w:rPr>
        <w:t xml:space="preserve"> Acuerdo de </w:t>
      </w:r>
      <w:proofErr w:type="gramStart"/>
      <w:r w:rsidRPr="00EA6E20">
        <w:rPr>
          <w:rFonts w:ascii="Arial" w:eastAsia="Times New Roman" w:hAnsi="Arial" w:cs="Arial"/>
          <w:i/>
          <w:iCs/>
          <w:color w:val="000000"/>
          <w:sz w:val="24"/>
          <w:szCs w:val="24"/>
          <w:lang w:eastAsia="es-MX"/>
        </w:rPr>
        <w:t>Sala.—</w:t>
      </w:r>
      <w:proofErr w:type="gramEnd"/>
      <w:r w:rsidRPr="00EA6E20">
        <w:rPr>
          <w:rFonts w:ascii="Arial" w:eastAsia="Times New Roman" w:hAnsi="Arial" w:cs="Arial"/>
          <w:i/>
          <w:iCs/>
          <w:color w:val="000000"/>
          <w:sz w:val="24"/>
          <w:szCs w:val="24"/>
          <w:lang w:eastAsia="es-MX"/>
        </w:rPr>
        <w:t xml:space="preserve">Actor: Roque Alberto Velázquez Galindo.—Autoridad responsable: Partido Encuentro Social.—24 de abril </w:t>
      </w:r>
      <w:r w:rsidRPr="00EA6E20">
        <w:rPr>
          <w:rFonts w:ascii="Arial" w:eastAsia="Times New Roman" w:hAnsi="Arial" w:cs="Arial"/>
          <w:i/>
          <w:iCs/>
          <w:color w:val="000000"/>
          <w:sz w:val="24"/>
          <w:szCs w:val="24"/>
          <w:lang w:eastAsia="es-MX"/>
        </w:rPr>
        <w:lastRenderedPageBreak/>
        <w:t xml:space="preserve">de 2018.—Unanimidad de votos.—Ponente: Janine M. Otálora </w:t>
      </w:r>
      <w:proofErr w:type="spellStart"/>
      <w:r w:rsidRPr="00EA6E20">
        <w:rPr>
          <w:rFonts w:ascii="Arial" w:eastAsia="Times New Roman" w:hAnsi="Arial" w:cs="Arial"/>
          <w:i/>
          <w:iCs/>
          <w:color w:val="000000"/>
          <w:sz w:val="24"/>
          <w:szCs w:val="24"/>
          <w:lang w:eastAsia="es-MX"/>
        </w:rPr>
        <w:t>Malassis</w:t>
      </w:r>
      <w:proofErr w:type="spellEnd"/>
      <w:r w:rsidRPr="00EA6E20">
        <w:rPr>
          <w:rFonts w:ascii="Arial" w:eastAsia="Times New Roman" w:hAnsi="Arial" w:cs="Arial"/>
          <w:i/>
          <w:iCs/>
          <w:color w:val="000000"/>
          <w:sz w:val="24"/>
          <w:szCs w:val="24"/>
          <w:lang w:eastAsia="es-MX"/>
        </w:rPr>
        <w:t>.—Secretario: Genaro Escobar Ambriz.</w:t>
      </w:r>
    </w:p>
    <w:p w14:paraId="54726079" w14:textId="77777777" w:rsidR="000C26D4" w:rsidRPr="00EA6E20" w:rsidRDefault="000C26D4" w:rsidP="000C26D4">
      <w:pPr>
        <w:shd w:val="clear" w:color="auto" w:fill="FFFFFF"/>
        <w:spacing w:after="0" w:line="240" w:lineRule="auto"/>
        <w:jc w:val="both"/>
        <w:rPr>
          <w:rFonts w:ascii="Arial" w:eastAsia="Times New Roman" w:hAnsi="Arial" w:cs="Arial"/>
          <w:color w:val="000000"/>
          <w:sz w:val="24"/>
          <w:szCs w:val="24"/>
          <w:lang w:eastAsia="es-MX"/>
        </w:rPr>
      </w:pPr>
      <w:r w:rsidRPr="00EA6E20">
        <w:rPr>
          <w:rFonts w:ascii="Arial" w:eastAsia="Times New Roman" w:hAnsi="Arial" w:cs="Arial"/>
          <w:color w:val="000000"/>
          <w:sz w:val="24"/>
          <w:szCs w:val="24"/>
          <w:lang w:eastAsia="es-MX"/>
        </w:rPr>
        <w:br/>
      </w:r>
      <w:r w:rsidRPr="00EA6E20">
        <w:rPr>
          <w:rFonts w:ascii="Arial" w:eastAsia="Times New Roman" w:hAnsi="Arial" w:cs="Arial"/>
          <w:color w:val="000000"/>
          <w:sz w:val="24"/>
          <w:szCs w:val="24"/>
          <w:lang w:eastAsia="es-MX"/>
        </w:rPr>
        <w:br/>
      </w:r>
      <w:r w:rsidRPr="00EA6E20">
        <w:rPr>
          <w:rFonts w:ascii="Arial" w:eastAsia="Times New Roman" w:hAnsi="Arial" w:cs="Arial"/>
          <w:b/>
          <w:bCs/>
          <w:color w:val="000000"/>
          <w:sz w:val="24"/>
          <w:szCs w:val="24"/>
          <w:lang w:eastAsia="es-MX"/>
        </w:rPr>
        <w:t>La Sala Superior en sesión pública celebrada el tres de agosto de dos mil dieciocho, aprobó por unanimidad de votos la </w:t>
      </w:r>
      <w:r w:rsidRPr="00EA6E20">
        <w:rPr>
          <w:rFonts w:ascii="Arial" w:eastAsia="Times New Roman" w:hAnsi="Arial" w:cs="Arial"/>
          <w:b/>
          <w:bCs/>
          <w:color w:val="990000"/>
          <w:sz w:val="24"/>
          <w:szCs w:val="24"/>
          <w:lang w:eastAsia="es-MX"/>
        </w:rPr>
        <w:t>tesis</w:t>
      </w:r>
      <w:r w:rsidRPr="00EA6E20">
        <w:rPr>
          <w:rFonts w:ascii="Arial" w:eastAsia="Times New Roman" w:hAnsi="Arial" w:cs="Arial"/>
          <w:b/>
          <w:bCs/>
          <w:color w:val="000000"/>
          <w:sz w:val="24"/>
          <w:szCs w:val="24"/>
          <w:lang w:eastAsia="es-MX"/>
        </w:rPr>
        <w:t> que antecede.</w:t>
      </w:r>
      <w:r w:rsidRPr="00EA6E20">
        <w:rPr>
          <w:rFonts w:ascii="Arial" w:eastAsia="Times New Roman" w:hAnsi="Arial" w:cs="Arial"/>
          <w:color w:val="000000"/>
          <w:sz w:val="24"/>
          <w:szCs w:val="24"/>
          <w:lang w:eastAsia="es-MX"/>
        </w:rPr>
        <w:br/>
      </w:r>
      <w:r w:rsidRPr="00EA6E20">
        <w:rPr>
          <w:rFonts w:ascii="Arial" w:eastAsia="Times New Roman" w:hAnsi="Arial" w:cs="Arial"/>
          <w:color w:val="000000"/>
          <w:sz w:val="24"/>
          <w:szCs w:val="24"/>
          <w:lang w:eastAsia="es-MX"/>
        </w:rPr>
        <w:br/>
      </w:r>
      <w:r w:rsidRPr="00EA6E20">
        <w:rPr>
          <w:rFonts w:ascii="Arial" w:eastAsia="Times New Roman" w:hAnsi="Arial" w:cs="Arial"/>
          <w:color w:val="000000"/>
          <w:sz w:val="24"/>
          <w:szCs w:val="24"/>
          <w:lang w:eastAsia="es-MX"/>
        </w:rPr>
        <w:br/>
      </w:r>
      <w:r w:rsidRPr="00EA6E20">
        <w:rPr>
          <w:rFonts w:ascii="Arial" w:eastAsia="Times New Roman" w:hAnsi="Arial" w:cs="Arial"/>
          <w:b/>
          <w:bCs/>
          <w:color w:val="000000"/>
          <w:sz w:val="24"/>
          <w:szCs w:val="24"/>
          <w:lang w:eastAsia="es-MX"/>
        </w:rPr>
        <w:t>Gaceta de Jurisprudencia y </w:t>
      </w:r>
      <w:r w:rsidRPr="00EA6E20">
        <w:rPr>
          <w:rFonts w:ascii="Arial" w:eastAsia="Times New Roman" w:hAnsi="Arial" w:cs="Arial"/>
          <w:b/>
          <w:bCs/>
          <w:color w:val="990000"/>
          <w:sz w:val="24"/>
          <w:szCs w:val="24"/>
          <w:lang w:eastAsia="es-MX"/>
        </w:rPr>
        <w:t>Tesis</w:t>
      </w:r>
      <w:r w:rsidRPr="00EA6E20">
        <w:rPr>
          <w:rFonts w:ascii="Arial" w:eastAsia="Times New Roman" w:hAnsi="Arial" w:cs="Arial"/>
          <w:b/>
          <w:bCs/>
          <w:color w:val="000000"/>
          <w:sz w:val="24"/>
          <w:szCs w:val="24"/>
          <w:lang w:eastAsia="es-MX"/>
        </w:rPr>
        <w:t> en materia electoral, Tribunal Electoral del Poder Judicial de la Federación, Año 11, Número 22, 2018, páginas 34 y 35.</w:t>
      </w:r>
      <w:r w:rsidRPr="00EA6E20">
        <w:rPr>
          <w:rFonts w:ascii="Arial" w:eastAsia="Times New Roman" w:hAnsi="Arial" w:cs="Arial"/>
          <w:color w:val="000000"/>
          <w:sz w:val="24"/>
          <w:szCs w:val="24"/>
          <w:lang w:eastAsia="es-MX"/>
        </w:rPr>
        <w:br/>
      </w:r>
    </w:p>
    <w:p w14:paraId="5530A1B0" w14:textId="02DD90CE" w:rsidR="003837FD" w:rsidRDefault="003837FD" w:rsidP="00574A21"/>
    <w:p w14:paraId="0908F19A" w14:textId="24A12585" w:rsidR="00EA6E20" w:rsidRPr="00EA6E20" w:rsidRDefault="00EA6E20" w:rsidP="00F3260C">
      <w:pPr>
        <w:pStyle w:val="Ttulo2"/>
        <w:numPr>
          <w:ilvl w:val="0"/>
          <w:numId w:val="2"/>
        </w:numPr>
        <w:rPr>
          <w:rFonts w:ascii="Gadugi" w:eastAsia="Times New Roman" w:hAnsi="Gadugi" w:cs="Times New Roman"/>
          <w:b/>
          <w:color w:val="C00000"/>
          <w:sz w:val="24"/>
          <w:szCs w:val="24"/>
          <w:lang w:eastAsia="es-MX"/>
        </w:rPr>
      </w:pPr>
      <w:r w:rsidRPr="00EA6E20">
        <w:rPr>
          <w:rFonts w:ascii="Gadugi" w:eastAsia="Times New Roman" w:hAnsi="Gadugi" w:cs="Times New Roman"/>
          <w:b/>
          <w:color w:val="auto"/>
          <w:sz w:val="24"/>
          <w:szCs w:val="24"/>
          <w:lang w:eastAsia="es-MX"/>
        </w:rPr>
        <w:t>SENTENCIA</w:t>
      </w:r>
      <w:r w:rsidRPr="00EA6E20">
        <w:rPr>
          <w:rFonts w:ascii="Gadugi" w:eastAsia="Times New Roman" w:hAnsi="Gadugi" w:cs="Times New Roman"/>
          <w:b/>
          <w:color w:val="C00000"/>
          <w:sz w:val="24"/>
          <w:szCs w:val="24"/>
          <w:lang w:eastAsia="es-MX"/>
        </w:rPr>
        <w:t xml:space="preserve"> </w:t>
      </w:r>
      <w:hyperlink r:id="rId13" w:tgtFrame="_blank" w:history="1">
        <w:r w:rsidRPr="00EA6E20">
          <w:rPr>
            <w:rFonts w:ascii="Gadugi" w:eastAsia="Times New Roman" w:hAnsi="Gadugi" w:cs="Times New Roman"/>
            <w:b/>
            <w:color w:val="C00000"/>
            <w:sz w:val="24"/>
            <w:szCs w:val="24"/>
            <w:lang w:eastAsia="es-MX"/>
          </w:rPr>
          <w:t>SUP-AG-92/2017</w:t>
        </w:r>
      </w:hyperlink>
    </w:p>
    <w:p w14:paraId="1429447E" w14:textId="0E3550AC" w:rsidR="000C26D4" w:rsidRDefault="000C26D4" w:rsidP="000C26D4">
      <w:pPr>
        <w:rPr>
          <w:lang w:eastAsia="es-MX"/>
        </w:rPr>
      </w:pPr>
    </w:p>
    <w:p w14:paraId="470FB272" w14:textId="77777777" w:rsidR="00375FEA" w:rsidRDefault="00375FEA" w:rsidP="00375FEA">
      <w:pPr>
        <w:spacing w:after="0" w:line="240" w:lineRule="auto"/>
        <w:ind w:left="3402"/>
        <w:jc w:val="both"/>
        <w:rPr>
          <w:rFonts w:ascii="Century Gothic" w:hAnsi="Century Gothic" w:cs="Arial"/>
          <w:b/>
          <w:bCs/>
          <w:sz w:val="27"/>
          <w:szCs w:val="27"/>
        </w:rPr>
      </w:pPr>
      <w:r>
        <w:rPr>
          <w:lang w:eastAsia="es-MX"/>
        </w:rPr>
        <w:tab/>
      </w:r>
    </w:p>
    <w:p w14:paraId="403DA4CB" w14:textId="77777777" w:rsidR="00375FEA" w:rsidRPr="00375FEA" w:rsidRDefault="00375FEA" w:rsidP="00375FEA">
      <w:pPr>
        <w:spacing w:after="0" w:line="240" w:lineRule="auto"/>
        <w:ind w:left="3402"/>
        <w:jc w:val="both"/>
        <w:rPr>
          <w:rFonts w:ascii="Century Gothic" w:hAnsi="Century Gothic" w:cs="Arial"/>
          <w:b/>
          <w:bCs/>
          <w:sz w:val="24"/>
          <w:szCs w:val="24"/>
        </w:rPr>
      </w:pPr>
      <w:r w:rsidRPr="00375FEA">
        <w:rPr>
          <w:rFonts w:ascii="Century Gothic" w:hAnsi="Century Gothic" w:cs="Arial"/>
          <w:b/>
          <w:bCs/>
          <w:sz w:val="24"/>
          <w:szCs w:val="24"/>
        </w:rPr>
        <w:t>ASUNTO GENERAL</w:t>
      </w:r>
    </w:p>
    <w:p w14:paraId="17E7D05F" w14:textId="77777777" w:rsidR="00375FEA" w:rsidRPr="00375FEA" w:rsidRDefault="00375FEA" w:rsidP="00375FEA">
      <w:pPr>
        <w:spacing w:after="0" w:line="240" w:lineRule="auto"/>
        <w:ind w:left="3402"/>
        <w:rPr>
          <w:rFonts w:ascii="Century Gothic" w:hAnsi="Century Gothic" w:cs="Arial"/>
          <w:b/>
          <w:bCs/>
          <w:sz w:val="24"/>
          <w:szCs w:val="24"/>
        </w:rPr>
      </w:pPr>
    </w:p>
    <w:p w14:paraId="33319112" w14:textId="77777777" w:rsidR="00375FEA" w:rsidRPr="00375FEA" w:rsidRDefault="00375FEA" w:rsidP="00375FEA">
      <w:pPr>
        <w:spacing w:after="0" w:line="240" w:lineRule="auto"/>
        <w:ind w:left="3402"/>
        <w:jc w:val="both"/>
        <w:rPr>
          <w:rFonts w:ascii="Century Gothic" w:hAnsi="Century Gothic" w:cs="Arial"/>
          <w:b/>
          <w:bCs/>
          <w:sz w:val="24"/>
          <w:szCs w:val="24"/>
          <w:lang w:val="pt-BR"/>
        </w:rPr>
      </w:pPr>
      <w:r w:rsidRPr="00375FEA">
        <w:rPr>
          <w:rFonts w:ascii="Century Gothic" w:hAnsi="Century Gothic" w:cs="Arial"/>
          <w:b/>
          <w:bCs/>
          <w:sz w:val="24"/>
          <w:szCs w:val="24"/>
          <w:lang w:val="pt-BR"/>
        </w:rPr>
        <w:t xml:space="preserve">EXPEDIENTE: </w:t>
      </w:r>
      <w:r w:rsidRPr="00375FEA">
        <w:rPr>
          <w:rFonts w:ascii="Century Gothic" w:hAnsi="Century Gothic" w:cs="Arial"/>
          <w:bCs/>
          <w:sz w:val="24"/>
          <w:szCs w:val="24"/>
          <w:lang w:val="pt-BR"/>
        </w:rPr>
        <w:t>SUP-AG-92/2017</w:t>
      </w:r>
    </w:p>
    <w:p w14:paraId="0F974119" w14:textId="6B52C5C7" w:rsidR="00375FEA" w:rsidRPr="00AD23C0" w:rsidRDefault="00375FEA" w:rsidP="00375FEA">
      <w:pPr>
        <w:spacing w:after="0" w:line="240" w:lineRule="auto"/>
        <w:ind w:left="3402"/>
        <w:rPr>
          <w:rFonts w:ascii="Century Gothic" w:hAnsi="Century Gothic" w:cs="Arial"/>
          <w:b/>
          <w:bCs/>
          <w:sz w:val="28"/>
          <w:szCs w:val="27"/>
          <w:lang w:val="pt-BR"/>
        </w:rPr>
      </w:pPr>
      <w:r w:rsidRPr="00375FEA">
        <w:rPr>
          <w:rFonts w:ascii="Arial" w:hAnsi="Arial" w:cs="Arial"/>
          <w:noProof/>
          <w:sz w:val="24"/>
          <w:szCs w:val="24"/>
          <w:lang w:eastAsia="es-MX"/>
        </w:rPr>
        <w:drawing>
          <wp:anchor distT="0" distB="0" distL="114300" distR="114300" simplePos="0" relativeHeight="251658240" behindDoc="1" locked="0" layoutInCell="1" allowOverlap="1" wp14:anchorId="5DE523CB" wp14:editId="4911243F">
            <wp:simplePos x="0" y="0"/>
            <wp:positionH relativeFrom="column">
              <wp:posOffset>2920365</wp:posOffset>
            </wp:positionH>
            <wp:positionV relativeFrom="paragraph">
              <wp:posOffset>100330</wp:posOffset>
            </wp:positionV>
            <wp:extent cx="1981200" cy="438150"/>
            <wp:effectExtent l="0" t="0" r="0" b="0"/>
            <wp:wrapTight wrapText="bothSides">
              <wp:wrapPolygon edited="0">
                <wp:start x="0" y="0"/>
                <wp:lineTo x="0" y="20661"/>
                <wp:lineTo x="21392" y="20661"/>
                <wp:lineTo x="2139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14:sizeRelH relativeFrom="page">
              <wp14:pctWidth>0</wp14:pctWidth>
            </wp14:sizeRelH>
            <wp14:sizeRelV relativeFrom="page">
              <wp14:pctHeight>0</wp14:pctHeight>
            </wp14:sizeRelV>
          </wp:anchor>
        </w:drawing>
      </w:r>
    </w:p>
    <w:p w14:paraId="38A92297" w14:textId="2CE22961" w:rsidR="00375FEA" w:rsidRPr="00375FEA" w:rsidRDefault="00375FEA" w:rsidP="00375FEA">
      <w:pPr>
        <w:spacing w:after="0" w:line="240" w:lineRule="auto"/>
        <w:ind w:left="3402"/>
        <w:jc w:val="both"/>
        <w:rPr>
          <w:rFonts w:ascii="Century Gothic" w:hAnsi="Century Gothic" w:cs="Arial"/>
          <w:bCs/>
          <w:sz w:val="24"/>
          <w:szCs w:val="24"/>
        </w:rPr>
      </w:pPr>
      <w:r w:rsidRPr="00375FEA">
        <w:rPr>
          <w:rFonts w:ascii="Century Gothic" w:hAnsi="Century Gothic" w:cs="Arial"/>
          <w:b/>
          <w:bCs/>
          <w:sz w:val="24"/>
          <w:szCs w:val="24"/>
        </w:rPr>
        <w:t xml:space="preserve">ACTOR: </w:t>
      </w:r>
    </w:p>
    <w:p w14:paraId="4BA0D1C6" w14:textId="6F9CBEDB" w:rsidR="00375FEA" w:rsidRPr="00375FEA" w:rsidRDefault="00375FEA" w:rsidP="00375FEA">
      <w:pPr>
        <w:spacing w:after="0" w:line="240" w:lineRule="auto"/>
        <w:rPr>
          <w:rFonts w:ascii="Century Gothic" w:hAnsi="Century Gothic" w:cs="Arial"/>
          <w:b/>
          <w:bCs/>
          <w:sz w:val="24"/>
          <w:szCs w:val="24"/>
        </w:rPr>
      </w:pPr>
    </w:p>
    <w:p w14:paraId="739C6760" w14:textId="77777777" w:rsidR="00375FEA" w:rsidRPr="00375FEA" w:rsidRDefault="00375FEA" w:rsidP="00375FEA">
      <w:pPr>
        <w:spacing w:after="0" w:line="240" w:lineRule="auto"/>
        <w:ind w:left="3402"/>
        <w:jc w:val="both"/>
        <w:rPr>
          <w:rFonts w:ascii="Century Gothic" w:hAnsi="Century Gothic" w:cs="Arial"/>
          <w:b/>
          <w:bCs/>
          <w:sz w:val="24"/>
          <w:szCs w:val="24"/>
        </w:rPr>
      </w:pPr>
      <w:r w:rsidRPr="00375FEA">
        <w:rPr>
          <w:rFonts w:ascii="Century Gothic" w:hAnsi="Century Gothic" w:cs="Arial"/>
          <w:b/>
          <w:bCs/>
          <w:sz w:val="24"/>
          <w:szCs w:val="24"/>
        </w:rPr>
        <w:t xml:space="preserve">MAGISTRADA ELECTORAL: </w:t>
      </w:r>
      <w:r w:rsidRPr="00375FEA">
        <w:rPr>
          <w:rFonts w:ascii="Century Gothic" w:hAnsi="Century Gothic" w:cs="Arial"/>
          <w:bCs/>
          <w:sz w:val="24"/>
          <w:szCs w:val="24"/>
        </w:rPr>
        <w:t>MÓNICA ARALÍ SOTO FREGOSO</w:t>
      </w:r>
    </w:p>
    <w:p w14:paraId="5236D4E5" w14:textId="77777777" w:rsidR="00375FEA" w:rsidRPr="00375FEA" w:rsidRDefault="00375FEA" w:rsidP="00375FEA">
      <w:pPr>
        <w:spacing w:after="0" w:line="240" w:lineRule="auto"/>
        <w:ind w:left="3402"/>
        <w:rPr>
          <w:rFonts w:ascii="Century Gothic" w:hAnsi="Century Gothic" w:cs="Arial"/>
          <w:b/>
          <w:bCs/>
          <w:sz w:val="24"/>
          <w:szCs w:val="24"/>
        </w:rPr>
      </w:pPr>
    </w:p>
    <w:p w14:paraId="1C923B52" w14:textId="77777777" w:rsidR="00375FEA" w:rsidRPr="00375FEA" w:rsidRDefault="00375FEA" w:rsidP="00375FEA">
      <w:pPr>
        <w:spacing w:after="0" w:line="240" w:lineRule="auto"/>
        <w:ind w:left="3402"/>
        <w:jc w:val="both"/>
        <w:rPr>
          <w:rFonts w:ascii="Century Gothic" w:hAnsi="Century Gothic" w:cs="Arial"/>
          <w:b/>
          <w:bCs/>
          <w:sz w:val="24"/>
          <w:szCs w:val="24"/>
        </w:rPr>
      </w:pPr>
      <w:r w:rsidRPr="00375FEA">
        <w:rPr>
          <w:rFonts w:ascii="Century Gothic" w:hAnsi="Century Gothic" w:cs="Arial"/>
          <w:b/>
          <w:bCs/>
          <w:sz w:val="24"/>
          <w:szCs w:val="24"/>
        </w:rPr>
        <w:t xml:space="preserve">SECRETARIA: </w:t>
      </w:r>
      <w:r w:rsidRPr="00375FEA">
        <w:rPr>
          <w:rFonts w:ascii="Century Gothic" w:hAnsi="Century Gothic" w:cs="Arial"/>
          <w:bCs/>
          <w:sz w:val="24"/>
          <w:szCs w:val="24"/>
        </w:rPr>
        <w:t xml:space="preserve">MARÍA FERNANDA SÁNCHEZ RUBIO </w:t>
      </w:r>
    </w:p>
    <w:p w14:paraId="30FA825F" w14:textId="77777777" w:rsidR="00375FEA" w:rsidRPr="00AD23C0" w:rsidRDefault="00375FEA" w:rsidP="00375FEA">
      <w:pPr>
        <w:spacing w:after="0" w:line="240" w:lineRule="auto"/>
        <w:jc w:val="both"/>
        <w:rPr>
          <w:rFonts w:ascii="Century Gothic" w:hAnsi="Century Gothic" w:cs="Arial"/>
          <w:position w:val="6"/>
          <w:sz w:val="28"/>
          <w:szCs w:val="27"/>
          <w:lang w:eastAsia="es-MX"/>
        </w:rPr>
      </w:pPr>
    </w:p>
    <w:p w14:paraId="1568383A" w14:textId="77777777" w:rsidR="00375FEA" w:rsidRPr="00AA6F8E" w:rsidRDefault="00375FEA" w:rsidP="00375FEA">
      <w:pPr>
        <w:spacing w:after="0" w:line="240" w:lineRule="auto"/>
        <w:jc w:val="both"/>
        <w:rPr>
          <w:rFonts w:ascii="Century Gothic" w:hAnsi="Century Gothic" w:cs="Arial"/>
          <w:position w:val="6"/>
          <w:sz w:val="24"/>
          <w:szCs w:val="24"/>
          <w:lang w:eastAsia="es-MX"/>
        </w:rPr>
      </w:pPr>
      <w:r w:rsidRPr="00AA6F8E">
        <w:rPr>
          <w:rFonts w:ascii="Century Gothic" w:hAnsi="Century Gothic" w:cs="Arial"/>
          <w:position w:val="6"/>
          <w:sz w:val="24"/>
          <w:szCs w:val="24"/>
          <w:lang w:eastAsia="es-MX"/>
        </w:rPr>
        <w:t xml:space="preserve">Ciudad de México, a veinte de diciembre de dos mil diecisiete.  </w:t>
      </w:r>
    </w:p>
    <w:p w14:paraId="5A41C802" w14:textId="77777777" w:rsidR="00375FEA" w:rsidRPr="00AA6F8E" w:rsidRDefault="00375FEA" w:rsidP="00375FEA">
      <w:pPr>
        <w:spacing w:after="0" w:line="240" w:lineRule="auto"/>
        <w:jc w:val="both"/>
        <w:rPr>
          <w:rFonts w:ascii="Century Gothic" w:hAnsi="Century Gothic"/>
          <w:sz w:val="24"/>
          <w:szCs w:val="24"/>
          <w:lang w:eastAsia="es-MX"/>
        </w:rPr>
      </w:pPr>
    </w:p>
    <w:p w14:paraId="28A2E4BF" w14:textId="77777777" w:rsidR="00375FEA" w:rsidRPr="00AA6F8E" w:rsidRDefault="00375FEA" w:rsidP="00375FEA">
      <w:pPr>
        <w:spacing w:after="0" w:line="240" w:lineRule="auto"/>
        <w:jc w:val="both"/>
        <w:rPr>
          <w:rFonts w:ascii="Century Gothic" w:hAnsi="Century Gothic"/>
          <w:sz w:val="24"/>
          <w:szCs w:val="24"/>
          <w:lang w:eastAsia="es-MX"/>
        </w:rPr>
      </w:pPr>
      <w:r w:rsidRPr="00AA6F8E">
        <w:rPr>
          <w:rFonts w:ascii="Century Gothic" w:hAnsi="Century Gothic"/>
          <w:sz w:val="24"/>
          <w:szCs w:val="24"/>
          <w:lang w:eastAsia="es-MX"/>
        </w:rPr>
        <w:t xml:space="preserve">En el asunto general indicado al rubro, la Sala Superior del Tribunal Electoral del Poder Judicial de la Federación, </w:t>
      </w:r>
      <w:r w:rsidRPr="00AA6F8E">
        <w:rPr>
          <w:rFonts w:ascii="Century Gothic" w:hAnsi="Century Gothic"/>
          <w:b/>
          <w:sz w:val="24"/>
          <w:szCs w:val="24"/>
          <w:lang w:eastAsia="es-MX"/>
        </w:rPr>
        <w:t>RESUELVE</w:t>
      </w:r>
      <w:r w:rsidRPr="00AA6F8E">
        <w:rPr>
          <w:rFonts w:ascii="Century Gothic" w:hAnsi="Century Gothic"/>
          <w:sz w:val="24"/>
          <w:szCs w:val="24"/>
          <w:lang w:eastAsia="es-MX"/>
        </w:rPr>
        <w:t xml:space="preserve"> desechar de plano la demanda presentada por el actor.  </w:t>
      </w:r>
    </w:p>
    <w:p w14:paraId="0C2E3C12" w14:textId="77777777" w:rsidR="00375FEA" w:rsidRPr="00AA6F8E" w:rsidRDefault="00375FEA" w:rsidP="00375FEA">
      <w:pPr>
        <w:spacing w:after="0" w:line="240" w:lineRule="auto"/>
        <w:rPr>
          <w:rFonts w:ascii="Century Gothic" w:hAnsi="Century Gothic" w:cs="Arial"/>
          <w:b/>
          <w:bCs/>
          <w:position w:val="6"/>
          <w:sz w:val="24"/>
          <w:szCs w:val="24"/>
          <w:lang w:eastAsia="es-MX"/>
        </w:rPr>
      </w:pPr>
    </w:p>
    <w:p w14:paraId="64C3395B" w14:textId="77777777" w:rsidR="00375FEA" w:rsidRPr="00AA6F8E" w:rsidRDefault="00375FEA" w:rsidP="00375FEA">
      <w:pPr>
        <w:spacing w:after="0" w:line="240" w:lineRule="auto"/>
        <w:rPr>
          <w:rFonts w:ascii="Century Gothic" w:hAnsi="Century Gothic" w:cs="Arial"/>
          <w:b/>
          <w:bCs/>
          <w:position w:val="6"/>
          <w:sz w:val="24"/>
          <w:szCs w:val="24"/>
          <w:lang w:eastAsia="es-MX"/>
        </w:rPr>
      </w:pPr>
      <w:r w:rsidRPr="00AA6F8E">
        <w:rPr>
          <w:rFonts w:ascii="Century Gothic" w:hAnsi="Century Gothic" w:cs="Arial"/>
          <w:b/>
          <w:bCs/>
          <w:position w:val="6"/>
          <w:sz w:val="24"/>
          <w:szCs w:val="24"/>
          <w:lang w:eastAsia="es-MX"/>
        </w:rPr>
        <w:t>ANTECEDENTES</w:t>
      </w:r>
    </w:p>
    <w:p w14:paraId="307C4874" w14:textId="77777777" w:rsidR="00375FEA" w:rsidRPr="00AA6F8E" w:rsidRDefault="00375FEA" w:rsidP="00375FEA">
      <w:pPr>
        <w:spacing w:after="0" w:line="240" w:lineRule="auto"/>
        <w:rPr>
          <w:rFonts w:ascii="Century Gothic" w:hAnsi="Century Gothic" w:cs="Arial"/>
          <w:b/>
          <w:bCs/>
          <w:position w:val="6"/>
          <w:sz w:val="24"/>
          <w:szCs w:val="24"/>
          <w:lang w:eastAsia="es-MX"/>
        </w:rPr>
      </w:pPr>
    </w:p>
    <w:p w14:paraId="2AF44F4D" w14:textId="77777777" w:rsidR="00375FEA" w:rsidRPr="00AA6F8E" w:rsidRDefault="00375FEA" w:rsidP="00375FEA">
      <w:pPr>
        <w:spacing w:after="0" w:line="240" w:lineRule="auto"/>
        <w:jc w:val="both"/>
        <w:rPr>
          <w:rFonts w:ascii="Century Gothic" w:hAnsi="Century Gothic" w:cs="Arial"/>
          <w:bCs/>
          <w:position w:val="6"/>
          <w:sz w:val="24"/>
          <w:szCs w:val="24"/>
          <w:lang w:eastAsia="es-MX"/>
        </w:rPr>
      </w:pPr>
      <w:r w:rsidRPr="00AA6F8E">
        <w:rPr>
          <w:rFonts w:ascii="Century Gothic" w:hAnsi="Century Gothic" w:cs="Arial"/>
          <w:bCs/>
          <w:position w:val="6"/>
          <w:sz w:val="24"/>
          <w:szCs w:val="24"/>
          <w:lang w:eastAsia="es-MX"/>
        </w:rPr>
        <w:t>Del escrito de demanda y de las constancias del expediente se advierten los hechos siguientes:</w:t>
      </w:r>
    </w:p>
    <w:p w14:paraId="7993098C" w14:textId="77777777" w:rsidR="00375FEA" w:rsidRPr="00AA6F8E" w:rsidRDefault="00375FEA" w:rsidP="00375FEA">
      <w:pPr>
        <w:pStyle w:val="Sinespaciado"/>
        <w:jc w:val="both"/>
        <w:rPr>
          <w:rFonts w:ascii="Century Gothic" w:hAnsi="Century Gothic" w:cs="Arial"/>
          <w:bCs/>
          <w:position w:val="6"/>
          <w:lang w:eastAsia="es-MX"/>
        </w:rPr>
      </w:pPr>
    </w:p>
    <w:p w14:paraId="18E23221" w14:textId="77777777" w:rsidR="00375FEA" w:rsidRPr="00AA6F8E" w:rsidRDefault="00375FEA" w:rsidP="00375FEA">
      <w:pPr>
        <w:pStyle w:val="Sinespaciado"/>
        <w:jc w:val="both"/>
        <w:rPr>
          <w:rFonts w:ascii="Century Gothic" w:hAnsi="Century Gothic" w:cs="Arial"/>
          <w:bCs/>
          <w:position w:val="6"/>
          <w:lang w:eastAsia="es-MX"/>
        </w:rPr>
      </w:pPr>
      <w:r w:rsidRPr="00AA6F8E">
        <w:rPr>
          <w:rFonts w:ascii="Century Gothic" w:hAnsi="Century Gothic" w:cs="Arial"/>
          <w:b/>
          <w:bCs/>
          <w:position w:val="6"/>
          <w:lang w:eastAsia="es-MX"/>
        </w:rPr>
        <w:t xml:space="preserve">I. Recepción del medio de impugnación. </w:t>
      </w:r>
      <w:r w:rsidRPr="00AA6F8E">
        <w:rPr>
          <w:rFonts w:ascii="Century Gothic" w:hAnsi="Century Gothic" w:cs="Arial"/>
          <w:bCs/>
          <w:position w:val="6"/>
          <w:lang w:eastAsia="es-MX"/>
        </w:rPr>
        <w:t xml:space="preserve">El veintiséis de septiembre del presente año, se recibió en la Oficialía de Partes de esta Sala Superior, escrito por medio del cual </w:t>
      </w:r>
      <w:r w:rsidRPr="00AA6F8E">
        <w:rPr>
          <w:rFonts w:ascii="Arial" w:hAnsi="Arial" w:cs="Arial"/>
          <w:noProof/>
          <w:lang w:val="es-MX" w:eastAsia="es-MX"/>
        </w:rPr>
        <w:drawing>
          <wp:inline distT="0" distB="0" distL="0" distR="0" wp14:anchorId="5F97AACD" wp14:editId="5880610C">
            <wp:extent cx="19812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inline>
        </w:drawing>
      </w:r>
      <w:r w:rsidRPr="00AA6F8E">
        <w:rPr>
          <w:rFonts w:ascii="Century Gothic" w:hAnsi="Century Gothic" w:cs="Arial"/>
          <w:bCs/>
          <w:position w:val="6"/>
          <w:lang w:eastAsia="es-MX"/>
        </w:rPr>
        <w:t xml:space="preserve">promovió “juicio de amparo </w:t>
      </w:r>
      <w:r w:rsidRPr="00AA6F8E">
        <w:rPr>
          <w:rFonts w:ascii="Century Gothic" w:hAnsi="Century Gothic" w:cs="Arial"/>
          <w:bCs/>
          <w:position w:val="6"/>
          <w:lang w:eastAsia="es-MX"/>
        </w:rPr>
        <w:lastRenderedPageBreak/>
        <w:t xml:space="preserve">directo” contra actos de omisión en el “Código Federal de Instituciones y Procedimientos Electorales”. </w:t>
      </w:r>
    </w:p>
    <w:p w14:paraId="38A9CF9D" w14:textId="77777777" w:rsidR="00375FEA" w:rsidRPr="00AA6F8E" w:rsidRDefault="00375FEA" w:rsidP="00375FEA">
      <w:pPr>
        <w:pStyle w:val="Sinespaciado"/>
        <w:jc w:val="both"/>
        <w:rPr>
          <w:rFonts w:ascii="Century Gothic" w:hAnsi="Century Gothic" w:cs="Arial"/>
          <w:bCs/>
          <w:position w:val="6"/>
          <w:lang w:eastAsia="es-MX"/>
        </w:rPr>
      </w:pPr>
    </w:p>
    <w:p w14:paraId="658E99A4" w14:textId="77777777" w:rsidR="00375FEA" w:rsidRPr="00AA6F8E" w:rsidRDefault="00375FEA" w:rsidP="00375FEA">
      <w:pPr>
        <w:pStyle w:val="Sinespaciado"/>
        <w:jc w:val="both"/>
        <w:rPr>
          <w:rFonts w:ascii="Century Gothic" w:hAnsi="Century Gothic" w:cs="Arial"/>
          <w:bCs/>
          <w:position w:val="6"/>
          <w:lang w:eastAsia="es-MX"/>
        </w:rPr>
      </w:pPr>
      <w:r w:rsidRPr="00AA6F8E">
        <w:rPr>
          <w:rFonts w:ascii="Century Gothic" w:hAnsi="Century Gothic" w:cs="Arial"/>
          <w:bCs/>
          <w:position w:val="6"/>
          <w:lang w:eastAsia="es-MX"/>
        </w:rPr>
        <w:t xml:space="preserve">En dicho escrito manifestó ser una persona con discapacidad mental, y solicitó, entre otras cuestiones, que se le asignara un defensor público. </w:t>
      </w:r>
    </w:p>
    <w:p w14:paraId="2AA92017" w14:textId="77777777" w:rsidR="00375FEA" w:rsidRPr="00AA6F8E" w:rsidRDefault="00375FEA" w:rsidP="00375FEA">
      <w:pPr>
        <w:pStyle w:val="Sinespaciado"/>
        <w:jc w:val="both"/>
        <w:rPr>
          <w:rFonts w:ascii="Century Gothic" w:hAnsi="Century Gothic" w:cs="Arial"/>
          <w:bCs/>
          <w:position w:val="6"/>
          <w:lang w:eastAsia="es-MX"/>
        </w:rPr>
      </w:pPr>
    </w:p>
    <w:p w14:paraId="3540E155" w14:textId="77777777" w:rsidR="00375FEA" w:rsidRPr="00AA6F8E" w:rsidRDefault="00375FEA" w:rsidP="00375FEA">
      <w:pPr>
        <w:pStyle w:val="Sinespaciado"/>
        <w:jc w:val="both"/>
        <w:rPr>
          <w:rFonts w:ascii="Century Gothic" w:hAnsi="Century Gothic" w:cs="Arial"/>
          <w:bCs/>
          <w:position w:val="6"/>
          <w:lang w:eastAsia="es-MX"/>
        </w:rPr>
      </w:pPr>
      <w:r w:rsidRPr="00AA6F8E">
        <w:rPr>
          <w:rFonts w:ascii="Century Gothic" w:hAnsi="Century Gothic" w:cs="Arial"/>
          <w:b/>
          <w:bCs/>
          <w:position w:val="6"/>
          <w:lang w:eastAsia="es-MX"/>
        </w:rPr>
        <w:t xml:space="preserve">II. Integración, registro y turno. </w:t>
      </w:r>
      <w:r w:rsidRPr="00AA6F8E">
        <w:rPr>
          <w:rFonts w:ascii="Century Gothic" w:hAnsi="Century Gothic" w:cs="Arial"/>
          <w:bCs/>
          <w:position w:val="6"/>
          <w:lang w:eastAsia="es-MX"/>
        </w:rPr>
        <w:t xml:space="preserve">El mismo veintiséis de septiembre, la Magistrada Presidenta acordó integrar el expediente SUP-AG-92/2017, y lo turnó a la ponencia de la Magistrada Mónica </w:t>
      </w:r>
      <w:proofErr w:type="spellStart"/>
      <w:r w:rsidRPr="00AA6F8E">
        <w:rPr>
          <w:rFonts w:ascii="Century Gothic" w:hAnsi="Century Gothic" w:cs="Arial"/>
          <w:bCs/>
          <w:position w:val="6"/>
          <w:lang w:eastAsia="es-MX"/>
        </w:rPr>
        <w:t>Aralí</w:t>
      </w:r>
      <w:proofErr w:type="spellEnd"/>
      <w:r w:rsidRPr="00AA6F8E">
        <w:rPr>
          <w:rFonts w:ascii="Century Gothic" w:hAnsi="Century Gothic" w:cs="Arial"/>
          <w:bCs/>
          <w:position w:val="6"/>
          <w:lang w:eastAsia="es-MX"/>
        </w:rPr>
        <w:t xml:space="preserve"> Soto Fregoso para que acordara lo que en derecho proceda y, en su caso, sustanciara el procedimiento respectivo para proponer a la Sala la resolución que corresponda.  </w:t>
      </w:r>
    </w:p>
    <w:p w14:paraId="15113E97" w14:textId="77777777" w:rsidR="00375FEA" w:rsidRPr="00AA6F8E" w:rsidRDefault="00375FEA" w:rsidP="00375FEA">
      <w:pPr>
        <w:pStyle w:val="Sinespaciado"/>
        <w:jc w:val="both"/>
        <w:rPr>
          <w:rFonts w:ascii="Century Gothic" w:hAnsi="Century Gothic" w:cs="Arial"/>
          <w:bCs/>
          <w:position w:val="6"/>
          <w:lang w:eastAsia="es-MX"/>
        </w:rPr>
      </w:pPr>
    </w:p>
    <w:p w14:paraId="519AEFFC" w14:textId="77777777" w:rsidR="00375FEA" w:rsidRPr="00AA6F8E" w:rsidRDefault="00375FEA" w:rsidP="00375FEA">
      <w:pPr>
        <w:pStyle w:val="Sinespaciado"/>
        <w:jc w:val="both"/>
        <w:rPr>
          <w:rFonts w:ascii="Century Gothic" w:hAnsi="Century Gothic" w:cs="Arial"/>
          <w:bCs/>
          <w:position w:val="6"/>
          <w:lang w:eastAsia="es-MX"/>
        </w:rPr>
      </w:pPr>
      <w:r w:rsidRPr="00AA6F8E">
        <w:rPr>
          <w:rFonts w:ascii="Century Gothic" w:hAnsi="Century Gothic" w:cs="Arial"/>
          <w:bCs/>
          <w:position w:val="6"/>
          <w:lang w:eastAsia="es-MX"/>
        </w:rPr>
        <w:t>Dicho acuerdo fue cumplimentado por la Secretaria General de Acuerdos mediante oficio de turno TEPJF-SGA-6045/17.</w:t>
      </w:r>
    </w:p>
    <w:p w14:paraId="3FF57B2D" w14:textId="77777777" w:rsidR="00375FEA" w:rsidRPr="00AA6F8E" w:rsidRDefault="00375FEA" w:rsidP="00375FEA">
      <w:pPr>
        <w:pStyle w:val="Sinespaciado"/>
        <w:jc w:val="both"/>
        <w:rPr>
          <w:rFonts w:ascii="Century Gothic" w:hAnsi="Century Gothic" w:cs="Arial"/>
          <w:bCs/>
          <w:position w:val="6"/>
          <w:lang w:eastAsia="es-MX"/>
        </w:rPr>
      </w:pPr>
    </w:p>
    <w:p w14:paraId="47834503" w14:textId="77777777" w:rsidR="00375FEA" w:rsidRPr="00C84245" w:rsidRDefault="00375FEA" w:rsidP="00375FEA">
      <w:pPr>
        <w:pStyle w:val="Sinespaciado"/>
        <w:jc w:val="both"/>
        <w:rPr>
          <w:rFonts w:ascii="Century Gothic" w:hAnsi="Century Gothic" w:cs="Arial"/>
          <w:b/>
          <w:bCs/>
          <w:position w:val="6"/>
          <w:lang w:eastAsia="es-MX"/>
        </w:rPr>
      </w:pPr>
      <w:r w:rsidRPr="00C84245">
        <w:rPr>
          <w:rFonts w:ascii="Century Gothic" w:hAnsi="Century Gothic" w:cs="Arial"/>
          <w:b/>
          <w:bCs/>
          <w:position w:val="6"/>
          <w:lang w:eastAsia="es-MX"/>
        </w:rPr>
        <w:t xml:space="preserve">III. Trámite como Asunto General. </w:t>
      </w:r>
    </w:p>
    <w:p w14:paraId="11FB71DD" w14:textId="77777777" w:rsidR="00375FEA" w:rsidRPr="00C84245" w:rsidRDefault="00375FEA" w:rsidP="00375FEA">
      <w:pPr>
        <w:pStyle w:val="Sinespaciado"/>
        <w:jc w:val="both"/>
        <w:rPr>
          <w:rFonts w:ascii="Century Gothic" w:hAnsi="Century Gothic" w:cs="Arial"/>
          <w:b/>
          <w:bCs/>
          <w:position w:val="6"/>
          <w:lang w:eastAsia="es-MX"/>
        </w:rPr>
      </w:pPr>
    </w:p>
    <w:p w14:paraId="764BE2BB" w14:textId="77777777" w:rsidR="00375FEA" w:rsidRPr="00C84245" w:rsidRDefault="00375FEA" w:rsidP="00375FEA">
      <w:pPr>
        <w:pStyle w:val="Sinespaciado"/>
        <w:jc w:val="both"/>
        <w:rPr>
          <w:rFonts w:ascii="Century Gothic" w:hAnsi="Century Gothic" w:cs="Arial"/>
          <w:bCs/>
          <w:position w:val="6"/>
          <w:lang w:eastAsia="es-MX"/>
        </w:rPr>
      </w:pPr>
      <w:r w:rsidRPr="00C84245">
        <w:rPr>
          <w:rFonts w:ascii="Century Gothic" w:hAnsi="Century Gothic" w:cs="Arial"/>
          <w:b/>
          <w:bCs/>
          <w:position w:val="6"/>
          <w:lang w:eastAsia="es-MX"/>
        </w:rPr>
        <w:t xml:space="preserve">1. Radicación. </w:t>
      </w:r>
      <w:r w:rsidRPr="00C84245">
        <w:rPr>
          <w:rFonts w:ascii="Century Gothic" w:hAnsi="Century Gothic" w:cs="Arial"/>
          <w:bCs/>
          <w:position w:val="6"/>
          <w:lang w:eastAsia="es-MX"/>
        </w:rPr>
        <w:t>El veinte de octubre siguiente, la Magistrada Instructora radicó en su ponencia el expediente SUP-AG-92/2017. Además, tuvo por recibidos diversos escritos presentados por el actor, en los cuales:</w:t>
      </w:r>
    </w:p>
    <w:p w14:paraId="584609A8" w14:textId="77777777" w:rsidR="00375FEA" w:rsidRPr="00C84245" w:rsidRDefault="00375FEA" w:rsidP="00375FEA">
      <w:pPr>
        <w:pStyle w:val="Sinespaciado"/>
        <w:numPr>
          <w:ilvl w:val="0"/>
          <w:numId w:val="3"/>
        </w:numPr>
        <w:jc w:val="both"/>
        <w:rPr>
          <w:rFonts w:ascii="Century Gothic" w:hAnsi="Century Gothic" w:cs="Arial"/>
          <w:bCs/>
          <w:position w:val="6"/>
          <w:lang w:eastAsia="es-MX"/>
        </w:rPr>
      </w:pPr>
      <w:r w:rsidRPr="00C84245">
        <w:rPr>
          <w:rFonts w:ascii="Century Gothic" w:hAnsi="Century Gothic" w:cs="Arial"/>
          <w:bCs/>
          <w:position w:val="6"/>
          <w:lang w:eastAsia="es-MX"/>
        </w:rPr>
        <w:t>Solicitó la ampliación de su demanda;</w:t>
      </w:r>
    </w:p>
    <w:p w14:paraId="11ED5743" w14:textId="77777777" w:rsidR="00375FEA" w:rsidRPr="00C84245" w:rsidRDefault="00375FEA" w:rsidP="00375FEA">
      <w:pPr>
        <w:pStyle w:val="Sinespaciado"/>
        <w:numPr>
          <w:ilvl w:val="0"/>
          <w:numId w:val="3"/>
        </w:numPr>
        <w:jc w:val="both"/>
        <w:rPr>
          <w:rFonts w:ascii="Century Gothic" w:hAnsi="Century Gothic" w:cs="Arial"/>
          <w:bCs/>
          <w:position w:val="6"/>
          <w:lang w:eastAsia="es-MX"/>
        </w:rPr>
      </w:pPr>
      <w:r w:rsidRPr="00C84245">
        <w:rPr>
          <w:rFonts w:ascii="Century Gothic" w:hAnsi="Century Gothic" w:cs="Arial"/>
          <w:bCs/>
          <w:position w:val="6"/>
          <w:lang w:eastAsia="es-MX"/>
        </w:rPr>
        <w:t>Solicitó la suspensión del acto reclamado; y</w:t>
      </w:r>
    </w:p>
    <w:p w14:paraId="59396806" w14:textId="77777777" w:rsidR="00375FEA" w:rsidRPr="00C84245" w:rsidRDefault="00375FEA" w:rsidP="00375FEA">
      <w:pPr>
        <w:pStyle w:val="Sinespaciado"/>
        <w:numPr>
          <w:ilvl w:val="0"/>
          <w:numId w:val="3"/>
        </w:numPr>
        <w:jc w:val="both"/>
        <w:rPr>
          <w:rFonts w:ascii="Century Gothic" w:hAnsi="Century Gothic" w:cs="Arial"/>
          <w:bCs/>
          <w:position w:val="6"/>
          <w:lang w:eastAsia="es-MX"/>
        </w:rPr>
      </w:pPr>
      <w:r w:rsidRPr="00C84245">
        <w:rPr>
          <w:rFonts w:ascii="Century Gothic" w:hAnsi="Century Gothic" w:cs="Arial"/>
          <w:bCs/>
          <w:position w:val="6"/>
          <w:lang w:eastAsia="es-MX"/>
        </w:rPr>
        <w:t xml:space="preserve">Reiteró su petición de que se le asignara un asesor jurídico. </w:t>
      </w:r>
    </w:p>
    <w:p w14:paraId="0A58A159" w14:textId="77777777" w:rsidR="00375FEA" w:rsidRPr="00C84245" w:rsidRDefault="00375FEA" w:rsidP="00375FEA">
      <w:pPr>
        <w:pStyle w:val="Sinespaciado"/>
        <w:jc w:val="both"/>
        <w:rPr>
          <w:rFonts w:ascii="Century Gothic" w:hAnsi="Century Gothic" w:cs="Arial"/>
          <w:bCs/>
          <w:position w:val="6"/>
          <w:lang w:eastAsia="es-MX"/>
        </w:rPr>
      </w:pPr>
    </w:p>
    <w:p w14:paraId="05328DC8" w14:textId="77777777" w:rsidR="00375FEA" w:rsidRPr="00C84245" w:rsidRDefault="00375FEA" w:rsidP="00375FEA">
      <w:pPr>
        <w:pStyle w:val="Sinespaciado"/>
        <w:jc w:val="both"/>
        <w:rPr>
          <w:rFonts w:ascii="Century Gothic" w:hAnsi="Century Gothic" w:cs="Arial"/>
          <w:bCs/>
          <w:position w:val="6"/>
          <w:lang w:eastAsia="es-MX"/>
        </w:rPr>
      </w:pPr>
      <w:r w:rsidRPr="00C84245">
        <w:rPr>
          <w:rFonts w:ascii="Century Gothic" w:hAnsi="Century Gothic" w:cs="Arial"/>
          <w:b/>
          <w:bCs/>
          <w:position w:val="6"/>
          <w:lang w:eastAsia="es-MX"/>
        </w:rPr>
        <w:t xml:space="preserve">2. Designación de asesor jurídico. </w:t>
      </w:r>
      <w:r w:rsidRPr="00C84245">
        <w:rPr>
          <w:rFonts w:ascii="Century Gothic" w:hAnsi="Century Gothic" w:cs="Arial"/>
          <w:bCs/>
          <w:position w:val="6"/>
          <w:lang w:eastAsia="es-MX"/>
        </w:rPr>
        <w:t xml:space="preserve">El veintidós de noviembre, la Magistrada Instructora dictó acuerdo en el que se tuvieron por recibidos diversos escritos presentados por el promovente, y se solicitó al Instituto Federal de Defensoría Pública que designara asesor jurídico al promovente. </w:t>
      </w:r>
    </w:p>
    <w:p w14:paraId="7F75D8D7" w14:textId="77777777" w:rsidR="00375FEA" w:rsidRPr="00C84245" w:rsidRDefault="00375FEA" w:rsidP="00375FEA">
      <w:pPr>
        <w:pStyle w:val="Sinespaciado"/>
        <w:jc w:val="both"/>
        <w:rPr>
          <w:rFonts w:ascii="Century Gothic" w:hAnsi="Century Gothic" w:cs="Arial"/>
          <w:bCs/>
          <w:position w:val="6"/>
          <w:lang w:eastAsia="es-MX"/>
        </w:rPr>
      </w:pPr>
    </w:p>
    <w:p w14:paraId="670CB03B" w14:textId="77777777" w:rsidR="00375FEA" w:rsidRPr="00C84245" w:rsidRDefault="00375FEA" w:rsidP="00375FEA">
      <w:pPr>
        <w:pStyle w:val="Sinespaciado"/>
        <w:jc w:val="both"/>
        <w:rPr>
          <w:rFonts w:ascii="Century Gothic" w:hAnsi="Century Gothic" w:cs="Arial"/>
          <w:bCs/>
          <w:position w:val="6"/>
          <w:lang w:eastAsia="es-MX"/>
        </w:rPr>
      </w:pPr>
      <w:r w:rsidRPr="00C84245">
        <w:rPr>
          <w:rFonts w:ascii="Century Gothic" w:hAnsi="Century Gothic" w:cs="Arial"/>
          <w:bCs/>
          <w:position w:val="6"/>
          <w:lang w:eastAsia="es-MX"/>
        </w:rPr>
        <w:t xml:space="preserve">El veinticuatro posterior, el Director de Prestación del Servicio de Asesoría Jurídica en la Ciudad de México informó que se le había asignado asesor jurídico al promovente. </w:t>
      </w:r>
    </w:p>
    <w:p w14:paraId="6CD1B8A6" w14:textId="77777777" w:rsidR="00375FEA" w:rsidRPr="00C84245" w:rsidRDefault="00375FEA" w:rsidP="00375FEA">
      <w:pPr>
        <w:pStyle w:val="Sinespaciado"/>
        <w:jc w:val="both"/>
        <w:rPr>
          <w:rFonts w:ascii="Century Gothic" w:hAnsi="Century Gothic" w:cs="Arial"/>
          <w:bCs/>
          <w:position w:val="6"/>
          <w:lang w:eastAsia="es-MX"/>
        </w:rPr>
      </w:pPr>
    </w:p>
    <w:p w14:paraId="44A5A3C0" w14:textId="77777777" w:rsidR="00375FEA" w:rsidRPr="00C84245" w:rsidRDefault="00375FEA" w:rsidP="00AA6F8E">
      <w:pPr>
        <w:pStyle w:val="Sinespaciado"/>
        <w:jc w:val="both"/>
        <w:rPr>
          <w:rFonts w:ascii="Century Gothic" w:hAnsi="Century Gothic" w:cs="Arial"/>
          <w:bCs/>
          <w:position w:val="6"/>
          <w:lang w:eastAsia="es-MX"/>
        </w:rPr>
      </w:pPr>
      <w:r w:rsidRPr="00C84245">
        <w:rPr>
          <w:rFonts w:ascii="Century Gothic" w:hAnsi="Century Gothic" w:cs="Arial"/>
          <w:b/>
          <w:bCs/>
          <w:position w:val="6"/>
          <w:lang w:eastAsia="es-MX"/>
        </w:rPr>
        <w:t xml:space="preserve">3. Escrito de ampliación de demanda. </w:t>
      </w:r>
      <w:r w:rsidRPr="00C84245">
        <w:rPr>
          <w:rFonts w:ascii="Century Gothic" w:hAnsi="Century Gothic" w:cs="Arial"/>
          <w:bCs/>
          <w:position w:val="6"/>
          <w:lang w:eastAsia="es-MX"/>
        </w:rPr>
        <w:t xml:space="preserve">El treinta de noviembre siguiente, el actor presentó nuevo escrito en el que realizó diversas manifestaciones respecto de la toma de protesta de Andrés Manuel López Obrador como precandidato de MORENA.  </w:t>
      </w:r>
    </w:p>
    <w:p w14:paraId="2187E8E0" w14:textId="77777777" w:rsidR="00375FEA" w:rsidRPr="00C84245" w:rsidRDefault="00375FEA" w:rsidP="00AA6F8E">
      <w:pPr>
        <w:pStyle w:val="Sinespaciado"/>
        <w:jc w:val="both"/>
        <w:rPr>
          <w:rFonts w:ascii="Century Gothic" w:hAnsi="Century Gothic" w:cs="Arial"/>
          <w:bCs/>
          <w:position w:val="6"/>
          <w:lang w:eastAsia="es-MX"/>
        </w:rPr>
      </w:pPr>
    </w:p>
    <w:p w14:paraId="75FD90F8" w14:textId="77777777" w:rsidR="00375FEA" w:rsidRPr="00C84245" w:rsidRDefault="00375FEA" w:rsidP="00AA6F8E">
      <w:pPr>
        <w:pStyle w:val="Sinespaciado"/>
        <w:jc w:val="both"/>
        <w:rPr>
          <w:rFonts w:ascii="Century Gothic" w:hAnsi="Century Gothic" w:cs="Arial"/>
          <w:bCs/>
          <w:position w:val="6"/>
          <w:lang w:eastAsia="es-MX"/>
        </w:rPr>
      </w:pPr>
      <w:r w:rsidRPr="00C84245">
        <w:rPr>
          <w:rFonts w:ascii="Century Gothic" w:hAnsi="Century Gothic" w:cs="Arial"/>
          <w:b/>
          <w:bCs/>
          <w:position w:val="6"/>
          <w:lang w:eastAsia="es-MX"/>
        </w:rPr>
        <w:t xml:space="preserve">4. Segundo escrito de ampliación de demanda. </w:t>
      </w:r>
      <w:r w:rsidRPr="00C84245">
        <w:rPr>
          <w:rFonts w:ascii="Century Gothic" w:hAnsi="Century Gothic" w:cs="Arial"/>
          <w:bCs/>
          <w:position w:val="6"/>
          <w:lang w:eastAsia="es-MX"/>
        </w:rPr>
        <w:t xml:space="preserve">El once de diciembre, el actor presentó escrito en el que realizó diversas manifestaciones respecto de la toma de protesta de Andrés Manuel López Obrador como candidato presidencial de MORENA. </w:t>
      </w:r>
    </w:p>
    <w:p w14:paraId="1BAF71C2" w14:textId="77777777" w:rsidR="00375FEA" w:rsidRPr="00C84245" w:rsidRDefault="00375FEA" w:rsidP="00AA6F8E">
      <w:pPr>
        <w:pStyle w:val="Sinespaciado"/>
        <w:jc w:val="both"/>
        <w:rPr>
          <w:rFonts w:ascii="Century Gothic" w:hAnsi="Century Gothic" w:cs="Arial"/>
          <w:bCs/>
          <w:position w:val="6"/>
          <w:lang w:eastAsia="es-MX"/>
        </w:rPr>
      </w:pPr>
    </w:p>
    <w:p w14:paraId="34ABD61A" w14:textId="77777777" w:rsidR="00375FEA" w:rsidRPr="00C84245" w:rsidRDefault="00375FEA" w:rsidP="00AA6F8E">
      <w:pPr>
        <w:pStyle w:val="Sinespaciado"/>
        <w:jc w:val="both"/>
        <w:rPr>
          <w:rFonts w:ascii="Century Gothic" w:hAnsi="Century Gothic" w:cs="Arial"/>
          <w:bCs/>
          <w:position w:val="6"/>
          <w:lang w:eastAsia="es-MX"/>
        </w:rPr>
      </w:pPr>
      <w:r w:rsidRPr="00C84245">
        <w:rPr>
          <w:rFonts w:ascii="Century Gothic" w:hAnsi="Century Gothic" w:cs="Arial"/>
          <w:bCs/>
          <w:position w:val="6"/>
          <w:lang w:eastAsia="es-MX"/>
        </w:rPr>
        <w:t xml:space="preserve">Además, adjuntó copia del oficio CDMX/10AJ/111/2017, por medio del cual, el asesor jurídico designado por el Instituto Federal de Defensoría Pública remitió al actor a la Dirección Ejecutiva de Capacitación Electoral y Educación Cívica del Instituto Nacional Electoral, para que se les diera seguimiento jurídico a los escritos presentados ante esta Sala Superior. </w:t>
      </w:r>
    </w:p>
    <w:p w14:paraId="3F4166E2" w14:textId="77777777" w:rsidR="00375FEA" w:rsidRPr="00C84245" w:rsidRDefault="00375FEA" w:rsidP="00AA6F8E">
      <w:pPr>
        <w:pStyle w:val="Sinespaciado"/>
        <w:jc w:val="both"/>
        <w:rPr>
          <w:rFonts w:ascii="Century Gothic" w:hAnsi="Century Gothic" w:cs="Arial"/>
          <w:bCs/>
          <w:position w:val="6"/>
          <w:lang w:eastAsia="es-MX"/>
        </w:rPr>
      </w:pPr>
    </w:p>
    <w:p w14:paraId="4B14B1DC" w14:textId="77777777" w:rsidR="00375FEA" w:rsidRPr="00C84245" w:rsidRDefault="00375FEA" w:rsidP="00AA6F8E">
      <w:pPr>
        <w:pStyle w:val="Sinespaciado"/>
        <w:jc w:val="both"/>
        <w:rPr>
          <w:rFonts w:ascii="Century Gothic" w:hAnsi="Century Gothic" w:cs="Arial"/>
          <w:bCs/>
          <w:position w:val="6"/>
          <w:lang w:eastAsia="es-MX"/>
        </w:rPr>
      </w:pPr>
      <w:r w:rsidRPr="00C84245">
        <w:rPr>
          <w:rFonts w:ascii="Century Gothic" w:hAnsi="Century Gothic" w:cs="Arial"/>
          <w:b/>
          <w:bCs/>
          <w:position w:val="6"/>
          <w:lang w:eastAsia="es-MX"/>
        </w:rPr>
        <w:t xml:space="preserve">5. Escrito de presentación de pruebas. </w:t>
      </w:r>
      <w:r w:rsidRPr="00C84245">
        <w:rPr>
          <w:rFonts w:ascii="Century Gothic" w:hAnsi="Century Gothic" w:cs="Arial"/>
          <w:bCs/>
          <w:position w:val="6"/>
          <w:lang w:eastAsia="es-MX"/>
        </w:rPr>
        <w:t xml:space="preserve">El quince de diciembre, el actor presentó escrito mediante el cual allegó pruebas documentales de la toma de protesta de Andrés Manuel López Obrador como precandidato a la presidencia postulado por el partido político MORENA.   </w:t>
      </w:r>
    </w:p>
    <w:p w14:paraId="73F822E1" w14:textId="77777777" w:rsidR="00375FEA" w:rsidRPr="00C84245" w:rsidRDefault="00375FEA" w:rsidP="00AA6F8E">
      <w:pPr>
        <w:pStyle w:val="Sinespaciado"/>
        <w:jc w:val="both"/>
        <w:rPr>
          <w:rFonts w:ascii="Century Gothic" w:hAnsi="Century Gothic" w:cs="Arial"/>
          <w:bCs/>
          <w:position w:val="6"/>
          <w:lang w:eastAsia="es-MX"/>
        </w:rPr>
      </w:pPr>
    </w:p>
    <w:p w14:paraId="115F0967" w14:textId="77777777" w:rsidR="00375FEA" w:rsidRPr="00C84245" w:rsidRDefault="00375FEA" w:rsidP="00AA6F8E">
      <w:pPr>
        <w:pStyle w:val="Sinespaciado"/>
        <w:jc w:val="both"/>
        <w:rPr>
          <w:rFonts w:ascii="Century Gothic" w:hAnsi="Century Gothic" w:cs="Arial"/>
          <w:position w:val="6"/>
          <w:lang w:eastAsia="es-MX"/>
        </w:rPr>
      </w:pPr>
      <w:r w:rsidRPr="00C84245">
        <w:rPr>
          <w:rFonts w:ascii="Century Gothic" w:hAnsi="Century Gothic"/>
          <w:b/>
        </w:rPr>
        <w:t>RAZONES Y FUNDAMENTOS DE LA DECISIÓN</w:t>
      </w:r>
    </w:p>
    <w:p w14:paraId="05F86B0B" w14:textId="77777777" w:rsidR="00375FEA" w:rsidRPr="00C84245" w:rsidRDefault="00375FEA" w:rsidP="00AA6F8E">
      <w:pPr>
        <w:spacing w:after="0" w:line="240" w:lineRule="auto"/>
        <w:jc w:val="both"/>
        <w:rPr>
          <w:rFonts w:ascii="Century Gothic" w:hAnsi="Century Gothic"/>
          <w:b/>
          <w:sz w:val="24"/>
          <w:szCs w:val="24"/>
        </w:rPr>
      </w:pPr>
    </w:p>
    <w:p w14:paraId="262F486F" w14:textId="77777777" w:rsidR="00375FEA" w:rsidRPr="00C84245" w:rsidRDefault="00375FEA" w:rsidP="00AA6F8E">
      <w:pPr>
        <w:widowControl w:val="0"/>
        <w:spacing w:after="0" w:line="240" w:lineRule="auto"/>
        <w:jc w:val="both"/>
        <w:rPr>
          <w:rFonts w:ascii="Century Gothic" w:hAnsi="Century Gothic" w:cs="Arial"/>
          <w:sz w:val="24"/>
          <w:szCs w:val="24"/>
        </w:rPr>
      </w:pPr>
      <w:r w:rsidRPr="00C84245">
        <w:rPr>
          <w:rFonts w:ascii="Century Gothic" w:hAnsi="Century Gothic"/>
          <w:b/>
          <w:sz w:val="24"/>
          <w:szCs w:val="24"/>
        </w:rPr>
        <w:t xml:space="preserve">PRIMERO. Actuación colegiada. </w:t>
      </w:r>
      <w:r w:rsidRPr="00C84245">
        <w:rPr>
          <w:rFonts w:ascii="Century Gothic" w:hAnsi="Century Gothic" w:cs="Arial"/>
          <w:sz w:val="24"/>
          <w:szCs w:val="24"/>
        </w:rPr>
        <w:t xml:space="preserve">La materia sobre la que versa la resolución que se emite compete a la Sala Superior del Tribunal Electoral del Poder Judicial de la Federación, actuando en forma colegiada en atención a lo sostenido en la Jurisprudencia </w:t>
      </w:r>
      <w:r w:rsidRPr="00C84245">
        <w:rPr>
          <w:rFonts w:ascii="Century Gothic" w:hAnsi="Century Gothic" w:cs="Arial"/>
          <w:b/>
          <w:sz w:val="24"/>
          <w:szCs w:val="24"/>
        </w:rPr>
        <w:t>11/99</w:t>
      </w:r>
      <w:r w:rsidRPr="00C84245">
        <w:rPr>
          <w:rFonts w:ascii="Century Gothic" w:hAnsi="Century Gothic" w:cs="Arial"/>
          <w:sz w:val="24"/>
          <w:szCs w:val="24"/>
        </w:rPr>
        <w:t xml:space="preserve"> de rubro: “MEDIOS DE IMPUGNACIÓN. LAS RESOLUCIONES O ACTUACIONES QUE IMPLIQUEN UNA MODIFICACIÓN EN LA SUSTANCIACIÓN DEL PROCEDIMIENTO ORDINARIO, SON COMPETENCIA DE LA SALA SUPERIOR Y NO DEL MAGISTRADO INSTRUCTOR”.</w:t>
      </w:r>
      <w:r w:rsidRPr="00C84245">
        <w:rPr>
          <w:rStyle w:val="Refdenotaalpie"/>
          <w:rFonts w:ascii="Century Gothic" w:hAnsi="Century Gothic" w:cs="Arial"/>
          <w:sz w:val="24"/>
          <w:szCs w:val="24"/>
        </w:rPr>
        <w:footnoteReference w:id="1"/>
      </w:r>
    </w:p>
    <w:p w14:paraId="7EFA9014" w14:textId="77777777" w:rsidR="00375FEA" w:rsidRPr="00C84245" w:rsidRDefault="00375FEA" w:rsidP="00AA6F8E">
      <w:pPr>
        <w:spacing w:after="0" w:line="240" w:lineRule="auto"/>
        <w:jc w:val="both"/>
        <w:rPr>
          <w:rFonts w:ascii="Century Gothic" w:hAnsi="Century Gothic" w:cs="Arial"/>
          <w:sz w:val="24"/>
          <w:szCs w:val="24"/>
        </w:rPr>
      </w:pPr>
    </w:p>
    <w:p w14:paraId="6D765396" w14:textId="77777777" w:rsidR="00375FEA" w:rsidRPr="00C84245" w:rsidRDefault="00375FEA" w:rsidP="00AA6F8E">
      <w:pPr>
        <w:spacing w:after="0" w:line="240" w:lineRule="auto"/>
        <w:jc w:val="both"/>
        <w:rPr>
          <w:rFonts w:ascii="Century Gothic" w:hAnsi="Century Gothic" w:cs="Arial"/>
          <w:sz w:val="24"/>
          <w:szCs w:val="24"/>
        </w:rPr>
      </w:pPr>
      <w:r w:rsidRPr="00C84245">
        <w:rPr>
          <w:rFonts w:ascii="Century Gothic" w:hAnsi="Century Gothic" w:cs="Arial"/>
          <w:sz w:val="24"/>
          <w:szCs w:val="24"/>
        </w:rPr>
        <w:t xml:space="preserve">Ello es así, porque la cuestión a dilucidar en este </w:t>
      </w:r>
      <w:proofErr w:type="gramStart"/>
      <w:r w:rsidRPr="00C84245">
        <w:rPr>
          <w:rFonts w:ascii="Century Gothic" w:hAnsi="Century Gothic" w:cs="Arial"/>
          <w:sz w:val="24"/>
          <w:szCs w:val="24"/>
        </w:rPr>
        <w:t>acuerdo,</w:t>
      </w:r>
      <w:proofErr w:type="gramEnd"/>
      <w:r w:rsidRPr="00C84245">
        <w:rPr>
          <w:rFonts w:ascii="Century Gothic" w:hAnsi="Century Gothic" w:cs="Arial"/>
          <w:sz w:val="24"/>
          <w:szCs w:val="24"/>
        </w:rPr>
        <w:t xml:space="preserve"> consiste en determinar si en la especie procede dar trámite alguno por parte de esta Sala Superior al escrito presentado por el actor, en el cual solicita la intervención de este órgano jurisdiccional especializado, con relación a una supuesta omisión en la Ley al n</w:t>
      </w:r>
      <w:r w:rsidRPr="00C84245">
        <w:rPr>
          <w:rFonts w:ascii="Century Gothic" w:hAnsi="Century Gothic" w:cs="Arial"/>
          <w:bCs/>
          <w:sz w:val="24"/>
          <w:szCs w:val="24"/>
        </w:rPr>
        <w:t>o contener prohibición alguna con relación a la utilización de los símbolos patrios en los emblemas de los partidos políticos.</w:t>
      </w:r>
    </w:p>
    <w:p w14:paraId="6F71994D" w14:textId="77777777" w:rsidR="00375FEA" w:rsidRPr="00C84245" w:rsidRDefault="00375FEA" w:rsidP="00AA6F8E">
      <w:pPr>
        <w:spacing w:after="0" w:line="240" w:lineRule="auto"/>
        <w:jc w:val="both"/>
        <w:rPr>
          <w:rFonts w:ascii="Century Gothic" w:hAnsi="Century Gothic" w:cs="Arial"/>
          <w:sz w:val="24"/>
          <w:szCs w:val="24"/>
        </w:rPr>
      </w:pPr>
    </w:p>
    <w:p w14:paraId="741309E4" w14:textId="77777777" w:rsidR="00375FEA" w:rsidRPr="00C84245" w:rsidRDefault="00375FEA" w:rsidP="00AA6F8E">
      <w:pPr>
        <w:spacing w:after="0" w:line="240" w:lineRule="auto"/>
        <w:jc w:val="both"/>
        <w:rPr>
          <w:rFonts w:ascii="Century Gothic" w:hAnsi="Century Gothic" w:cs="Arial"/>
          <w:sz w:val="24"/>
          <w:szCs w:val="24"/>
        </w:rPr>
      </w:pPr>
      <w:r w:rsidRPr="00C84245">
        <w:rPr>
          <w:rFonts w:ascii="Century Gothic" w:hAnsi="Century Gothic" w:cs="Arial"/>
          <w:sz w:val="24"/>
          <w:szCs w:val="24"/>
        </w:rPr>
        <w:t xml:space="preserve">En ese sentido, toda vez que lo procedente es determinar la vía de resolución adecuada para el caso concreto, es que se debe estar a la regla general citada por la jurisprudencia referida. </w:t>
      </w:r>
    </w:p>
    <w:p w14:paraId="196F77D3" w14:textId="77777777" w:rsidR="00375FEA" w:rsidRPr="00C84245" w:rsidRDefault="00375FEA" w:rsidP="00AA6F8E">
      <w:pPr>
        <w:pStyle w:val="Sinespaciado"/>
        <w:ind w:right="51"/>
        <w:jc w:val="both"/>
        <w:rPr>
          <w:rFonts w:ascii="Century Gothic" w:hAnsi="Century Gothic"/>
        </w:rPr>
      </w:pPr>
    </w:p>
    <w:p w14:paraId="6454A734" w14:textId="77777777" w:rsidR="00375FEA" w:rsidRPr="00C84245" w:rsidRDefault="00375FEA" w:rsidP="00AA6F8E">
      <w:pPr>
        <w:pStyle w:val="Sinespaciado"/>
        <w:ind w:right="51"/>
        <w:jc w:val="both"/>
        <w:rPr>
          <w:rFonts w:ascii="Century Gothic" w:hAnsi="Century Gothic"/>
        </w:rPr>
      </w:pPr>
      <w:r w:rsidRPr="00C84245">
        <w:rPr>
          <w:rFonts w:ascii="Century Gothic" w:hAnsi="Century Gothic"/>
          <w:b/>
        </w:rPr>
        <w:t xml:space="preserve">SEGUNDO. Cuestión previa. </w:t>
      </w:r>
      <w:r w:rsidRPr="00C84245">
        <w:rPr>
          <w:rFonts w:ascii="Century Gothic" w:hAnsi="Century Gothic"/>
        </w:rPr>
        <w:t>En el caso que nos ocupa, el actor alega tener una discapacidad mental, resultante de una lesión cerebral, la cual le provoca un estado de sensibilidad especial y ansiedad frente al uso en los emblemas de los partidos políticos, de lo que identifica como “signos”,</w:t>
      </w:r>
      <w:r w:rsidRPr="00C84245">
        <w:rPr>
          <w:rStyle w:val="Refdenotaalpie"/>
          <w:rFonts w:ascii="Century Gothic" w:hAnsi="Century Gothic"/>
        </w:rPr>
        <w:footnoteReference w:id="2"/>
      </w:r>
      <w:r w:rsidRPr="00C84245">
        <w:rPr>
          <w:rFonts w:ascii="Century Gothic" w:hAnsi="Century Gothic"/>
        </w:rPr>
        <w:t xml:space="preserve"> integrantes de los símbolos patrios. </w:t>
      </w:r>
    </w:p>
    <w:p w14:paraId="1E9F4FA8" w14:textId="77777777" w:rsidR="00375FEA" w:rsidRPr="00C84245" w:rsidRDefault="00375FEA" w:rsidP="00AA6F8E">
      <w:pPr>
        <w:pStyle w:val="Sinespaciado"/>
        <w:ind w:right="51"/>
        <w:jc w:val="both"/>
        <w:rPr>
          <w:rFonts w:ascii="Century Gothic" w:hAnsi="Century Gothic"/>
        </w:rPr>
      </w:pPr>
    </w:p>
    <w:p w14:paraId="60BFAABC" w14:textId="77777777" w:rsidR="00375FEA" w:rsidRPr="00C84245" w:rsidRDefault="00375FEA" w:rsidP="00AA6F8E">
      <w:pPr>
        <w:pStyle w:val="Sinespaciado"/>
        <w:ind w:right="51"/>
        <w:jc w:val="both"/>
        <w:rPr>
          <w:rFonts w:ascii="Century Gothic" w:hAnsi="Century Gothic"/>
          <w:b/>
        </w:rPr>
      </w:pPr>
      <w:r w:rsidRPr="00C84245">
        <w:rPr>
          <w:rFonts w:ascii="Century Gothic" w:hAnsi="Century Gothic"/>
        </w:rPr>
        <w:lastRenderedPageBreak/>
        <w:t xml:space="preserve">En el mismo sentido, alega que el que el partido MORENA registre a su candidato presidencial el día de la Virgen de Guadalupe provoca una asociación religiosa que contraviene lo señalado por el artículo 27, inciso a) del Código Federal de Instituciones y Procedimientos Electorales [que en realidad se trata del 39, inciso a) de la Ley General de Partidos Políticos]. </w:t>
      </w:r>
    </w:p>
    <w:p w14:paraId="3405CBCF" w14:textId="77777777" w:rsidR="00375FEA" w:rsidRPr="00C84245" w:rsidRDefault="00375FEA" w:rsidP="00375FEA">
      <w:pPr>
        <w:pStyle w:val="Sinespaciado"/>
        <w:spacing w:line="360" w:lineRule="auto"/>
        <w:ind w:right="51"/>
        <w:jc w:val="both"/>
        <w:rPr>
          <w:rFonts w:ascii="Century Gothic" w:hAnsi="Century Gothic"/>
        </w:rPr>
      </w:pPr>
    </w:p>
    <w:p w14:paraId="5D68920C" w14:textId="77777777" w:rsidR="00375FEA" w:rsidRPr="00C84245" w:rsidRDefault="00375FEA" w:rsidP="00C84245">
      <w:pPr>
        <w:pStyle w:val="Sinespaciado"/>
        <w:ind w:right="51"/>
        <w:jc w:val="both"/>
        <w:rPr>
          <w:rFonts w:ascii="Century Gothic" w:hAnsi="Century Gothic"/>
        </w:rPr>
      </w:pPr>
      <w:r w:rsidRPr="00C84245">
        <w:rPr>
          <w:rFonts w:ascii="Century Gothic" w:hAnsi="Century Gothic"/>
        </w:rPr>
        <w:t xml:space="preserve">Para comprobar su dicho, anexa a los autos del presente juicio, diagnóstico del Instituto Nacional de Psiquiatría “Ramón de la Fuente Muñiz”, en el cual se indica que el actor padece trastornos de ansiedad, estado de ánimo, de la personalidad, relacionados con opiáceos, y mental y del comportamiento. </w:t>
      </w:r>
    </w:p>
    <w:p w14:paraId="0FB7CC00" w14:textId="77777777" w:rsidR="00375FEA" w:rsidRPr="00C84245" w:rsidRDefault="00375FEA" w:rsidP="00C84245">
      <w:pPr>
        <w:pStyle w:val="Sinespaciado"/>
        <w:ind w:right="51"/>
        <w:jc w:val="both"/>
        <w:rPr>
          <w:rFonts w:ascii="Century Gothic" w:hAnsi="Century Gothic"/>
        </w:rPr>
      </w:pPr>
    </w:p>
    <w:p w14:paraId="1919D639" w14:textId="77777777" w:rsidR="00375FEA" w:rsidRPr="00C84245" w:rsidRDefault="00375FEA" w:rsidP="00C84245">
      <w:pPr>
        <w:pStyle w:val="Sinespaciado"/>
        <w:ind w:right="51"/>
        <w:jc w:val="both"/>
        <w:rPr>
          <w:rFonts w:ascii="Century Gothic" w:hAnsi="Century Gothic"/>
        </w:rPr>
      </w:pPr>
      <w:r w:rsidRPr="00C84245">
        <w:rPr>
          <w:rFonts w:ascii="Century Gothic" w:hAnsi="Century Gothic"/>
        </w:rPr>
        <w:t xml:space="preserve">Esto, señala el certificado, le genera una discapacidad neurosensorial y mental que le da una funcionalidad media. </w:t>
      </w:r>
    </w:p>
    <w:p w14:paraId="0F3C015B" w14:textId="77777777" w:rsidR="00375FEA" w:rsidRPr="00C84245" w:rsidRDefault="00375FEA" w:rsidP="00C84245">
      <w:pPr>
        <w:pStyle w:val="Sinespaciado"/>
        <w:ind w:right="51"/>
        <w:jc w:val="both"/>
        <w:rPr>
          <w:rFonts w:ascii="Century Gothic" w:hAnsi="Century Gothic"/>
        </w:rPr>
      </w:pPr>
    </w:p>
    <w:p w14:paraId="0C0CBFD3" w14:textId="77777777" w:rsidR="00375FEA" w:rsidRPr="00C84245" w:rsidRDefault="00375FEA" w:rsidP="00C84245">
      <w:pPr>
        <w:pStyle w:val="Sinespaciado"/>
        <w:ind w:right="51"/>
        <w:jc w:val="both"/>
        <w:rPr>
          <w:rFonts w:ascii="Century Gothic" w:hAnsi="Century Gothic"/>
        </w:rPr>
      </w:pPr>
      <w:r w:rsidRPr="00C84245">
        <w:rPr>
          <w:rFonts w:ascii="Century Gothic" w:hAnsi="Century Gothic"/>
        </w:rPr>
        <w:t>El artículo 2, fracciones III, IV, V y VI del Reglamento de la Ley General para la Inclusión de las Personas con Discapacidad contempla distintos tipos de discapacidad, entre los cuales, para los efectos del presente asunto, destacan dos:</w:t>
      </w:r>
    </w:p>
    <w:p w14:paraId="6027CB3B" w14:textId="77777777" w:rsidR="00375FEA" w:rsidRPr="00C84245" w:rsidRDefault="00375FEA" w:rsidP="00C84245">
      <w:pPr>
        <w:pStyle w:val="Sinespaciado"/>
        <w:ind w:right="51"/>
        <w:jc w:val="both"/>
        <w:rPr>
          <w:rFonts w:ascii="Century Gothic" w:hAnsi="Century Gothic"/>
        </w:rPr>
      </w:pPr>
    </w:p>
    <w:p w14:paraId="71AC7E82" w14:textId="77777777" w:rsidR="00375FEA" w:rsidRPr="00C84245" w:rsidRDefault="00375FEA" w:rsidP="00C84245">
      <w:pPr>
        <w:pStyle w:val="Sinespaciado"/>
        <w:numPr>
          <w:ilvl w:val="0"/>
          <w:numId w:val="5"/>
        </w:numPr>
        <w:ind w:right="51"/>
        <w:jc w:val="both"/>
        <w:rPr>
          <w:rFonts w:ascii="Century Gothic" w:hAnsi="Century Gothic"/>
        </w:rPr>
      </w:pPr>
      <w:r w:rsidRPr="00C84245">
        <w:rPr>
          <w:rFonts w:ascii="Century Gothic" w:hAnsi="Century Gothic"/>
        </w:rPr>
        <w:t xml:space="preserve">Discapacidad Mental (psicosocial): A la alteración o deficiencia en el sistema neuronal de una persona, que aunado a una sucesión de hechos que no puede manejar, detona un cambio en su comportamiento que dificulta su pleno desarrollo y convivencia social [diversidad funcional], y que al interactuar con las barreras que le impone el entorno social, pueda impedir su inclusión plena y efectiva en la sociedad, en igualdad de condiciones con los demás; y </w:t>
      </w:r>
    </w:p>
    <w:p w14:paraId="017E2689" w14:textId="77777777" w:rsidR="00375FEA" w:rsidRPr="00C84245" w:rsidRDefault="00375FEA" w:rsidP="00C84245">
      <w:pPr>
        <w:pStyle w:val="Sinespaciado"/>
        <w:ind w:left="720" w:right="51"/>
        <w:jc w:val="both"/>
        <w:rPr>
          <w:rFonts w:ascii="Century Gothic" w:hAnsi="Century Gothic"/>
        </w:rPr>
      </w:pPr>
    </w:p>
    <w:p w14:paraId="5F98F90F" w14:textId="77777777" w:rsidR="00375FEA" w:rsidRPr="00C84245" w:rsidRDefault="00375FEA" w:rsidP="00C84245">
      <w:pPr>
        <w:pStyle w:val="Sinespaciado"/>
        <w:numPr>
          <w:ilvl w:val="0"/>
          <w:numId w:val="5"/>
        </w:numPr>
        <w:ind w:right="51"/>
        <w:jc w:val="both"/>
        <w:rPr>
          <w:rFonts w:ascii="Century Gothic" w:hAnsi="Century Gothic"/>
        </w:rPr>
      </w:pPr>
      <w:r w:rsidRPr="00C84245">
        <w:rPr>
          <w:rFonts w:ascii="Century Gothic" w:hAnsi="Century Gothic"/>
        </w:rPr>
        <w:t>Discapacidad Intelectual: Se caracteriza por limitaciones significativas tanto en la estructura del pensamiento razonado, como en la conducta adaptativa de la persona [diversidad funcional], y que al interactuar con las barreras que le impone el entorno social, pueda impedir su inclusión plena y efectiva en la sociedad, en igualdad de condiciones con los demás.</w:t>
      </w:r>
    </w:p>
    <w:p w14:paraId="0A97A37F" w14:textId="77777777" w:rsidR="00375FEA" w:rsidRPr="00C84245" w:rsidRDefault="00375FEA" w:rsidP="00C84245">
      <w:pPr>
        <w:pStyle w:val="Sinespaciado"/>
        <w:ind w:right="51"/>
        <w:jc w:val="both"/>
        <w:rPr>
          <w:rFonts w:ascii="Century Gothic" w:hAnsi="Century Gothic"/>
        </w:rPr>
      </w:pPr>
    </w:p>
    <w:p w14:paraId="7668056B" w14:textId="77777777" w:rsidR="00375FEA" w:rsidRPr="00C84245" w:rsidRDefault="00375FEA" w:rsidP="00C84245">
      <w:pPr>
        <w:pStyle w:val="Sinespaciado"/>
        <w:ind w:right="51"/>
        <w:jc w:val="both"/>
        <w:rPr>
          <w:rFonts w:ascii="Century Gothic" w:hAnsi="Century Gothic"/>
        </w:rPr>
      </w:pPr>
      <w:r w:rsidRPr="00C84245">
        <w:rPr>
          <w:rFonts w:ascii="Century Gothic" w:hAnsi="Century Gothic"/>
        </w:rPr>
        <w:t xml:space="preserve">Esto resulta relevante, porque el actor alega tener una discapacidad mental, es decir, una alteración en su sistema neuronal, más no una de corte intelectual que implicaría una limitación en la estructura de su pensamiento razonado. De ahí que cuente con plena capacidad jurídica para activar los medios de impugnación que estime necesarios para la protección de sus derechos. </w:t>
      </w:r>
    </w:p>
    <w:p w14:paraId="0FA4C240" w14:textId="77777777" w:rsidR="00375FEA" w:rsidRPr="00C84245" w:rsidRDefault="00375FEA" w:rsidP="00C84245">
      <w:pPr>
        <w:pStyle w:val="Sinespaciado"/>
        <w:ind w:right="51"/>
        <w:jc w:val="both"/>
        <w:rPr>
          <w:rFonts w:ascii="Century Gothic" w:hAnsi="Century Gothic"/>
        </w:rPr>
      </w:pPr>
    </w:p>
    <w:p w14:paraId="3EBCC5C6" w14:textId="77777777" w:rsidR="00375FEA" w:rsidRPr="00C84245" w:rsidRDefault="00375FEA" w:rsidP="00C84245">
      <w:pPr>
        <w:pStyle w:val="Sinespaciado"/>
        <w:ind w:right="51"/>
        <w:jc w:val="both"/>
        <w:rPr>
          <w:rFonts w:ascii="Century Gothic" w:hAnsi="Century Gothic"/>
        </w:rPr>
      </w:pPr>
      <w:r w:rsidRPr="00C84245">
        <w:rPr>
          <w:rFonts w:ascii="Century Gothic" w:hAnsi="Century Gothic"/>
        </w:rPr>
        <w:lastRenderedPageBreak/>
        <w:t xml:space="preserve">Lo anterior guarda congruencia con lo establecido por la Suprema Corte de Justicia de la Nación en el sentido de que la capacidad jurídica plena debe ser la regla general, mientras que cualquier limitación a la misma, debe ser interpretada de forma restringida, encontrando un debido sustento probatorio. Asimismo, debe tomarse en cuenta que, en su caso, la decisión de restringir la capacidad de una persona en virtud de una diversidad </w:t>
      </w:r>
      <w:proofErr w:type="gramStart"/>
      <w:r w:rsidRPr="00C84245">
        <w:rPr>
          <w:rFonts w:ascii="Century Gothic" w:hAnsi="Century Gothic"/>
        </w:rPr>
        <w:t>funcional,</w:t>
      </w:r>
      <w:proofErr w:type="gramEnd"/>
      <w:r w:rsidRPr="00C84245">
        <w:rPr>
          <w:rFonts w:ascii="Century Gothic" w:hAnsi="Century Gothic"/>
        </w:rPr>
        <w:t xml:space="preserve"> debe considerarse como una excepción, a la cual se arribará solamente cuando sea patente que deban implementarse ajustes razonables a efecto de proteger a la persona en cuestión.</w:t>
      </w:r>
      <w:r w:rsidRPr="00C84245">
        <w:rPr>
          <w:rStyle w:val="Refdenotaalpie"/>
          <w:rFonts w:ascii="Century Gothic" w:hAnsi="Century Gothic"/>
        </w:rPr>
        <w:footnoteReference w:id="3"/>
      </w:r>
      <w:r w:rsidRPr="00C84245">
        <w:rPr>
          <w:rFonts w:ascii="Century Gothic" w:hAnsi="Century Gothic"/>
        </w:rPr>
        <w:t xml:space="preserve"> </w:t>
      </w:r>
    </w:p>
    <w:p w14:paraId="6AFC236E" w14:textId="77777777" w:rsidR="00375FEA" w:rsidRPr="00C84245" w:rsidRDefault="00375FEA" w:rsidP="00C84245">
      <w:pPr>
        <w:pStyle w:val="Sinespaciado"/>
        <w:ind w:right="51"/>
        <w:jc w:val="both"/>
        <w:rPr>
          <w:rFonts w:ascii="Century Gothic" w:hAnsi="Century Gothic"/>
        </w:rPr>
      </w:pPr>
    </w:p>
    <w:p w14:paraId="65E81F61" w14:textId="77777777" w:rsidR="00375FEA" w:rsidRPr="00C84245" w:rsidRDefault="00375FEA" w:rsidP="00C84245">
      <w:pPr>
        <w:pStyle w:val="Sinespaciado"/>
        <w:ind w:right="51"/>
        <w:jc w:val="both"/>
        <w:rPr>
          <w:rFonts w:ascii="Century Gothic" w:hAnsi="Century Gothic"/>
        </w:rPr>
      </w:pPr>
      <w:r w:rsidRPr="00C84245">
        <w:rPr>
          <w:rFonts w:ascii="Century Gothic" w:hAnsi="Century Gothic"/>
        </w:rPr>
        <w:t>En consecuencia, este Tribunal Electoral se encuentra obligado a realizar el estudio de las cuestiones que plantea el actor, con un estándar de protección diferente, con amplia suplencia de la queja, según se explica a continuación.</w:t>
      </w:r>
    </w:p>
    <w:p w14:paraId="1508C626" w14:textId="77777777" w:rsidR="00375FEA" w:rsidRDefault="00375FEA" w:rsidP="00375FEA">
      <w:pPr>
        <w:pStyle w:val="Sinespaciado"/>
        <w:spacing w:line="360" w:lineRule="auto"/>
        <w:ind w:right="51"/>
        <w:jc w:val="both"/>
        <w:rPr>
          <w:rFonts w:ascii="Century Gothic" w:hAnsi="Century Gothic"/>
          <w:sz w:val="27"/>
          <w:szCs w:val="27"/>
        </w:rPr>
      </w:pPr>
    </w:p>
    <w:p w14:paraId="0CA66797"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b/>
        </w:rPr>
        <w:t>TERCERO. Estándar de protección para personas con discapacidad</w:t>
      </w:r>
    </w:p>
    <w:p w14:paraId="66E0BFC7" w14:textId="77777777" w:rsidR="00375FEA" w:rsidRPr="007C5912" w:rsidRDefault="00375FEA" w:rsidP="007C5912">
      <w:pPr>
        <w:pStyle w:val="Sinespaciado"/>
        <w:ind w:right="51"/>
        <w:jc w:val="both"/>
        <w:rPr>
          <w:rFonts w:ascii="Century Gothic" w:hAnsi="Century Gothic"/>
        </w:rPr>
      </w:pPr>
    </w:p>
    <w:p w14:paraId="572A30C6"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El artículo 4 de la Convención de la Organización de las Naciones Unidas sobre los Derechos de las Personas con Discapacidad establece la obligación de los </w:t>
      </w:r>
      <w:proofErr w:type="gramStart"/>
      <w:r w:rsidRPr="007C5912">
        <w:rPr>
          <w:rFonts w:ascii="Century Gothic" w:hAnsi="Century Gothic"/>
        </w:rPr>
        <w:t>Estados Partes</w:t>
      </w:r>
      <w:proofErr w:type="gramEnd"/>
      <w:r w:rsidRPr="007C5912">
        <w:rPr>
          <w:rFonts w:ascii="Century Gothic" w:hAnsi="Century Gothic"/>
        </w:rPr>
        <w:t xml:space="preserve"> de asegurar y promover el pleno ejercicio de todos los derechos humanos y las libertades fundamentales de las personas con discapacidad. Para ello, deberán adoptar todas las medidas que sean pertinentes para hacer efectivos los derechos reconocidos en la Convención. </w:t>
      </w:r>
    </w:p>
    <w:p w14:paraId="089E02F6" w14:textId="77777777" w:rsidR="00375FEA" w:rsidRPr="007C5912" w:rsidRDefault="00375FEA" w:rsidP="007C5912">
      <w:pPr>
        <w:pStyle w:val="Sinespaciado"/>
        <w:ind w:right="51"/>
        <w:jc w:val="both"/>
        <w:rPr>
          <w:rFonts w:ascii="Century Gothic" w:hAnsi="Century Gothic"/>
        </w:rPr>
      </w:pPr>
    </w:p>
    <w:p w14:paraId="30E4417A"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Por su parte, el artículo 5 de la Convención en cita indica que no se considerarán discriminatorias, las medidas específicas que sean necesarias para acelerar o lograr la igualdad de hecho de las personas con discapacidad. </w:t>
      </w:r>
    </w:p>
    <w:p w14:paraId="3FB0C24F" w14:textId="77777777" w:rsidR="00375FEA" w:rsidRPr="007C5912" w:rsidRDefault="00375FEA" w:rsidP="007C5912">
      <w:pPr>
        <w:pStyle w:val="Sinespaciado"/>
        <w:ind w:right="51"/>
        <w:jc w:val="both"/>
        <w:rPr>
          <w:rFonts w:ascii="Century Gothic" w:hAnsi="Century Gothic"/>
        </w:rPr>
      </w:pPr>
    </w:p>
    <w:p w14:paraId="7B1B1422"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Asimismo, el artículo 13 señala que los </w:t>
      </w:r>
      <w:proofErr w:type="gramStart"/>
      <w:r w:rsidRPr="007C5912">
        <w:rPr>
          <w:rFonts w:ascii="Century Gothic" w:hAnsi="Century Gothic"/>
        </w:rPr>
        <w:t>Estados Partes</w:t>
      </w:r>
      <w:proofErr w:type="gramEnd"/>
      <w:r w:rsidRPr="007C5912">
        <w:rPr>
          <w:rFonts w:ascii="Century Gothic" w:hAnsi="Century Gothic"/>
        </w:rPr>
        <w:t xml:space="preserve"> asegurarán que las personas con discapacidad tengan acceso a la justicia en igualdad de condiciones con las demás, incluso mediante ajustes de procedimiento, para facilitar el desempeño de las funciones efectivas de esas personas como participantes directos e indirectos en todos los procedimientos judiciales. </w:t>
      </w:r>
    </w:p>
    <w:p w14:paraId="58E04879" w14:textId="77777777" w:rsidR="00375FEA" w:rsidRPr="007C5912" w:rsidRDefault="00375FEA" w:rsidP="007C5912">
      <w:pPr>
        <w:pStyle w:val="Sinespaciado"/>
        <w:ind w:right="51"/>
        <w:jc w:val="both"/>
        <w:rPr>
          <w:rFonts w:ascii="Century Gothic" w:hAnsi="Century Gothic"/>
        </w:rPr>
      </w:pPr>
    </w:p>
    <w:p w14:paraId="2F4927FE"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Finalmente, el artículo 29 conmina a los </w:t>
      </w:r>
      <w:proofErr w:type="gramStart"/>
      <w:r w:rsidRPr="007C5912">
        <w:rPr>
          <w:rFonts w:ascii="Century Gothic" w:hAnsi="Century Gothic"/>
        </w:rPr>
        <w:t>Estados Partes</w:t>
      </w:r>
      <w:proofErr w:type="gramEnd"/>
      <w:r w:rsidRPr="007C5912">
        <w:rPr>
          <w:rFonts w:ascii="Century Gothic" w:hAnsi="Century Gothic"/>
        </w:rPr>
        <w:t xml:space="preserve"> a garantizar a las personas con discapacidad, los derechos políticos y la posibilidad de gozar </w:t>
      </w:r>
      <w:r w:rsidRPr="007C5912">
        <w:rPr>
          <w:rFonts w:ascii="Century Gothic" w:hAnsi="Century Gothic"/>
        </w:rPr>
        <w:lastRenderedPageBreak/>
        <w:t xml:space="preserve">de ellos en igualdad de condiciones con las demás. Esto implica asegurarse de que las personas con discapacidad puedan participar plena y efectivamente en la vida política y pública en igualdad de condiciones con las demás. </w:t>
      </w:r>
    </w:p>
    <w:p w14:paraId="2490138A" w14:textId="77777777" w:rsidR="00375FEA" w:rsidRPr="007C5912" w:rsidRDefault="00375FEA" w:rsidP="007C5912">
      <w:pPr>
        <w:pStyle w:val="Sinespaciado"/>
        <w:ind w:right="51"/>
        <w:jc w:val="both"/>
        <w:rPr>
          <w:rFonts w:ascii="Century Gothic" w:hAnsi="Century Gothic"/>
        </w:rPr>
      </w:pPr>
    </w:p>
    <w:p w14:paraId="464A6DEC"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A su vez, el artículo 3 de la Convención Interamericana para la Eliminación de todas las formas de Discriminación contra las Personas con Discapacidad reitera el compromiso de los Estados Parte de adoptar las medidas necesarias para eliminar la discriminación contra las personas con discapacidad, y propiciar su plena integración en la sociedad.</w:t>
      </w:r>
    </w:p>
    <w:p w14:paraId="3067D9F1" w14:textId="77777777" w:rsidR="00375FEA" w:rsidRPr="007C5912" w:rsidRDefault="00375FEA" w:rsidP="007C5912">
      <w:pPr>
        <w:pStyle w:val="Sinespaciado"/>
        <w:ind w:right="51"/>
        <w:jc w:val="both"/>
        <w:rPr>
          <w:rFonts w:ascii="Century Gothic" w:hAnsi="Century Gothic"/>
        </w:rPr>
      </w:pPr>
    </w:p>
    <w:p w14:paraId="1B20B8E9"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En esta misma materia, la Corte Interamericana de Derechos Humanos, en el caso </w:t>
      </w:r>
      <w:proofErr w:type="spellStart"/>
      <w:r w:rsidRPr="007C5912">
        <w:rPr>
          <w:rFonts w:ascii="Century Gothic" w:hAnsi="Century Gothic"/>
        </w:rPr>
        <w:t>Furlan</w:t>
      </w:r>
      <w:proofErr w:type="spellEnd"/>
      <w:r w:rsidRPr="007C5912">
        <w:rPr>
          <w:rFonts w:ascii="Century Gothic" w:hAnsi="Century Gothic"/>
        </w:rPr>
        <w:t xml:space="preserve"> y familiares contra Argentina</w:t>
      </w:r>
      <w:r w:rsidRPr="007C5912">
        <w:rPr>
          <w:rStyle w:val="Refdenotaalpie"/>
          <w:rFonts w:ascii="Century Gothic" w:hAnsi="Century Gothic"/>
        </w:rPr>
        <w:footnoteReference w:id="4"/>
      </w:r>
      <w:r w:rsidRPr="007C5912">
        <w:rPr>
          <w:rFonts w:ascii="Century Gothic" w:hAnsi="Century Gothic"/>
        </w:rPr>
        <w:t xml:space="preserve"> señaló </w:t>
      </w:r>
      <w:proofErr w:type="gramStart"/>
      <w:r w:rsidRPr="007C5912">
        <w:rPr>
          <w:rFonts w:ascii="Century Gothic" w:hAnsi="Century Gothic"/>
        </w:rPr>
        <w:t>que</w:t>
      </w:r>
      <w:proofErr w:type="gramEnd"/>
      <w:r w:rsidRPr="007C5912">
        <w:rPr>
          <w:rFonts w:ascii="Century Gothic" w:hAnsi="Century Gothic"/>
        </w:rPr>
        <w:t xml:space="preserve"> en casos de personas en situación de vulnerabilidad, como lo es una persona con discapacidad, es importante tomar las medidas pertinentes para la efectiva administración de justicia.</w:t>
      </w:r>
    </w:p>
    <w:p w14:paraId="51628BA0" w14:textId="77777777" w:rsidR="00375FEA" w:rsidRPr="007C5912" w:rsidRDefault="00375FEA" w:rsidP="007C5912">
      <w:pPr>
        <w:pStyle w:val="Sinespaciado"/>
        <w:ind w:right="51"/>
        <w:jc w:val="both"/>
        <w:rPr>
          <w:rFonts w:ascii="Century Gothic" w:hAnsi="Century Gothic"/>
        </w:rPr>
      </w:pPr>
    </w:p>
    <w:p w14:paraId="4C934FD1"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Por su parte, el Tribunal Europeo de Derechos Humanos en el asunto </w:t>
      </w:r>
      <w:proofErr w:type="spellStart"/>
      <w:r w:rsidRPr="007C5912">
        <w:rPr>
          <w:rFonts w:ascii="Century Gothic" w:hAnsi="Century Gothic"/>
        </w:rPr>
        <w:t>Alajos</w:t>
      </w:r>
      <w:proofErr w:type="spellEnd"/>
      <w:r w:rsidRPr="007C5912">
        <w:rPr>
          <w:rFonts w:ascii="Century Gothic" w:hAnsi="Century Gothic"/>
        </w:rPr>
        <w:t xml:space="preserve"> Kiss contra Hungría</w:t>
      </w:r>
      <w:r w:rsidRPr="007C5912">
        <w:rPr>
          <w:rStyle w:val="Refdenotaalpie"/>
          <w:rFonts w:ascii="Century Gothic" w:hAnsi="Century Gothic"/>
        </w:rPr>
        <w:footnoteReference w:id="5"/>
      </w:r>
      <w:r w:rsidRPr="007C5912">
        <w:rPr>
          <w:rFonts w:ascii="Century Gothic" w:hAnsi="Century Gothic"/>
        </w:rPr>
        <w:t xml:space="preserve"> entendió contraria al artículo 3 del Protocolo de la Convención Europea de Derechos Humanos, la privación automática del derecho de voto a todas las personas con algún tipo de desorden mental o intelectual, por considerarla desproporcionada, y exigió a las autoridades húngaras que esta medida fuera excepcional, y no automática y general, una vez realizada una evaluación individualizada de las capacidades de la persona con discapacidad, es decir, de su aptitud para el ejercicio del voto. </w:t>
      </w:r>
    </w:p>
    <w:p w14:paraId="4A69E4D5" w14:textId="77777777" w:rsidR="00375FEA" w:rsidRPr="007C5912" w:rsidRDefault="00375FEA" w:rsidP="007C5912">
      <w:pPr>
        <w:pStyle w:val="Sinespaciado"/>
        <w:ind w:right="51"/>
        <w:jc w:val="both"/>
        <w:rPr>
          <w:rFonts w:ascii="Century Gothic" w:hAnsi="Century Gothic"/>
        </w:rPr>
      </w:pPr>
    </w:p>
    <w:p w14:paraId="5B7CAC66"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Al respecto, indicó que si una restricción a derechos fundamentales se aplica a un particular grupo vulnerable en la sociedad, que ha sufrido discriminación en el pasado, como las personas con discapacidad, entonces el margen de apreciación de los Estados se reduce sustancialmente y deben existir razones de mucho peso para poder establecer restricciones a estos derechos. </w:t>
      </w:r>
    </w:p>
    <w:p w14:paraId="58EEA9E8" w14:textId="77777777" w:rsidR="00375FEA" w:rsidRPr="007C5912" w:rsidRDefault="00375FEA" w:rsidP="007C5912">
      <w:pPr>
        <w:pStyle w:val="Sinespaciado"/>
        <w:ind w:right="51"/>
        <w:jc w:val="both"/>
        <w:rPr>
          <w:rFonts w:ascii="Century Gothic" w:hAnsi="Century Gothic"/>
        </w:rPr>
      </w:pPr>
    </w:p>
    <w:p w14:paraId="56F915DA"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A partir de las anteriores disposiciones, y atendiendo a lo dispuesto por el artículo 5 del Reglamento Interno del Tribunal Electoral del Poder Judicial de la Federación, esta Sala Superior reconoce su obligación de fijar un estándar especial para el estudio del caso que nos ocupa.</w:t>
      </w:r>
    </w:p>
    <w:p w14:paraId="2CC82D9B" w14:textId="77777777" w:rsidR="00375FEA" w:rsidRPr="007C5912" w:rsidRDefault="00375FEA" w:rsidP="007C5912">
      <w:pPr>
        <w:pStyle w:val="Sinespaciado"/>
        <w:ind w:right="51"/>
        <w:jc w:val="both"/>
        <w:rPr>
          <w:rFonts w:ascii="Century Gothic" w:hAnsi="Century Gothic"/>
        </w:rPr>
      </w:pPr>
    </w:p>
    <w:p w14:paraId="168A4BE2"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En efecto, el numeral en cita dispone que: “el Tribunal Electoral tiene el deber de establecer protecciones jurídicas especiales en favor de los grupos en situación de vulnerabilidad, considerando sus particulares </w:t>
      </w:r>
      <w:r w:rsidRPr="007C5912">
        <w:rPr>
          <w:rFonts w:ascii="Century Gothic" w:hAnsi="Century Gothic"/>
        </w:rPr>
        <w:lastRenderedPageBreak/>
        <w:t xml:space="preserve">condiciones de desigualdad o desventaja, facilitándoles el acceso efectivo a la tutela judicial electoral”. </w:t>
      </w:r>
    </w:p>
    <w:p w14:paraId="528DD5E5" w14:textId="77777777" w:rsidR="00375FEA" w:rsidRPr="007C5912" w:rsidRDefault="00375FEA" w:rsidP="007C5912">
      <w:pPr>
        <w:pStyle w:val="Sinespaciado"/>
        <w:ind w:right="51"/>
        <w:jc w:val="both"/>
        <w:rPr>
          <w:rFonts w:ascii="Century Gothic" w:hAnsi="Century Gothic"/>
        </w:rPr>
      </w:pPr>
    </w:p>
    <w:p w14:paraId="2653A642"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Esto supone reconocer que el hecho de que el actor sea una persona con </w:t>
      </w:r>
      <w:proofErr w:type="gramStart"/>
      <w:r w:rsidRPr="007C5912">
        <w:rPr>
          <w:rFonts w:ascii="Century Gothic" w:hAnsi="Century Gothic"/>
        </w:rPr>
        <w:t>discapacidad,</w:t>
      </w:r>
      <w:proofErr w:type="gramEnd"/>
      <w:r w:rsidRPr="007C5912">
        <w:rPr>
          <w:rFonts w:ascii="Century Gothic" w:hAnsi="Century Gothic"/>
        </w:rPr>
        <w:t xml:space="preserve"> no deriva en algún impedimento para ejercer su derecho de acceso efectivo a la justicia. </w:t>
      </w:r>
    </w:p>
    <w:p w14:paraId="721DF350" w14:textId="77777777" w:rsidR="00375FEA" w:rsidRPr="007C5912" w:rsidRDefault="00375FEA" w:rsidP="007C5912">
      <w:pPr>
        <w:pStyle w:val="Sinespaciado"/>
        <w:ind w:right="51"/>
        <w:jc w:val="both"/>
        <w:rPr>
          <w:rFonts w:ascii="Century Gothic" w:hAnsi="Century Gothic"/>
        </w:rPr>
      </w:pPr>
    </w:p>
    <w:p w14:paraId="020C2CE4"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Ciertamente, en el Protocolo de actuación para quienes imparten justicia en casos que involucren derechos de personas con discapacidad se señala que, para abordar un asunto de este tipo, debe hacerse desde un modelo de derechos humanos. </w:t>
      </w:r>
    </w:p>
    <w:p w14:paraId="2822DECD" w14:textId="77777777" w:rsidR="00375FEA" w:rsidRPr="007C5912" w:rsidRDefault="00375FEA" w:rsidP="007C5912">
      <w:pPr>
        <w:pStyle w:val="Sinespaciado"/>
        <w:ind w:right="51"/>
        <w:jc w:val="both"/>
        <w:rPr>
          <w:rFonts w:ascii="Century Gothic" w:hAnsi="Century Gothic"/>
        </w:rPr>
      </w:pPr>
    </w:p>
    <w:p w14:paraId="5CCA2C40"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Esto significa reconocer a las personas con discapacidad como titulares de derechos humanos y, en este orden de ideas, promover que efectivamente los ejerzan en igualdad de condiciones que el resto de la población y sin discriminación alguna, reiterando su dignidad, así como el respeto por la diferencia que implica la discapacidad, lo cual conlleva la ausencia de conductas orientadas a la reproducción de estereotipos y a la exclusión y desventaja social. </w:t>
      </w:r>
    </w:p>
    <w:p w14:paraId="5310728F" w14:textId="77777777" w:rsidR="00375FEA" w:rsidRPr="007C5912" w:rsidRDefault="00375FEA" w:rsidP="007C5912">
      <w:pPr>
        <w:pStyle w:val="Sinespaciado"/>
        <w:ind w:right="51"/>
        <w:jc w:val="both"/>
        <w:rPr>
          <w:rFonts w:ascii="Century Gothic" w:hAnsi="Century Gothic"/>
        </w:rPr>
      </w:pPr>
    </w:p>
    <w:p w14:paraId="3907B396"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Para dichos efectos, es necesario aplicar, entre otros, los siguientes principios:</w:t>
      </w:r>
    </w:p>
    <w:p w14:paraId="778160F3" w14:textId="77777777" w:rsidR="00375FEA" w:rsidRPr="007C5912" w:rsidRDefault="00375FEA" w:rsidP="007C5912">
      <w:pPr>
        <w:pStyle w:val="Sinespaciado"/>
        <w:numPr>
          <w:ilvl w:val="0"/>
          <w:numId w:val="4"/>
        </w:numPr>
        <w:ind w:right="51"/>
        <w:jc w:val="both"/>
        <w:rPr>
          <w:rFonts w:ascii="Century Gothic" w:hAnsi="Century Gothic"/>
        </w:rPr>
      </w:pPr>
      <w:r w:rsidRPr="007C5912">
        <w:rPr>
          <w:rFonts w:ascii="Century Gothic" w:hAnsi="Century Gothic"/>
        </w:rPr>
        <w:t>El de mayor protección a la persona con discapacidad, que implica que todas las normas de derechos humanos, sin importar el tipo de ordenamiento en el que se hallen inmersas, deben ser interpretadas conforme a dos fuentes primigenias, siendo éstas la Constitución Política de los Estados Unidos Mexicanos y los tratados internacionales en la materia;</w:t>
      </w:r>
    </w:p>
    <w:p w14:paraId="397133DA" w14:textId="77777777" w:rsidR="00375FEA" w:rsidRPr="007C5912" w:rsidRDefault="00375FEA" w:rsidP="007C5912">
      <w:pPr>
        <w:pStyle w:val="Sinespaciado"/>
        <w:numPr>
          <w:ilvl w:val="0"/>
          <w:numId w:val="4"/>
        </w:numPr>
        <w:ind w:right="51"/>
        <w:jc w:val="both"/>
        <w:rPr>
          <w:rFonts w:ascii="Century Gothic" w:hAnsi="Century Gothic"/>
        </w:rPr>
      </w:pPr>
      <w:r w:rsidRPr="007C5912">
        <w:rPr>
          <w:rFonts w:ascii="Century Gothic" w:hAnsi="Century Gothic"/>
        </w:rPr>
        <w:t>El de igualdad y no discriminación, que significa que la situación de discapacidad de las personas no debe ser motivo para generar un trato diverso que imposibilite su inclusión en el contexto en el que se desarrollan;</w:t>
      </w:r>
    </w:p>
    <w:p w14:paraId="46DF097D" w14:textId="77777777" w:rsidR="00375FEA" w:rsidRPr="007C5912" w:rsidRDefault="00375FEA" w:rsidP="007C5912">
      <w:pPr>
        <w:pStyle w:val="Sinespaciado"/>
        <w:numPr>
          <w:ilvl w:val="0"/>
          <w:numId w:val="4"/>
        </w:numPr>
        <w:ind w:right="51"/>
        <w:jc w:val="both"/>
        <w:rPr>
          <w:rFonts w:ascii="Century Gothic" w:hAnsi="Century Gothic"/>
        </w:rPr>
      </w:pPr>
      <w:r w:rsidRPr="007C5912">
        <w:rPr>
          <w:rFonts w:ascii="Century Gothic" w:hAnsi="Century Gothic"/>
        </w:rPr>
        <w:t>El de accesibilidad, entendido en dos vertientes: (i) como un camino para garantizar una efectiva igualdad de oportunidades en el ejercicio de los derechos; y (</w:t>
      </w:r>
      <w:proofErr w:type="spellStart"/>
      <w:r w:rsidRPr="007C5912">
        <w:rPr>
          <w:rFonts w:ascii="Century Gothic" w:hAnsi="Century Gothic"/>
        </w:rPr>
        <w:t>ii</w:t>
      </w:r>
      <w:proofErr w:type="spellEnd"/>
      <w:r w:rsidRPr="007C5912">
        <w:rPr>
          <w:rFonts w:ascii="Century Gothic" w:hAnsi="Century Gothic"/>
        </w:rPr>
        <w:t xml:space="preserve">) como un requisito de diseño de cualquier entorno (físico, de las comunicaciones o de la información), o en el de los bienes y servicios. </w:t>
      </w:r>
    </w:p>
    <w:p w14:paraId="757BCB56" w14:textId="77777777" w:rsidR="00375FEA" w:rsidRPr="007C5912" w:rsidRDefault="00375FEA" w:rsidP="007C5912">
      <w:pPr>
        <w:pStyle w:val="Sinespaciado"/>
        <w:numPr>
          <w:ilvl w:val="0"/>
          <w:numId w:val="4"/>
        </w:numPr>
        <w:ind w:right="51"/>
        <w:jc w:val="both"/>
        <w:rPr>
          <w:rFonts w:ascii="Century Gothic" w:hAnsi="Century Gothic"/>
        </w:rPr>
      </w:pPr>
      <w:r w:rsidRPr="007C5912">
        <w:rPr>
          <w:rFonts w:ascii="Century Gothic" w:hAnsi="Century Gothic"/>
        </w:rPr>
        <w:t>El de respeto por la diferencia, y aceptación de la discapacidad como parte de la diversidad y condición humanas, lo que significa partir del derecho al igual reconocimiento como persona ante la ley, y centrar la atención en la voluntad, preferencias y libertad en la toma de decisiones de las personas con discapacidad; y</w:t>
      </w:r>
    </w:p>
    <w:p w14:paraId="293494A9" w14:textId="77777777" w:rsidR="00375FEA" w:rsidRPr="007C5912" w:rsidRDefault="00375FEA" w:rsidP="007C5912">
      <w:pPr>
        <w:pStyle w:val="Sinespaciado"/>
        <w:numPr>
          <w:ilvl w:val="0"/>
          <w:numId w:val="4"/>
        </w:numPr>
        <w:ind w:right="51"/>
        <w:jc w:val="both"/>
        <w:rPr>
          <w:rFonts w:ascii="Century Gothic" w:hAnsi="Century Gothic"/>
        </w:rPr>
      </w:pPr>
      <w:r w:rsidRPr="007C5912">
        <w:rPr>
          <w:rFonts w:ascii="Century Gothic" w:hAnsi="Century Gothic"/>
        </w:rPr>
        <w:t xml:space="preserve">El de participación e inclusión plenas y efectivas en la comunidad, siendo esto consustancial al ejercicio de los derechos de los que son </w:t>
      </w:r>
      <w:r w:rsidRPr="007C5912">
        <w:rPr>
          <w:rFonts w:ascii="Century Gothic" w:hAnsi="Century Gothic"/>
        </w:rPr>
        <w:lastRenderedPageBreak/>
        <w:t xml:space="preserve">titulares, en el marco del nuevo modelo social y de derechos humanos de la capacidad. </w:t>
      </w:r>
    </w:p>
    <w:p w14:paraId="6137D8F5" w14:textId="77777777" w:rsidR="00375FEA" w:rsidRPr="007C5912" w:rsidRDefault="00375FEA" w:rsidP="007C5912">
      <w:pPr>
        <w:pStyle w:val="Sinespaciado"/>
        <w:ind w:right="51"/>
        <w:jc w:val="both"/>
        <w:rPr>
          <w:rFonts w:ascii="Century Gothic" w:hAnsi="Century Gothic"/>
        </w:rPr>
      </w:pPr>
    </w:p>
    <w:p w14:paraId="368B065F"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Así, aplicando estos principios, resulta importante reiterar que la discapacidad mental del actor, no le resta capacidad jurídica para accionar los medios de impugnación que estime necesarios para la protección de sus derechos. </w:t>
      </w:r>
    </w:p>
    <w:p w14:paraId="0E803C69" w14:textId="77777777" w:rsidR="00375FEA" w:rsidRPr="007C5912" w:rsidRDefault="00375FEA" w:rsidP="007C5912">
      <w:pPr>
        <w:pStyle w:val="Sinespaciado"/>
        <w:ind w:right="51"/>
        <w:jc w:val="both"/>
        <w:rPr>
          <w:rFonts w:ascii="Century Gothic" w:hAnsi="Century Gothic"/>
        </w:rPr>
      </w:pPr>
    </w:p>
    <w:p w14:paraId="689A5013"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 xml:space="preserve">Sin embargo, esta Sala Superior está obligada a adoptar medidas especiales que faciliten su acceso a la justicia electoral, siempre respetando la diversidad funcional y siendo incluyentes y empáticos para no generar una discapacidad derivada del contexto en el que se desenvuelve la persona. </w:t>
      </w:r>
    </w:p>
    <w:p w14:paraId="02FED122" w14:textId="77777777" w:rsidR="00375FEA" w:rsidRPr="007C5912" w:rsidRDefault="00375FEA" w:rsidP="007C5912">
      <w:pPr>
        <w:pStyle w:val="Sinespaciado"/>
        <w:ind w:right="51"/>
        <w:jc w:val="both"/>
        <w:rPr>
          <w:rFonts w:ascii="Century Gothic" w:hAnsi="Century Gothic"/>
        </w:rPr>
      </w:pPr>
    </w:p>
    <w:p w14:paraId="04A9ABDE" w14:textId="77777777" w:rsidR="00375FEA" w:rsidRPr="007C5912" w:rsidRDefault="00375FEA" w:rsidP="007C5912">
      <w:pPr>
        <w:pStyle w:val="Sinespaciado"/>
        <w:ind w:right="51"/>
        <w:jc w:val="both"/>
        <w:rPr>
          <w:rFonts w:ascii="Century Gothic" w:hAnsi="Century Gothic"/>
        </w:rPr>
      </w:pPr>
      <w:r w:rsidRPr="007C5912">
        <w:rPr>
          <w:rFonts w:ascii="Century Gothic" w:hAnsi="Century Gothic"/>
        </w:rPr>
        <w:t>Esto implica tomar acciones como las siguientes:</w:t>
      </w:r>
    </w:p>
    <w:p w14:paraId="7C33250F" w14:textId="77777777" w:rsidR="00375FEA" w:rsidRPr="007C5912" w:rsidRDefault="00375FEA" w:rsidP="007C5912">
      <w:pPr>
        <w:pStyle w:val="Sinespaciado"/>
        <w:ind w:right="51"/>
        <w:jc w:val="both"/>
        <w:rPr>
          <w:rFonts w:ascii="Century Gothic" w:hAnsi="Century Gothic"/>
        </w:rPr>
      </w:pPr>
    </w:p>
    <w:p w14:paraId="5121B73C" w14:textId="77777777" w:rsidR="00375FEA" w:rsidRPr="007C5912" w:rsidRDefault="00375FEA" w:rsidP="007C5912">
      <w:pPr>
        <w:pStyle w:val="Sinespaciado"/>
        <w:numPr>
          <w:ilvl w:val="0"/>
          <w:numId w:val="7"/>
        </w:numPr>
        <w:ind w:right="51"/>
        <w:jc w:val="both"/>
        <w:rPr>
          <w:rFonts w:ascii="Century Gothic" w:hAnsi="Century Gothic"/>
        </w:rPr>
      </w:pPr>
      <w:r w:rsidRPr="007C5912">
        <w:rPr>
          <w:rFonts w:ascii="Century Gothic" w:hAnsi="Century Gothic"/>
        </w:rPr>
        <w:t>Antes de dictar una resolución:</w:t>
      </w:r>
    </w:p>
    <w:p w14:paraId="157F6106" w14:textId="77777777" w:rsidR="00375FEA" w:rsidRPr="007C5912" w:rsidRDefault="00375FEA" w:rsidP="007C5912">
      <w:pPr>
        <w:pStyle w:val="Sinespaciado"/>
        <w:ind w:left="720" w:right="51"/>
        <w:jc w:val="both"/>
        <w:rPr>
          <w:rFonts w:ascii="Century Gothic" w:hAnsi="Century Gothic"/>
        </w:rPr>
      </w:pPr>
    </w:p>
    <w:p w14:paraId="52B9F00E" w14:textId="77777777" w:rsidR="00375FEA" w:rsidRPr="007C5912" w:rsidRDefault="00375FEA" w:rsidP="007C5912">
      <w:pPr>
        <w:pStyle w:val="Sinespaciado"/>
        <w:numPr>
          <w:ilvl w:val="0"/>
          <w:numId w:val="6"/>
        </w:numPr>
        <w:ind w:right="51"/>
        <w:jc w:val="both"/>
        <w:rPr>
          <w:rFonts w:ascii="Century Gothic" w:hAnsi="Century Gothic"/>
        </w:rPr>
      </w:pPr>
      <w:r w:rsidRPr="007C5912">
        <w:rPr>
          <w:rFonts w:ascii="Century Gothic" w:hAnsi="Century Gothic"/>
        </w:rPr>
        <w:t>Asignar al actor un asesor jurídico que oriente sus pretensiones, y lo ayude a llevar a mejor término el medio de impugnación interpuesto;</w:t>
      </w:r>
    </w:p>
    <w:p w14:paraId="423B30DD" w14:textId="77777777" w:rsidR="00375FEA" w:rsidRPr="007C5912" w:rsidRDefault="00375FEA" w:rsidP="007C5912">
      <w:pPr>
        <w:pStyle w:val="Sinespaciado"/>
        <w:numPr>
          <w:ilvl w:val="0"/>
          <w:numId w:val="6"/>
        </w:numPr>
        <w:ind w:right="51"/>
        <w:jc w:val="both"/>
        <w:rPr>
          <w:rFonts w:ascii="Century Gothic" w:hAnsi="Century Gothic"/>
        </w:rPr>
      </w:pPr>
      <w:r w:rsidRPr="007C5912">
        <w:rPr>
          <w:rFonts w:ascii="Century Gothic" w:hAnsi="Century Gothic"/>
        </w:rPr>
        <w:t>Implementación de la accesibilidad en los juzgados, defensorías y fiscalías, removiendo los obstáculos para que las personas con discapacidad conozcan sus derechos y garantías, y el modo de tramitación de los procesos judiciales;</w:t>
      </w:r>
    </w:p>
    <w:p w14:paraId="73CE57B6" w14:textId="77777777" w:rsidR="00375FEA" w:rsidRPr="007C5912" w:rsidRDefault="00375FEA" w:rsidP="007C5912">
      <w:pPr>
        <w:pStyle w:val="Sinespaciado"/>
        <w:numPr>
          <w:ilvl w:val="0"/>
          <w:numId w:val="6"/>
        </w:numPr>
        <w:ind w:right="51"/>
        <w:jc w:val="both"/>
        <w:rPr>
          <w:rFonts w:ascii="Century Gothic" w:hAnsi="Century Gothic"/>
        </w:rPr>
      </w:pPr>
      <w:r w:rsidRPr="007C5912">
        <w:rPr>
          <w:rFonts w:ascii="Century Gothic" w:hAnsi="Century Gothic"/>
        </w:rPr>
        <w:t>Audiencia entre el juzgador y las personas con discapacidad, en caso de que así lo requieran;</w:t>
      </w:r>
    </w:p>
    <w:p w14:paraId="4E07E19E" w14:textId="77777777" w:rsidR="00375FEA" w:rsidRPr="007C5912" w:rsidRDefault="00375FEA" w:rsidP="007C5912">
      <w:pPr>
        <w:pStyle w:val="Sinespaciado"/>
        <w:numPr>
          <w:ilvl w:val="0"/>
          <w:numId w:val="6"/>
        </w:numPr>
        <w:ind w:right="51"/>
        <w:jc w:val="both"/>
        <w:rPr>
          <w:rFonts w:ascii="Century Gothic" w:hAnsi="Century Gothic"/>
        </w:rPr>
      </w:pPr>
      <w:r w:rsidRPr="007C5912">
        <w:rPr>
          <w:rFonts w:ascii="Century Gothic" w:hAnsi="Century Gothic"/>
        </w:rPr>
        <w:t>Acompañamiento de personas de su confianza durante todo el desarrollo del proceso;</w:t>
      </w:r>
    </w:p>
    <w:p w14:paraId="1F675805" w14:textId="77777777" w:rsidR="00375FEA" w:rsidRPr="007C5912" w:rsidRDefault="00375FEA" w:rsidP="007C5912">
      <w:pPr>
        <w:pStyle w:val="Sinespaciado"/>
        <w:ind w:right="51"/>
        <w:jc w:val="both"/>
        <w:rPr>
          <w:rFonts w:ascii="Century Gothic" w:hAnsi="Century Gothic"/>
        </w:rPr>
      </w:pPr>
    </w:p>
    <w:p w14:paraId="5AA887B0" w14:textId="77777777" w:rsidR="00375FEA" w:rsidRPr="007C5912" w:rsidRDefault="00375FEA" w:rsidP="007C5912">
      <w:pPr>
        <w:pStyle w:val="Sinespaciado"/>
        <w:numPr>
          <w:ilvl w:val="0"/>
          <w:numId w:val="7"/>
        </w:numPr>
        <w:ind w:right="51"/>
        <w:jc w:val="both"/>
        <w:rPr>
          <w:rFonts w:ascii="Century Gothic" w:hAnsi="Century Gothic"/>
        </w:rPr>
      </w:pPr>
      <w:r w:rsidRPr="007C5912">
        <w:rPr>
          <w:rFonts w:ascii="Century Gothic" w:hAnsi="Century Gothic"/>
        </w:rPr>
        <w:t>Al momento de dictar una resolución:</w:t>
      </w:r>
    </w:p>
    <w:p w14:paraId="0E6A5CE8"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Aplicar prioritariamente las normas internacionales de protección de los derechos humanos de las personas con discapacidad;</w:t>
      </w:r>
    </w:p>
    <w:p w14:paraId="217AEE53"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Abstenerse de hacer valoraciones basadas en consideraciones de tipo cultural o ideológico, que configuren prejuicios y produzcan efectos o resultados discriminatorios respecto de las personas con discapacidad;</w:t>
      </w:r>
    </w:p>
    <w:p w14:paraId="0415A8EB"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Garantizar la justicia pronta y efectiva, considerando prioritarios los casos sobre derechos de las personas con discapacidad;</w:t>
      </w:r>
    </w:p>
    <w:p w14:paraId="4DFDECC7"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Redactar las resoluciones con un lenguaje inclusivo y respetuoso de derechos humanos;</w:t>
      </w:r>
    </w:p>
    <w:p w14:paraId="21716AFB"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Resguardar la identidad del actor, a fin de que se evite que sea sujeto de discriminación;</w:t>
      </w:r>
    </w:p>
    <w:p w14:paraId="1721ED1D"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Procurarse de suficiente información que permita juzgar el caso con pleno entendimiento de la situación que se presenta;</w:t>
      </w:r>
    </w:p>
    <w:p w14:paraId="0B92216B"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lastRenderedPageBreak/>
        <w:t>Evitar aplicar automáticamente medidas genéricas de protección tutelar, y más bien, estudiar cuáles son las que se requieren en el caso concreto;</w:t>
      </w:r>
    </w:p>
    <w:p w14:paraId="0018BBF9"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 xml:space="preserve">Realizar los ajustes razonables en el procedimiento, a efecto de que este no constituya una carga; </w:t>
      </w:r>
    </w:p>
    <w:p w14:paraId="4FEFF87A"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No exigir formalidades procesales que vulneren el acceso a la justicia de las personas con discapacidad. En el mismo sentido, aplicar en sentido amplio la suplencia de la queja,</w:t>
      </w:r>
      <w:r w:rsidRPr="007C5912">
        <w:rPr>
          <w:rStyle w:val="Refdenotaalpie"/>
          <w:rFonts w:ascii="Century Gothic" w:hAnsi="Century Gothic"/>
        </w:rPr>
        <w:footnoteReference w:id="6"/>
      </w:r>
      <w:r w:rsidRPr="007C5912">
        <w:rPr>
          <w:rFonts w:ascii="Century Gothic" w:hAnsi="Century Gothic"/>
        </w:rPr>
        <w:t xml:space="preserve"> y</w:t>
      </w:r>
    </w:p>
    <w:p w14:paraId="441C42ED" w14:textId="77777777" w:rsidR="00375FEA" w:rsidRPr="007C5912" w:rsidRDefault="00375FEA" w:rsidP="007C5912">
      <w:pPr>
        <w:pStyle w:val="Sinespaciado"/>
        <w:numPr>
          <w:ilvl w:val="0"/>
          <w:numId w:val="8"/>
        </w:numPr>
        <w:ind w:right="51"/>
        <w:jc w:val="both"/>
        <w:rPr>
          <w:rFonts w:ascii="Century Gothic" w:hAnsi="Century Gothic"/>
        </w:rPr>
      </w:pPr>
      <w:r w:rsidRPr="007C5912">
        <w:rPr>
          <w:rFonts w:ascii="Century Gothic" w:hAnsi="Century Gothic"/>
        </w:rPr>
        <w:t>Redactar resoluciones con formato de lectura fácil que sean entendibles para cualquier persona, con independencia del grado de discapacidad que tengan.</w:t>
      </w:r>
      <w:r w:rsidRPr="007C5912">
        <w:rPr>
          <w:rStyle w:val="Refdenotaalpie"/>
          <w:rFonts w:ascii="Century Gothic" w:hAnsi="Century Gothic"/>
        </w:rPr>
        <w:footnoteReference w:id="7"/>
      </w:r>
      <w:r w:rsidRPr="007C5912">
        <w:rPr>
          <w:rFonts w:ascii="Century Gothic" w:hAnsi="Century Gothic"/>
        </w:rPr>
        <w:t xml:space="preserve"> </w:t>
      </w:r>
    </w:p>
    <w:p w14:paraId="0B406713" w14:textId="77777777" w:rsidR="00375FEA" w:rsidRPr="007C5912" w:rsidRDefault="00375FEA" w:rsidP="007C5912">
      <w:pPr>
        <w:spacing w:after="0" w:line="240" w:lineRule="auto"/>
        <w:jc w:val="both"/>
        <w:rPr>
          <w:rFonts w:ascii="Century Gothic" w:hAnsi="Century Gothic" w:cs="Arial"/>
          <w:b/>
          <w:sz w:val="24"/>
          <w:szCs w:val="24"/>
        </w:rPr>
      </w:pPr>
    </w:p>
    <w:p w14:paraId="40BF09BC" w14:textId="77777777" w:rsidR="00375FEA" w:rsidRPr="007C5912" w:rsidRDefault="00375FEA" w:rsidP="007C5912">
      <w:pPr>
        <w:spacing w:after="0" w:line="240" w:lineRule="auto"/>
        <w:jc w:val="both"/>
        <w:rPr>
          <w:rFonts w:ascii="Century Gothic" w:hAnsi="Century Gothic" w:cs="Arial"/>
          <w:sz w:val="24"/>
          <w:szCs w:val="24"/>
        </w:rPr>
      </w:pPr>
      <w:r w:rsidRPr="007C5912">
        <w:rPr>
          <w:rFonts w:ascii="Century Gothic" w:hAnsi="Century Gothic" w:cs="Arial"/>
          <w:sz w:val="24"/>
          <w:szCs w:val="24"/>
        </w:rPr>
        <w:t xml:space="preserve">Por lo tanto, de una interpretación de los artículos 4, 5, 13 y 29 de la Convención de la Organización de las Naciones Unidas sobre los Derechos de las Personas con Discapacidad, así como 3 de la Convención Interamericana para la Eliminación de todas las formas de Discriminación contra las Personas con Discapacidad, se advierte la obligación de los Tribunales de aplicar un estándar de protección especial para las personas que se sometan a su jurisdicción y aleguen tener algún tipo de discapacidad. Este estándar de protección incluye entre otras actividades: a) la asignación de un asesor jurídico; b) la celebración de audiencias entre el juzgador y las personas con discapacidad, cuando así lo requieran; c) realizar ajustes razonables en el procedimiento, sin exigir requisitos procesales que puedan generar cargas; y d) redactar sentencias en formato de “lectura fácil” para que cualquier persona pueda entender lo que se resuelva. </w:t>
      </w:r>
    </w:p>
    <w:p w14:paraId="7BE55639" w14:textId="77777777" w:rsidR="00375FEA" w:rsidRPr="007C5912" w:rsidRDefault="00375FEA" w:rsidP="007C5912">
      <w:pPr>
        <w:spacing w:after="0" w:line="240" w:lineRule="auto"/>
        <w:jc w:val="both"/>
        <w:rPr>
          <w:rFonts w:ascii="Century Gothic" w:hAnsi="Century Gothic" w:cs="Arial"/>
          <w:sz w:val="24"/>
          <w:szCs w:val="24"/>
        </w:rPr>
      </w:pPr>
    </w:p>
    <w:p w14:paraId="2829BC40" w14:textId="77777777" w:rsidR="00375FEA" w:rsidRPr="00DA5466" w:rsidRDefault="00375FEA" w:rsidP="00DA5466">
      <w:pPr>
        <w:spacing w:after="0" w:line="240" w:lineRule="auto"/>
        <w:jc w:val="both"/>
        <w:rPr>
          <w:rFonts w:ascii="Century Gothic" w:hAnsi="Century Gothic" w:cs="Arial"/>
          <w:sz w:val="24"/>
          <w:szCs w:val="24"/>
        </w:rPr>
      </w:pPr>
      <w:r w:rsidRPr="007C5912">
        <w:rPr>
          <w:rFonts w:ascii="Century Gothic" w:hAnsi="Century Gothic" w:cs="Arial"/>
          <w:sz w:val="24"/>
          <w:szCs w:val="24"/>
        </w:rPr>
        <w:t>Así, con base en este estándar, este máximo tribunal procederá al estudio del caso planteado.</w:t>
      </w:r>
    </w:p>
    <w:p w14:paraId="64279A52" w14:textId="77777777" w:rsidR="00375FEA" w:rsidRPr="00DA5466" w:rsidRDefault="00375FEA" w:rsidP="00DA5466">
      <w:pPr>
        <w:spacing w:after="0" w:line="240" w:lineRule="auto"/>
        <w:jc w:val="both"/>
        <w:rPr>
          <w:rFonts w:ascii="Century Gothic" w:hAnsi="Century Gothic" w:cs="Arial"/>
          <w:b/>
          <w:sz w:val="24"/>
          <w:szCs w:val="24"/>
        </w:rPr>
      </w:pPr>
    </w:p>
    <w:p w14:paraId="5E582908" w14:textId="77777777" w:rsidR="00375FEA" w:rsidRPr="00DA5466" w:rsidRDefault="00375FEA" w:rsidP="00DA5466">
      <w:pPr>
        <w:spacing w:after="0" w:line="240" w:lineRule="auto"/>
        <w:jc w:val="both"/>
        <w:rPr>
          <w:rFonts w:ascii="Century Gothic" w:hAnsi="Century Gothic" w:cs="Arial"/>
          <w:sz w:val="24"/>
          <w:szCs w:val="24"/>
        </w:rPr>
      </w:pPr>
      <w:r w:rsidRPr="00DA5466">
        <w:rPr>
          <w:rFonts w:ascii="Century Gothic" w:hAnsi="Century Gothic" w:cs="Arial"/>
          <w:b/>
          <w:sz w:val="24"/>
          <w:szCs w:val="24"/>
        </w:rPr>
        <w:t xml:space="preserve">CUARTO. Análisis de la pretensión del promovente. </w:t>
      </w:r>
      <w:r w:rsidRPr="00DA5466">
        <w:rPr>
          <w:rFonts w:ascii="Century Gothic" w:hAnsi="Century Gothic" w:cs="Arial"/>
          <w:sz w:val="24"/>
          <w:szCs w:val="24"/>
        </w:rPr>
        <w:t xml:space="preserve">En los diversos escritos que presentó el actor, señala que le causa perjuicio la omisión en el artículo 27, inciso a) del Código Federal de Instituciones y Procedimientos Electorales de regular la prohibición de que los partidos políticos hagan alusiones a los símbolos patrios en sus emblemas. </w:t>
      </w:r>
    </w:p>
    <w:p w14:paraId="772B11A9" w14:textId="77777777" w:rsidR="00375FEA" w:rsidRPr="00DA5466" w:rsidRDefault="00375FEA" w:rsidP="00DA5466">
      <w:pPr>
        <w:spacing w:after="0" w:line="240" w:lineRule="auto"/>
        <w:jc w:val="both"/>
        <w:rPr>
          <w:rFonts w:ascii="Century Gothic" w:hAnsi="Century Gothic" w:cs="Arial"/>
          <w:sz w:val="24"/>
          <w:szCs w:val="24"/>
        </w:rPr>
      </w:pPr>
    </w:p>
    <w:p w14:paraId="4A5186F7" w14:textId="77777777" w:rsidR="00375FEA" w:rsidRPr="00DA5466" w:rsidRDefault="00375FEA" w:rsidP="00DA5466">
      <w:pPr>
        <w:spacing w:after="0" w:line="240" w:lineRule="auto"/>
        <w:jc w:val="both"/>
        <w:rPr>
          <w:rFonts w:ascii="Century Gothic" w:hAnsi="Century Gothic" w:cs="Arial"/>
          <w:sz w:val="24"/>
          <w:szCs w:val="24"/>
        </w:rPr>
      </w:pPr>
      <w:r w:rsidRPr="00DA5466">
        <w:rPr>
          <w:rFonts w:ascii="Century Gothic" w:hAnsi="Century Gothic" w:cs="Arial"/>
          <w:sz w:val="24"/>
          <w:szCs w:val="24"/>
        </w:rPr>
        <w:t xml:space="preserve">Afirma que, así como se indica que la denominación debe estar exenta de alusiones religiosas o raciales, también debe prohibir las alusiones a los </w:t>
      </w:r>
      <w:r w:rsidRPr="00DA5466">
        <w:rPr>
          <w:rFonts w:ascii="Century Gothic" w:hAnsi="Century Gothic" w:cs="Arial"/>
          <w:sz w:val="24"/>
          <w:szCs w:val="24"/>
        </w:rPr>
        <w:lastRenderedPageBreak/>
        <w:t xml:space="preserve">símbolos patrios porque son una poderosa motivación que puede cambiar las decisiones en materia electoral. </w:t>
      </w:r>
    </w:p>
    <w:p w14:paraId="34B39443" w14:textId="77777777" w:rsidR="00375FEA" w:rsidRPr="00DA5466" w:rsidRDefault="00375FEA" w:rsidP="00DA5466">
      <w:pPr>
        <w:spacing w:after="0" w:line="240" w:lineRule="auto"/>
        <w:jc w:val="both"/>
        <w:rPr>
          <w:rFonts w:ascii="Century Gothic" w:hAnsi="Century Gothic" w:cs="Arial"/>
          <w:sz w:val="24"/>
          <w:szCs w:val="24"/>
        </w:rPr>
      </w:pPr>
    </w:p>
    <w:p w14:paraId="684BA2B5" w14:textId="77777777" w:rsidR="00375FEA" w:rsidRPr="00DA5466" w:rsidRDefault="00375FEA" w:rsidP="00DA5466">
      <w:pPr>
        <w:spacing w:after="0" w:line="240" w:lineRule="auto"/>
        <w:jc w:val="both"/>
        <w:rPr>
          <w:rFonts w:ascii="Century Gothic" w:hAnsi="Century Gothic" w:cs="Arial"/>
          <w:sz w:val="24"/>
          <w:szCs w:val="24"/>
        </w:rPr>
      </w:pPr>
      <w:r w:rsidRPr="00DA5466">
        <w:rPr>
          <w:rFonts w:ascii="Century Gothic" w:hAnsi="Century Gothic" w:cs="Arial"/>
          <w:sz w:val="24"/>
          <w:szCs w:val="24"/>
        </w:rPr>
        <w:t xml:space="preserve">Puntualiza que, en su situación particular de persona con discapacidad mental, el que en los emblemas se hagan alusiones a “signos patrios” le provoca reacciones de depresión y angustia. Explica que, al no comulgar con las propuestas de partidos como el Revolucionario Institucional y MORENA, los cuales utilizan los colores y el águila de la bandera nacional en sus logotipos, le genera angustia que, al momento de votar, no escoja los emblemas que contienen los signos integrantes de la bandera. </w:t>
      </w:r>
    </w:p>
    <w:p w14:paraId="38ADE7D3" w14:textId="77777777" w:rsidR="00375FEA" w:rsidRPr="00DA5466" w:rsidRDefault="00375FEA" w:rsidP="00DA5466">
      <w:pPr>
        <w:spacing w:after="0" w:line="240" w:lineRule="auto"/>
        <w:jc w:val="both"/>
        <w:rPr>
          <w:rFonts w:ascii="Century Gothic" w:hAnsi="Century Gothic" w:cs="Arial"/>
          <w:sz w:val="24"/>
          <w:szCs w:val="24"/>
        </w:rPr>
      </w:pPr>
    </w:p>
    <w:p w14:paraId="02A35CFA" w14:textId="77777777" w:rsidR="00375FEA" w:rsidRPr="00DA5466" w:rsidRDefault="00375FEA" w:rsidP="00DA5466">
      <w:pPr>
        <w:spacing w:after="0" w:line="240" w:lineRule="auto"/>
        <w:jc w:val="both"/>
        <w:rPr>
          <w:rFonts w:ascii="Century Gothic" w:hAnsi="Century Gothic" w:cs="Arial"/>
          <w:sz w:val="24"/>
          <w:szCs w:val="24"/>
        </w:rPr>
      </w:pPr>
      <w:r w:rsidRPr="00DA5466">
        <w:rPr>
          <w:rFonts w:ascii="Century Gothic" w:hAnsi="Century Gothic" w:cs="Arial"/>
          <w:sz w:val="24"/>
          <w:szCs w:val="24"/>
        </w:rPr>
        <w:t xml:space="preserve">Por estas razones, solicita, a la par de que se ordene regular estos aspectos, que se otorgue la suspensión provisional, a efecto de que los partidos políticos en cuestión dejen de utilizar los elementos de los símbolos patrios en sus logotipos, y en concreto, que no se impriman las boletas electorales de las próximas elecciones con dichos logotipos.  </w:t>
      </w:r>
    </w:p>
    <w:p w14:paraId="503295B2" w14:textId="77777777" w:rsidR="00375FEA" w:rsidRPr="00DA5466" w:rsidRDefault="00375FEA" w:rsidP="00DA5466">
      <w:pPr>
        <w:spacing w:after="0" w:line="240" w:lineRule="auto"/>
        <w:jc w:val="both"/>
        <w:rPr>
          <w:rFonts w:ascii="Century Gothic" w:hAnsi="Century Gothic" w:cs="Arial"/>
          <w:sz w:val="24"/>
          <w:szCs w:val="24"/>
        </w:rPr>
      </w:pPr>
    </w:p>
    <w:p w14:paraId="3FA5B452" w14:textId="77777777" w:rsidR="00375FEA" w:rsidRPr="00DA5466" w:rsidRDefault="00375FEA" w:rsidP="00DA5466">
      <w:pPr>
        <w:spacing w:after="0" w:line="240" w:lineRule="auto"/>
        <w:jc w:val="both"/>
        <w:rPr>
          <w:rFonts w:ascii="Century Gothic" w:hAnsi="Century Gothic" w:cs="Arial"/>
          <w:sz w:val="24"/>
          <w:szCs w:val="24"/>
        </w:rPr>
      </w:pPr>
      <w:r w:rsidRPr="00DA5466">
        <w:rPr>
          <w:rFonts w:ascii="Century Gothic" w:hAnsi="Century Gothic" w:cs="Arial"/>
          <w:sz w:val="24"/>
          <w:szCs w:val="24"/>
        </w:rPr>
        <w:t>Adicionalmente, en escrito presentado el treinta de noviembre de este año, el actor señala que también le causa afectación que el partido MORENA pretenda utilizar la influencia de la Virgen de Guadalupe, depositando la intención de la candidatura presidencial el día doce de diciembre, en el cual se celebra a la misma. Indica que esto es contrario al artículo 27, inciso a) del Código Federal de Procedimientos Electorales, pues hace una alusión de carácter religioso.</w:t>
      </w:r>
    </w:p>
    <w:p w14:paraId="5303726C" w14:textId="77777777" w:rsidR="00375FEA" w:rsidRPr="00DA5466" w:rsidRDefault="00375FEA" w:rsidP="00DA5466">
      <w:pPr>
        <w:spacing w:after="0" w:line="240" w:lineRule="auto"/>
        <w:jc w:val="both"/>
        <w:rPr>
          <w:rFonts w:ascii="Century Gothic" w:hAnsi="Century Gothic" w:cs="Arial"/>
          <w:sz w:val="24"/>
          <w:szCs w:val="24"/>
        </w:rPr>
      </w:pPr>
    </w:p>
    <w:p w14:paraId="464981C2" w14:textId="77777777" w:rsidR="00375FEA" w:rsidRPr="00DA5466" w:rsidRDefault="00375FEA" w:rsidP="00DA5466">
      <w:pPr>
        <w:spacing w:after="0" w:line="240" w:lineRule="auto"/>
        <w:jc w:val="both"/>
        <w:rPr>
          <w:rFonts w:ascii="Century Gothic" w:hAnsi="Century Gothic" w:cs="Arial"/>
          <w:sz w:val="24"/>
          <w:szCs w:val="24"/>
        </w:rPr>
      </w:pPr>
      <w:r w:rsidRPr="00DA5466">
        <w:rPr>
          <w:rFonts w:ascii="Century Gothic" w:hAnsi="Century Gothic" w:cs="Arial"/>
          <w:sz w:val="24"/>
          <w:szCs w:val="24"/>
        </w:rPr>
        <w:t xml:space="preserve">Del análisis de dichas pretensiones, esta Sala Superior estima que lo procedente sería reencauzar el escrito presentado a </w:t>
      </w:r>
      <w:r w:rsidRPr="00DA5466">
        <w:rPr>
          <w:rFonts w:ascii="Century Gothic" w:hAnsi="Century Gothic" w:cs="Arial"/>
          <w:b/>
          <w:sz w:val="24"/>
          <w:szCs w:val="24"/>
        </w:rPr>
        <w:t>juicio electoral</w:t>
      </w:r>
      <w:r w:rsidRPr="00DA5466">
        <w:rPr>
          <w:rFonts w:ascii="Century Gothic" w:hAnsi="Century Gothic" w:cs="Arial"/>
          <w:sz w:val="24"/>
          <w:szCs w:val="24"/>
        </w:rPr>
        <w:t>, toda vez que el promovente impugna actos que no admiten ser controvertidos a través de otro juicio o recurso previsto en la legislación electoral.</w:t>
      </w:r>
      <w:r w:rsidRPr="00DA5466">
        <w:rPr>
          <w:rStyle w:val="Refdenotaalpie"/>
          <w:rFonts w:ascii="Century Gothic" w:hAnsi="Century Gothic" w:cs="Arial"/>
          <w:sz w:val="24"/>
          <w:szCs w:val="24"/>
        </w:rPr>
        <w:footnoteReference w:id="8"/>
      </w:r>
      <w:r w:rsidRPr="00DA5466">
        <w:rPr>
          <w:rFonts w:ascii="Century Gothic" w:hAnsi="Century Gothic" w:cs="Arial"/>
          <w:sz w:val="24"/>
          <w:szCs w:val="24"/>
        </w:rPr>
        <w:t xml:space="preserve"> </w:t>
      </w:r>
    </w:p>
    <w:p w14:paraId="0D03D83B" w14:textId="77777777" w:rsidR="00375FEA" w:rsidRPr="00776DC9" w:rsidRDefault="00375FEA" w:rsidP="00776DC9">
      <w:pPr>
        <w:spacing w:after="0" w:line="240" w:lineRule="auto"/>
        <w:jc w:val="both"/>
        <w:rPr>
          <w:rFonts w:ascii="Century Gothic" w:hAnsi="Century Gothic" w:cs="Arial"/>
          <w:sz w:val="24"/>
          <w:szCs w:val="24"/>
        </w:rPr>
      </w:pPr>
    </w:p>
    <w:p w14:paraId="678B005C" w14:textId="77777777" w:rsidR="00375FEA" w:rsidRPr="00776DC9" w:rsidRDefault="00375FEA" w:rsidP="00776DC9">
      <w:pPr>
        <w:spacing w:after="0" w:line="240" w:lineRule="auto"/>
        <w:jc w:val="both"/>
        <w:rPr>
          <w:rFonts w:ascii="Century Gothic" w:hAnsi="Century Gothic" w:cs="Arial"/>
          <w:sz w:val="24"/>
          <w:szCs w:val="24"/>
        </w:rPr>
      </w:pPr>
      <w:r w:rsidRPr="00776DC9">
        <w:rPr>
          <w:rFonts w:ascii="Century Gothic" w:hAnsi="Century Gothic" w:cs="Arial"/>
          <w:sz w:val="24"/>
          <w:szCs w:val="24"/>
        </w:rPr>
        <w:t xml:space="preserve">No obstante, a ningún efecto práctico conduciría lo anterior, toda vez que el actor carece de interés jurídico, o incluso legítimo, para impugnar los actos de los cuáles se queja, por lo que no se surtirían los requisitos de procedencia necesarios para entrar al estudio de fondo del asunto planteado.  </w:t>
      </w:r>
    </w:p>
    <w:p w14:paraId="5A99BAB6" w14:textId="77777777" w:rsidR="00375FEA" w:rsidRPr="00776DC9" w:rsidRDefault="00375FEA" w:rsidP="00776DC9">
      <w:pPr>
        <w:spacing w:after="0" w:line="240" w:lineRule="auto"/>
        <w:jc w:val="both"/>
        <w:rPr>
          <w:rFonts w:ascii="Century Gothic" w:hAnsi="Century Gothic" w:cs="Arial"/>
          <w:sz w:val="24"/>
          <w:szCs w:val="24"/>
        </w:rPr>
      </w:pPr>
    </w:p>
    <w:p w14:paraId="569CCA88" w14:textId="77777777" w:rsidR="00375FEA" w:rsidRPr="00776DC9" w:rsidRDefault="00375FEA" w:rsidP="00776DC9">
      <w:pPr>
        <w:spacing w:after="0" w:line="240" w:lineRule="auto"/>
        <w:jc w:val="both"/>
        <w:rPr>
          <w:rFonts w:ascii="Century Gothic" w:hAnsi="Century Gothic" w:cs="Arial"/>
          <w:sz w:val="24"/>
          <w:szCs w:val="24"/>
        </w:rPr>
      </w:pPr>
      <w:r w:rsidRPr="00776DC9">
        <w:rPr>
          <w:rFonts w:ascii="Century Gothic" w:hAnsi="Century Gothic" w:cs="Arial"/>
          <w:sz w:val="24"/>
          <w:szCs w:val="24"/>
        </w:rPr>
        <w:t xml:space="preserve">Al respecto, esta Sala Superior ha establecido que el interés jurídico se surte, si en la demanda se hace valer la infracción de algún derecho sustancial del actor, y a la vez, éste hace ver que la intervención del órgano jurisdiccional es necesaria y útil para lograr la reparación de esa violación, mediante la formulación de algún planteamiento tendente a obtener el </w:t>
      </w:r>
      <w:r w:rsidRPr="00776DC9">
        <w:rPr>
          <w:rFonts w:ascii="Century Gothic" w:hAnsi="Century Gothic" w:cs="Arial"/>
          <w:sz w:val="24"/>
          <w:szCs w:val="24"/>
        </w:rPr>
        <w:lastRenderedPageBreak/>
        <w:t>dictado de una sentencia, que tenga el efecto de revocar o modificar el acto o la resolución reclamados que producirá la consiguiente restitución al demandante en el goce del pretendido derecho político electoral violado.</w:t>
      </w:r>
      <w:r w:rsidRPr="00776DC9">
        <w:rPr>
          <w:rStyle w:val="Refdenotaalpie"/>
          <w:rFonts w:ascii="Century Gothic" w:hAnsi="Century Gothic" w:cs="Arial"/>
          <w:sz w:val="24"/>
          <w:szCs w:val="24"/>
        </w:rPr>
        <w:footnoteReference w:id="9"/>
      </w:r>
      <w:r w:rsidRPr="00776DC9">
        <w:rPr>
          <w:rFonts w:ascii="Century Gothic" w:hAnsi="Century Gothic" w:cs="Arial"/>
          <w:sz w:val="24"/>
          <w:szCs w:val="24"/>
        </w:rPr>
        <w:t xml:space="preserve"> </w:t>
      </w:r>
    </w:p>
    <w:p w14:paraId="5812AB41" w14:textId="77777777" w:rsidR="00375FEA" w:rsidRPr="00776DC9" w:rsidRDefault="00375FEA" w:rsidP="00776DC9">
      <w:pPr>
        <w:spacing w:after="0" w:line="240" w:lineRule="auto"/>
        <w:jc w:val="both"/>
        <w:rPr>
          <w:rFonts w:ascii="Century Gothic" w:hAnsi="Century Gothic" w:cs="Arial"/>
          <w:sz w:val="24"/>
          <w:szCs w:val="24"/>
        </w:rPr>
      </w:pPr>
    </w:p>
    <w:p w14:paraId="5F40D35F" w14:textId="77777777" w:rsidR="00375FEA" w:rsidRPr="00776DC9" w:rsidRDefault="00375FEA" w:rsidP="00776DC9">
      <w:pPr>
        <w:spacing w:after="0" w:line="240" w:lineRule="auto"/>
        <w:jc w:val="both"/>
        <w:rPr>
          <w:rFonts w:ascii="Century Gothic" w:hAnsi="Century Gothic" w:cs="Arial"/>
          <w:sz w:val="24"/>
          <w:szCs w:val="24"/>
        </w:rPr>
      </w:pPr>
      <w:r w:rsidRPr="00776DC9">
        <w:rPr>
          <w:rFonts w:ascii="Century Gothic" w:hAnsi="Century Gothic" w:cs="Arial"/>
          <w:sz w:val="24"/>
          <w:szCs w:val="24"/>
        </w:rPr>
        <w:t xml:space="preserve">Así, para que el interés jurídico exista, el acto o resolución impugnado, debe repercutir de manera clara y suficiente en el ámbito de derechos de quien acude al proceso, pues sólo de esa manera, de llegar a demostrar en juicio que la afectación del derecho de que aduce ser titular es ilegal, se le podrá restituir en el goce de la prerrogativa vulnerada o bien se hará factible su ejercicio. </w:t>
      </w:r>
    </w:p>
    <w:p w14:paraId="54F9DFE4" w14:textId="77777777" w:rsidR="00375FEA" w:rsidRPr="00776DC9" w:rsidRDefault="00375FEA" w:rsidP="00776DC9">
      <w:pPr>
        <w:spacing w:after="0" w:line="240" w:lineRule="auto"/>
        <w:jc w:val="both"/>
        <w:rPr>
          <w:rFonts w:ascii="Century Gothic" w:hAnsi="Century Gothic" w:cs="Arial"/>
          <w:sz w:val="24"/>
          <w:szCs w:val="24"/>
        </w:rPr>
      </w:pPr>
    </w:p>
    <w:p w14:paraId="110F1BC0" w14:textId="77777777" w:rsidR="00375FEA" w:rsidRPr="00776DC9" w:rsidRDefault="00375FEA" w:rsidP="00776DC9">
      <w:pPr>
        <w:spacing w:after="0" w:line="240" w:lineRule="auto"/>
        <w:jc w:val="both"/>
        <w:rPr>
          <w:rFonts w:ascii="Century Gothic" w:hAnsi="Century Gothic" w:cs="Arial"/>
          <w:sz w:val="24"/>
          <w:szCs w:val="24"/>
        </w:rPr>
      </w:pPr>
      <w:r w:rsidRPr="00776DC9">
        <w:rPr>
          <w:rFonts w:ascii="Century Gothic" w:hAnsi="Century Gothic" w:cs="Arial"/>
          <w:sz w:val="24"/>
          <w:szCs w:val="24"/>
        </w:rPr>
        <w:t>Ahora bien, el interés legítimo se define como aquél personal, individual o colectivo, cualificado, actual, real y jurídicamente relevante, que puede traducirse en un beneficio jurídico en favor del quejoso derivado de una afectación a su esfera jurídica en sentido amplio, que puede ser de índole económica, profesional, de salud pública o de cualquier otra.</w:t>
      </w:r>
      <w:r w:rsidRPr="00776DC9">
        <w:rPr>
          <w:rStyle w:val="Refdenotaalpie"/>
          <w:rFonts w:ascii="Century Gothic" w:hAnsi="Century Gothic" w:cs="Arial"/>
          <w:sz w:val="24"/>
          <w:szCs w:val="24"/>
        </w:rPr>
        <w:footnoteReference w:id="10"/>
      </w:r>
      <w:r w:rsidRPr="00776DC9">
        <w:rPr>
          <w:rFonts w:ascii="Century Gothic" w:hAnsi="Century Gothic" w:cs="Arial"/>
          <w:sz w:val="24"/>
          <w:szCs w:val="24"/>
        </w:rPr>
        <w:t xml:space="preserve"> </w:t>
      </w:r>
    </w:p>
    <w:p w14:paraId="0BA85A23" w14:textId="77777777" w:rsidR="00375FEA" w:rsidRPr="00776DC9" w:rsidRDefault="00375FEA" w:rsidP="00776DC9">
      <w:pPr>
        <w:spacing w:after="0" w:line="240" w:lineRule="auto"/>
        <w:jc w:val="both"/>
        <w:rPr>
          <w:rFonts w:ascii="Century Gothic" w:hAnsi="Century Gothic" w:cs="Arial"/>
          <w:sz w:val="24"/>
          <w:szCs w:val="24"/>
        </w:rPr>
      </w:pPr>
    </w:p>
    <w:p w14:paraId="5496ABD5" w14:textId="77777777" w:rsidR="00375FEA" w:rsidRPr="00776DC9" w:rsidRDefault="00375FEA" w:rsidP="00776DC9">
      <w:pPr>
        <w:spacing w:after="0" w:line="240" w:lineRule="auto"/>
        <w:jc w:val="both"/>
        <w:rPr>
          <w:rFonts w:ascii="Century Gothic" w:hAnsi="Century Gothic" w:cs="Arial"/>
          <w:sz w:val="24"/>
          <w:szCs w:val="24"/>
        </w:rPr>
      </w:pPr>
      <w:r w:rsidRPr="00776DC9">
        <w:rPr>
          <w:rFonts w:ascii="Century Gothic" w:hAnsi="Century Gothic" w:cs="Arial"/>
          <w:sz w:val="24"/>
          <w:szCs w:val="24"/>
        </w:rPr>
        <w:t>En el caso, se advierte que no hay un acto concreto de aplicación que pudiera afectar de forma directa los derechos políticos-electorales del actor, pues en ningún momento se le está impidiendo ejercer su derecho al voto de forma libre y secreta, tal y como lo alega.</w:t>
      </w:r>
    </w:p>
    <w:p w14:paraId="334AF048" w14:textId="77777777" w:rsidR="00375FEA" w:rsidRPr="00776DC9" w:rsidRDefault="00375FEA" w:rsidP="00776DC9">
      <w:pPr>
        <w:spacing w:after="0" w:line="240" w:lineRule="auto"/>
        <w:jc w:val="both"/>
        <w:rPr>
          <w:rFonts w:ascii="Century Gothic" w:hAnsi="Century Gothic" w:cs="Arial"/>
          <w:bCs/>
          <w:iCs/>
          <w:sz w:val="24"/>
          <w:szCs w:val="24"/>
        </w:rPr>
      </w:pPr>
    </w:p>
    <w:p w14:paraId="5CF0D531"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Cs/>
          <w:iCs/>
          <w:sz w:val="24"/>
          <w:szCs w:val="24"/>
        </w:rPr>
        <w:t xml:space="preserve">En el mismo sentido, no existen elementos para concluir que las conductas denunciadas generen algún tipo de discriminación al grupo en situación de vulnerabilidad del que forma parte el actor, por lo que tampoco se actualizan los elementos necesarios para que se le reconozca interés legítimo para la defensa de sus derechos. </w:t>
      </w:r>
    </w:p>
    <w:p w14:paraId="1E2FAD3E" w14:textId="77777777" w:rsidR="00375FEA" w:rsidRPr="00776DC9" w:rsidRDefault="00375FEA" w:rsidP="00776DC9">
      <w:pPr>
        <w:spacing w:after="0" w:line="240" w:lineRule="auto"/>
        <w:jc w:val="both"/>
        <w:rPr>
          <w:rFonts w:ascii="Century Gothic" w:hAnsi="Century Gothic" w:cs="Arial"/>
          <w:bCs/>
          <w:iCs/>
          <w:sz w:val="24"/>
          <w:szCs w:val="24"/>
        </w:rPr>
      </w:pPr>
    </w:p>
    <w:p w14:paraId="2615E157"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Cs/>
          <w:iCs/>
          <w:sz w:val="24"/>
          <w:szCs w:val="24"/>
        </w:rPr>
        <w:t>Al respecto, este Tribunal Electoral estima que las violaciones que alega el actor, no se materializan en un acto de aplicación que pueda vulnerar de forma directa, en su perjuicio, algún derecho político electoral y, por tanto, a ningún fin eficaz llevaría el estudio de la controversia planteada, pues no existe violación que reparar ni derecho que restituir al actor.</w:t>
      </w:r>
    </w:p>
    <w:p w14:paraId="30729AD3" w14:textId="77777777" w:rsidR="00375FEA" w:rsidRPr="00776DC9" w:rsidRDefault="00375FEA" w:rsidP="00776DC9">
      <w:pPr>
        <w:spacing w:after="0" w:line="240" w:lineRule="auto"/>
        <w:jc w:val="both"/>
        <w:rPr>
          <w:rFonts w:ascii="Century Gothic" w:hAnsi="Century Gothic" w:cs="Arial"/>
          <w:bCs/>
          <w:iCs/>
          <w:sz w:val="24"/>
          <w:szCs w:val="24"/>
        </w:rPr>
      </w:pPr>
    </w:p>
    <w:p w14:paraId="37AA70C9"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Cs/>
          <w:iCs/>
          <w:sz w:val="24"/>
          <w:szCs w:val="24"/>
        </w:rPr>
        <w:t xml:space="preserve">Lo anterior, porque esta Sala Superior ha establecido en criterio de que, por regla general, sólo los partidos políticos están facultados para deducir acciones tuitivas de intereses difusos, tratándose de actos relacionados con </w:t>
      </w:r>
      <w:r w:rsidRPr="00776DC9">
        <w:rPr>
          <w:rFonts w:ascii="Century Gothic" w:hAnsi="Century Gothic" w:cs="Arial"/>
          <w:bCs/>
          <w:iCs/>
          <w:sz w:val="24"/>
          <w:szCs w:val="24"/>
        </w:rPr>
        <w:lastRenderedPageBreak/>
        <w:t>la regularidad de los procesos electorales.</w:t>
      </w:r>
      <w:r w:rsidRPr="00776DC9">
        <w:rPr>
          <w:rStyle w:val="Refdenotaalpie"/>
          <w:rFonts w:ascii="Century Gothic" w:hAnsi="Century Gothic" w:cs="Arial"/>
          <w:bCs/>
          <w:iCs/>
          <w:sz w:val="24"/>
          <w:szCs w:val="24"/>
        </w:rPr>
        <w:footnoteReference w:id="11"/>
      </w:r>
      <w:r w:rsidRPr="00776DC9">
        <w:rPr>
          <w:rFonts w:ascii="Century Gothic" w:hAnsi="Century Gothic" w:cs="Arial"/>
          <w:bCs/>
          <w:iCs/>
          <w:sz w:val="24"/>
          <w:szCs w:val="24"/>
        </w:rPr>
        <w:t xml:space="preserve"> En este orden de ideas, los ciudadanos no cuentan con acción jurisdiccional para la defensa de ese interés, ni en forma individual, ni en conjunto con otros ciudadanos, sino que sólo pueden impugnar actos que violen directamente sus derechos político-electorales.</w:t>
      </w:r>
    </w:p>
    <w:p w14:paraId="20B5AA96" w14:textId="77777777" w:rsidR="00375FEA" w:rsidRPr="00776DC9" w:rsidRDefault="00375FEA" w:rsidP="00776DC9">
      <w:pPr>
        <w:spacing w:after="0" w:line="240" w:lineRule="auto"/>
        <w:jc w:val="both"/>
        <w:rPr>
          <w:rFonts w:ascii="Century Gothic" w:hAnsi="Century Gothic" w:cs="Arial"/>
          <w:bCs/>
          <w:iCs/>
          <w:sz w:val="24"/>
          <w:szCs w:val="24"/>
        </w:rPr>
      </w:pPr>
    </w:p>
    <w:p w14:paraId="745DEE9E"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Cs/>
          <w:iCs/>
          <w:sz w:val="24"/>
          <w:szCs w:val="24"/>
        </w:rPr>
        <w:t xml:space="preserve">Ciertamente, este máximo órgano jurisdiccional en juicios ciudadanos como el SUP-JDC-1089/2017 o el SUP-JDC-1117/2017, ha precisado que los medios de impugnación en materia electoral promovidos por ciudadanos, no pueden analizar actos y resoluciones en que la posible afectación de derechos no se pueda individualizar al propio actor o a un grupo o sector discriminado al cual pertenezca, o en el que la lesión incida sobre la persona solo por su pertenencia indisoluble a un conjunto de ciudadanos, integrantes de una colectividad o partido. </w:t>
      </w:r>
    </w:p>
    <w:p w14:paraId="52981118" w14:textId="77777777" w:rsidR="00375FEA" w:rsidRPr="00776DC9" w:rsidRDefault="00375FEA" w:rsidP="00776DC9">
      <w:pPr>
        <w:spacing w:after="0" w:line="240" w:lineRule="auto"/>
        <w:jc w:val="both"/>
        <w:rPr>
          <w:rFonts w:ascii="Century Gothic" w:hAnsi="Century Gothic" w:cs="Arial"/>
          <w:bCs/>
          <w:iCs/>
          <w:sz w:val="24"/>
          <w:szCs w:val="24"/>
        </w:rPr>
      </w:pPr>
    </w:p>
    <w:p w14:paraId="2ED49C90"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Cs/>
          <w:iCs/>
          <w:sz w:val="24"/>
          <w:szCs w:val="24"/>
        </w:rPr>
        <w:t>En el presente asunto, la posible afectación por el uso de elementos de los símbolos patrios en los emblemas de los partidos políticos, y la toma de protesta del precandidato de MORENA el día de la Virgen de Guadalupe, no causan un menoscabo individual, inmediato y directo de forma exclusiva al actor, ya que, en todo caso, podrían incidir en la esfera de derechos de cualquier ciudadana o ciudadano que se encuentre en condiciones de ejercer los derechos político-electorales de votar y ser votados en el país, pues el uso de los elementos de los símbolos patrios en los emblemas y la toma de protesta el día de la Virgen de Guadalupe, trascenderían a todos esos supuestos, y no solamente a la esfera de derechos del promovente.</w:t>
      </w:r>
    </w:p>
    <w:p w14:paraId="2D8707CC" w14:textId="77777777" w:rsidR="00375FEA" w:rsidRPr="00776DC9" w:rsidRDefault="00375FEA" w:rsidP="00776DC9">
      <w:pPr>
        <w:spacing w:after="0" w:line="240" w:lineRule="auto"/>
        <w:jc w:val="both"/>
        <w:rPr>
          <w:rFonts w:ascii="Century Gothic" w:hAnsi="Century Gothic" w:cs="Arial"/>
          <w:bCs/>
          <w:iCs/>
          <w:sz w:val="24"/>
          <w:szCs w:val="24"/>
        </w:rPr>
      </w:pPr>
    </w:p>
    <w:p w14:paraId="3042DB87"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Cs/>
          <w:iCs/>
          <w:sz w:val="24"/>
          <w:szCs w:val="24"/>
        </w:rPr>
        <w:t xml:space="preserve">Por lo anterior, esta Sala Superior, </w:t>
      </w:r>
    </w:p>
    <w:p w14:paraId="0FEC8949" w14:textId="77777777" w:rsidR="00375FEA" w:rsidRPr="00776DC9" w:rsidRDefault="00375FEA" w:rsidP="00776DC9">
      <w:pPr>
        <w:spacing w:after="0" w:line="240" w:lineRule="auto"/>
        <w:jc w:val="both"/>
        <w:rPr>
          <w:rFonts w:ascii="Century Gothic" w:hAnsi="Century Gothic" w:cs="Arial"/>
          <w:bCs/>
          <w:iCs/>
          <w:sz w:val="24"/>
          <w:szCs w:val="24"/>
        </w:rPr>
      </w:pPr>
    </w:p>
    <w:p w14:paraId="005B74B0" w14:textId="77777777" w:rsidR="00375FEA" w:rsidRPr="00776DC9" w:rsidRDefault="00375FEA" w:rsidP="00776DC9">
      <w:pPr>
        <w:spacing w:after="0" w:line="240" w:lineRule="auto"/>
        <w:jc w:val="center"/>
        <w:rPr>
          <w:rFonts w:ascii="Century Gothic" w:hAnsi="Century Gothic" w:cs="Arial"/>
          <w:bCs/>
          <w:iCs/>
          <w:sz w:val="24"/>
          <w:szCs w:val="24"/>
        </w:rPr>
      </w:pPr>
      <w:r w:rsidRPr="00776DC9">
        <w:rPr>
          <w:rFonts w:ascii="Century Gothic" w:hAnsi="Century Gothic" w:cs="Arial"/>
          <w:b/>
          <w:bCs/>
          <w:iCs/>
          <w:sz w:val="24"/>
          <w:szCs w:val="24"/>
        </w:rPr>
        <w:t>RESUELVE</w:t>
      </w:r>
    </w:p>
    <w:p w14:paraId="4F983C22" w14:textId="77777777" w:rsidR="00375FEA" w:rsidRPr="00776DC9" w:rsidRDefault="00375FEA" w:rsidP="00776DC9">
      <w:pPr>
        <w:spacing w:after="0" w:line="240" w:lineRule="auto"/>
        <w:jc w:val="both"/>
        <w:rPr>
          <w:rFonts w:ascii="Century Gothic" w:hAnsi="Century Gothic" w:cs="Arial"/>
          <w:bCs/>
          <w:iCs/>
          <w:sz w:val="24"/>
          <w:szCs w:val="24"/>
        </w:rPr>
      </w:pPr>
    </w:p>
    <w:p w14:paraId="1E47C709"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
          <w:bCs/>
          <w:iCs/>
          <w:sz w:val="24"/>
          <w:szCs w:val="24"/>
        </w:rPr>
        <w:t xml:space="preserve">PRIMERO. </w:t>
      </w:r>
      <w:r w:rsidRPr="00776DC9">
        <w:rPr>
          <w:rFonts w:ascii="Century Gothic" w:hAnsi="Century Gothic" w:cs="Arial"/>
          <w:bCs/>
          <w:iCs/>
          <w:sz w:val="24"/>
          <w:szCs w:val="24"/>
        </w:rPr>
        <w:t>Se</w:t>
      </w:r>
      <w:r w:rsidRPr="00776DC9">
        <w:rPr>
          <w:rFonts w:ascii="Century Gothic" w:hAnsi="Century Gothic" w:cs="Arial"/>
          <w:b/>
          <w:bCs/>
          <w:iCs/>
          <w:sz w:val="24"/>
          <w:szCs w:val="24"/>
        </w:rPr>
        <w:t xml:space="preserve"> desecha de plano </w:t>
      </w:r>
      <w:r w:rsidRPr="00776DC9">
        <w:rPr>
          <w:rFonts w:ascii="Century Gothic" w:hAnsi="Century Gothic" w:cs="Arial"/>
          <w:bCs/>
          <w:iCs/>
          <w:sz w:val="24"/>
          <w:szCs w:val="24"/>
        </w:rPr>
        <w:t xml:space="preserve">la demanda presentada por el actor. </w:t>
      </w:r>
    </w:p>
    <w:p w14:paraId="42AB6E99" w14:textId="77777777" w:rsidR="00375FEA" w:rsidRPr="00776DC9" w:rsidRDefault="00375FEA" w:rsidP="00776DC9">
      <w:pPr>
        <w:spacing w:after="0" w:line="240" w:lineRule="auto"/>
        <w:jc w:val="both"/>
        <w:rPr>
          <w:rFonts w:ascii="Century Gothic" w:hAnsi="Century Gothic" w:cs="Arial"/>
          <w:bCs/>
          <w:iCs/>
          <w:sz w:val="24"/>
          <w:szCs w:val="24"/>
        </w:rPr>
      </w:pPr>
    </w:p>
    <w:p w14:paraId="45BEC49D"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
          <w:bCs/>
          <w:iCs/>
          <w:sz w:val="24"/>
          <w:szCs w:val="24"/>
        </w:rPr>
        <w:t xml:space="preserve">SEGUNDO. </w:t>
      </w:r>
      <w:r w:rsidRPr="00776DC9">
        <w:rPr>
          <w:rFonts w:ascii="Century Gothic" w:hAnsi="Century Gothic" w:cs="Arial"/>
          <w:bCs/>
          <w:iCs/>
          <w:sz w:val="24"/>
          <w:szCs w:val="24"/>
        </w:rPr>
        <w:t xml:space="preserve">Se </w:t>
      </w:r>
      <w:r w:rsidRPr="00776DC9">
        <w:rPr>
          <w:rFonts w:ascii="Century Gothic" w:hAnsi="Century Gothic" w:cs="Arial"/>
          <w:b/>
          <w:bCs/>
          <w:iCs/>
          <w:sz w:val="24"/>
          <w:szCs w:val="24"/>
        </w:rPr>
        <w:t xml:space="preserve">ordena </w:t>
      </w:r>
      <w:r w:rsidRPr="00776DC9">
        <w:rPr>
          <w:rFonts w:ascii="Century Gothic" w:hAnsi="Century Gothic" w:cs="Arial"/>
          <w:bCs/>
          <w:iCs/>
          <w:sz w:val="24"/>
          <w:szCs w:val="24"/>
        </w:rPr>
        <w:t>resguardar los datos personales del actor en la versión pública de la presente resolución y en todas las notificaciones que se practiquen.</w:t>
      </w:r>
    </w:p>
    <w:p w14:paraId="42899D7E" w14:textId="77777777" w:rsidR="00375FEA" w:rsidRPr="00776DC9" w:rsidRDefault="00375FEA" w:rsidP="00776DC9">
      <w:pPr>
        <w:spacing w:after="0" w:line="240" w:lineRule="auto"/>
        <w:jc w:val="both"/>
        <w:rPr>
          <w:rFonts w:ascii="Century Gothic" w:hAnsi="Century Gothic" w:cs="Arial"/>
          <w:b/>
          <w:bCs/>
          <w:iCs/>
          <w:sz w:val="24"/>
          <w:szCs w:val="24"/>
        </w:rPr>
      </w:pPr>
    </w:p>
    <w:p w14:paraId="346BB82D"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
          <w:bCs/>
          <w:iCs/>
          <w:sz w:val="24"/>
          <w:szCs w:val="24"/>
        </w:rPr>
        <w:t xml:space="preserve">NOTIFÍQUESE, </w:t>
      </w:r>
      <w:r w:rsidRPr="00776DC9">
        <w:rPr>
          <w:rFonts w:ascii="Century Gothic" w:hAnsi="Century Gothic" w:cs="Arial"/>
          <w:bCs/>
          <w:iCs/>
          <w:sz w:val="24"/>
          <w:szCs w:val="24"/>
        </w:rPr>
        <w:t xml:space="preserve">como corresponda en términos de ley. </w:t>
      </w:r>
    </w:p>
    <w:p w14:paraId="2385622D" w14:textId="77777777" w:rsidR="00375FEA" w:rsidRPr="00776DC9" w:rsidRDefault="00375FEA" w:rsidP="00776DC9">
      <w:pPr>
        <w:spacing w:after="0" w:line="240" w:lineRule="auto"/>
        <w:jc w:val="both"/>
        <w:rPr>
          <w:rFonts w:ascii="Century Gothic" w:hAnsi="Century Gothic"/>
          <w:sz w:val="24"/>
          <w:szCs w:val="24"/>
        </w:rPr>
      </w:pPr>
    </w:p>
    <w:p w14:paraId="4F142B4B" w14:textId="77777777" w:rsidR="00375FEA" w:rsidRPr="00776DC9" w:rsidRDefault="00375FEA" w:rsidP="00776DC9">
      <w:pPr>
        <w:spacing w:after="0" w:line="240" w:lineRule="auto"/>
        <w:jc w:val="both"/>
        <w:rPr>
          <w:rFonts w:ascii="Century Gothic" w:hAnsi="Century Gothic" w:cs="Arial"/>
          <w:bCs/>
          <w:iCs/>
          <w:sz w:val="24"/>
          <w:szCs w:val="24"/>
        </w:rPr>
      </w:pPr>
      <w:r w:rsidRPr="00776DC9">
        <w:rPr>
          <w:rFonts w:ascii="Century Gothic" w:hAnsi="Century Gothic" w:cs="Arial"/>
          <w:bCs/>
          <w:iCs/>
          <w:sz w:val="24"/>
          <w:szCs w:val="24"/>
        </w:rPr>
        <w:t xml:space="preserve">En su oportunidad, devuélvase los documentos atinentes y </w:t>
      </w:r>
      <w:r w:rsidRPr="00776DC9">
        <w:rPr>
          <w:rFonts w:ascii="Century Gothic" w:hAnsi="Century Gothic" w:cs="Arial"/>
          <w:sz w:val="24"/>
          <w:szCs w:val="24"/>
          <w:lang w:val="es-ES_tradnl"/>
        </w:rPr>
        <w:t>archívese</w:t>
      </w:r>
      <w:r w:rsidRPr="00776DC9">
        <w:rPr>
          <w:rFonts w:ascii="Century Gothic" w:hAnsi="Century Gothic" w:cs="Arial"/>
          <w:bCs/>
          <w:iCs/>
          <w:sz w:val="24"/>
          <w:szCs w:val="24"/>
        </w:rPr>
        <w:t xml:space="preserve"> el expediente como asunto total y definitivamente concluido.</w:t>
      </w:r>
    </w:p>
    <w:p w14:paraId="53CDB902" w14:textId="77777777" w:rsidR="00375FEA" w:rsidRPr="00776DC9" w:rsidRDefault="00375FEA" w:rsidP="00776DC9">
      <w:pPr>
        <w:spacing w:after="0" w:line="240" w:lineRule="auto"/>
        <w:jc w:val="both"/>
        <w:rPr>
          <w:rFonts w:ascii="Century Gothic" w:hAnsi="Century Gothic"/>
          <w:sz w:val="24"/>
          <w:szCs w:val="24"/>
        </w:rPr>
      </w:pPr>
    </w:p>
    <w:p w14:paraId="163F56A0" w14:textId="77777777" w:rsidR="00375FEA" w:rsidRPr="00776DC9" w:rsidRDefault="00375FEA" w:rsidP="00776DC9">
      <w:pPr>
        <w:tabs>
          <w:tab w:val="left" w:pos="1739"/>
        </w:tabs>
        <w:spacing w:after="0" w:line="240" w:lineRule="auto"/>
        <w:jc w:val="both"/>
        <w:rPr>
          <w:rFonts w:ascii="Century Gothic" w:eastAsia="Arial Unicode MS" w:hAnsi="Century Gothic" w:cs="Arial"/>
          <w:bCs/>
          <w:sz w:val="24"/>
          <w:szCs w:val="24"/>
        </w:rPr>
      </w:pPr>
      <w:r w:rsidRPr="00776DC9">
        <w:rPr>
          <w:rFonts w:ascii="Century Gothic" w:hAnsi="Century Gothic"/>
          <w:sz w:val="24"/>
          <w:szCs w:val="24"/>
        </w:rPr>
        <w:lastRenderedPageBreak/>
        <w:t xml:space="preserve">Así, por </w:t>
      </w:r>
      <w:r w:rsidRPr="00776DC9">
        <w:rPr>
          <w:rFonts w:ascii="Century Gothic" w:hAnsi="Century Gothic"/>
          <w:b/>
          <w:sz w:val="24"/>
          <w:szCs w:val="24"/>
        </w:rPr>
        <w:t xml:space="preserve">unanimidad </w:t>
      </w:r>
      <w:r w:rsidRPr="00776DC9">
        <w:rPr>
          <w:rFonts w:ascii="Century Gothic" w:hAnsi="Century Gothic"/>
          <w:sz w:val="24"/>
          <w:szCs w:val="24"/>
        </w:rPr>
        <w:t xml:space="preserve">de votos, lo resolvieron la Magistrada y los Magistrados </w:t>
      </w:r>
      <w:r w:rsidRPr="00776DC9">
        <w:rPr>
          <w:rFonts w:ascii="Century Gothic" w:eastAsia="Arial Unicode MS" w:hAnsi="Century Gothic" w:cs="Arial"/>
          <w:bCs/>
          <w:sz w:val="24"/>
          <w:szCs w:val="24"/>
        </w:rPr>
        <w:t xml:space="preserve">que integran la Sala Superior del Tribunal Electoral del Poder Judicial de la Federación, en ausencia de la Magistrada Mónica </w:t>
      </w:r>
      <w:proofErr w:type="spellStart"/>
      <w:r w:rsidRPr="00776DC9">
        <w:rPr>
          <w:rFonts w:ascii="Century Gothic" w:eastAsia="Arial Unicode MS" w:hAnsi="Century Gothic" w:cs="Arial"/>
          <w:bCs/>
          <w:sz w:val="24"/>
          <w:szCs w:val="24"/>
        </w:rPr>
        <w:t>Aralí</w:t>
      </w:r>
      <w:proofErr w:type="spellEnd"/>
      <w:r w:rsidRPr="00776DC9">
        <w:rPr>
          <w:rFonts w:ascii="Century Gothic" w:eastAsia="Arial Unicode MS" w:hAnsi="Century Gothic" w:cs="Arial"/>
          <w:bCs/>
          <w:sz w:val="24"/>
          <w:szCs w:val="24"/>
        </w:rPr>
        <w:t xml:space="preserve"> Soto Fregoso, haciendo suyo el proyecto la Magistrada Presidenta Janine M. Otálora </w:t>
      </w:r>
      <w:proofErr w:type="spellStart"/>
      <w:r w:rsidRPr="00776DC9">
        <w:rPr>
          <w:rFonts w:ascii="Century Gothic" w:eastAsia="Arial Unicode MS" w:hAnsi="Century Gothic" w:cs="Arial"/>
          <w:bCs/>
          <w:sz w:val="24"/>
          <w:szCs w:val="24"/>
        </w:rPr>
        <w:t>Malassis</w:t>
      </w:r>
      <w:proofErr w:type="spellEnd"/>
      <w:r w:rsidRPr="00776DC9">
        <w:rPr>
          <w:rFonts w:ascii="Century Gothic" w:eastAsia="Arial Unicode MS" w:hAnsi="Century Gothic" w:cs="Arial"/>
          <w:bCs/>
          <w:sz w:val="24"/>
          <w:szCs w:val="24"/>
        </w:rPr>
        <w:t xml:space="preserve"> y, ante la Secretaria General de Acuerdos, que autoriza y da fe. </w:t>
      </w:r>
      <w:r w:rsidRPr="00776DC9">
        <w:rPr>
          <w:rFonts w:ascii="Century Gothic" w:hAnsi="Century Gothic"/>
          <w:b/>
          <w:sz w:val="24"/>
          <w:szCs w:val="24"/>
        </w:rPr>
        <w:t>CONSTE.</w:t>
      </w:r>
    </w:p>
    <w:tbl>
      <w:tblPr>
        <w:tblW w:w="9356" w:type="dxa"/>
        <w:jc w:val="center"/>
        <w:tblCellSpacing w:w="0" w:type="dxa"/>
        <w:tblCellMar>
          <w:top w:w="60" w:type="dxa"/>
          <w:left w:w="60" w:type="dxa"/>
          <w:bottom w:w="60" w:type="dxa"/>
          <w:right w:w="60" w:type="dxa"/>
        </w:tblCellMar>
        <w:tblLook w:val="0000" w:firstRow="0" w:lastRow="0" w:firstColumn="0" w:lastColumn="0" w:noHBand="0" w:noVBand="0"/>
      </w:tblPr>
      <w:tblGrid>
        <w:gridCol w:w="4678"/>
        <w:gridCol w:w="4678"/>
      </w:tblGrid>
      <w:tr w:rsidR="00375FEA" w:rsidRPr="00776DC9" w14:paraId="7D9B73F5" w14:textId="77777777" w:rsidTr="00130123">
        <w:trPr>
          <w:tblCellSpacing w:w="0" w:type="dxa"/>
          <w:jc w:val="center"/>
        </w:trPr>
        <w:tc>
          <w:tcPr>
            <w:tcW w:w="9356" w:type="dxa"/>
            <w:gridSpan w:val="2"/>
          </w:tcPr>
          <w:p w14:paraId="16EAE3E3" w14:textId="77777777" w:rsidR="00375FEA" w:rsidRPr="00776DC9" w:rsidRDefault="00375FEA" w:rsidP="00130123">
            <w:pPr>
              <w:pStyle w:val="NormalWeb"/>
              <w:widowControl w:val="0"/>
              <w:spacing w:before="0" w:beforeAutospacing="0" w:after="0" w:afterAutospacing="0"/>
              <w:rPr>
                <w:rFonts w:ascii="Century Gothic" w:hAnsi="Century Gothic" w:cs="Arial"/>
                <w:b/>
                <w:bCs/>
                <w:lang w:val="pt-BR"/>
              </w:rPr>
            </w:pPr>
          </w:p>
          <w:p w14:paraId="4C3531F0"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lang w:val="pt-BR"/>
              </w:rPr>
            </w:pPr>
          </w:p>
          <w:p w14:paraId="2FC9A00D"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lang w:val="pt-BR"/>
              </w:rPr>
            </w:pPr>
            <w:r w:rsidRPr="00776DC9">
              <w:rPr>
                <w:rFonts w:ascii="Century Gothic" w:hAnsi="Century Gothic" w:cs="Arial"/>
                <w:b/>
                <w:bCs/>
                <w:lang w:val="pt-BR"/>
              </w:rPr>
              <w:t>MAGISTRADA PRESIDENTA</w:t>
            </w:r>
          </w:p>
          <w:p w14:paraId="650DE0B9"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lang w:val="pt-BR"/>
              </w:rPr>
            </w:pPr>
          </w:p>
          <w:p w14:paraId="6072F66B"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lang w:val="pt-BR"/>
              </w:rPr>
            </w:pPr>
          </w:p>
          <w:p w14:paraId="35643F36"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lang w:val="pt-BR"/>
              </w:rPr>
            </w:pPr>
          </w:p>
          <w:p w14:paraId="61D9DA60"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rPr>
              <w:t>JANINE M. OTÁLORA MALASSIS</w:t>
            </w:r>
          </w:p>
        </w:tc>
      </w:tr>
      <w:tr w:rsidR="00375FEA" w:rsidRPr="00776DC9" w14:paraId="5CD669C1" w14:textId="77777777" w:rsidTr="00130123">
        <w:trPr>
          <w:tblCellSpacing w:w="0" w:type="dxa"/>
          <w:jc w:val="center"/>
        </w:trPr>
        <w:tc>
          <w:tcPr>
            <w:tcW w:w="4678" w:type="dxa"/>
          </w:tcPr>
          <w:p w14:paraId="4FBC6B19"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0A6589E8"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74684B5D"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MAGISTRADO</w:t>
            </w:r>
          </w:p>
          <w:p w14:paraId="602036EE"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4EE823F3"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3AB7F2CD"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3DEA6DED"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FELIPE DE LA MATA PIZAÑA</w:t>
            </w:r>
          </w:p>
        </w:tc>
        <w:tc>
          <w:tcPr>
            <w:tcW w:w="4678" w:type="dxa"/>
          </w:tcPr>
          <w:p w14:paraId="6587F390"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2B97CCAE"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7994023A"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MAGISTRADO</w:t>
            </w:r>
          </w:p>
          <w:p w14:paraId="3E26752A"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64699D1B"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42BCEE46"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650DC89F"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FELIPE ALFREDO FUENTES BARRERA</w:t>
            </w:r>
          </w:p>
        </w:tc>
      </w:tr>
      <w:tr w:rsidR="00375FEA" w:rsidRPr="00776DC9" w14:paraId="373EE902" w14:textId="77777777" w:rsidTr="00130123">
        <w:trPr>
          <w:tblCellSpacing w:w="0" w:type="dxa"/>
          <w:jc w:val="center"/>
        </w:trPr>
        <w:tc>
          <w:tcPr>
            <w:tcW w:w="4678" w:type="dxa"/>
          </w:tcPr>
          <w:p w14:paraId="28A403D5"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3733B961"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565B7E27"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MAGISTRADO</w:t>
            </w:r>
          </w:p>
          <w:p w14:paraId="0F0375B0"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12C69A69"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681E6DD5"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72686D5A"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INDALFER INFANTE GONZALES</w:t>
            </w:r>
          </w:p>
        </w:tc>
        <w:tc>
          <w:tcPr>
            <w:tcW w:w="4678" w:type="dxa"/>
          </w:tcPr>
          <w:p w14:paraId="2B3801E5"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1EAD6CC2"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7E321BA6"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MAGISTRADO</w:t>
            </w:r>
          </w:p>
          <w:p w14:paraId="635BB2F4"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4FED1A06"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560C3AC9"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2E380C5C"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REYES RODRÍGUEZ MONDRAGÓN</w:t>
            </w:r>
          </w:p>
        </w:tc>
      </w:tr>
      <w:tr w:rsidR="00375FEA" w:rsidRPr="00776DC9" w14:paraId="6B8E3BAE" w14:textId="77777777" w:rsidTr="00130123">
        <w:trPr>
          <w:tblCellSpacing w:w="0" w:type="dxa"/>
          <w:jc w:val="center"/>
        </w:trPr>
        <w:tc>
          <w:tcPr>
            <w:tcW w:w="9356" w:type="dxa"/>
            <w:gridSpan w:val="2"/>
          </w:tcPr>
          <w:p w14:paraId="037DC56D"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0B0B95F5"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568483B0"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MAGISTRADO</w:t>
            </w:r>
          </w:p>
          <w:p w14:paraId="34BCCCCE"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4A09DAD2"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771C77E9"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1A312CBE"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JOSÉ LUIS VARGAS VALDEZ</w:t>
            </w:r>
          </w:p>
        </w:tc>
      </w:tr>
      <w:tr w:rsidR="00375FEA" w:rsidRPr="00776DC9" w14:paraId="6C2D897A" w14:textId="77777777" w:rsidTr="00130123">
        <w:trPr>
          <w:tblCellSpacing w:w="0" w:type="dxa"/>
          <w:jc w:val="center"/>
        </w:trPr>
        <w:tc>
          <w:tcPr>
            <w:tcW w:w="9356" w:type="dxa"/>
            <w:gridSpan w:val="2"/>
          </w:tcPr>
          <w:p w14:paraId="4A946710"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3A42BD89" w14:textId="77777777" w:rsidR="00375FEA" w:rsidRPr="00776DC9" w:rsidRDefault="00375FEA" w:rsidP="00130123">
            <w:pPr>
              <w:pStyle w:val="NormalWeb"/>
              <w:widowControl w:val="0"/>
              <w:spacing w:before="0" w:beforeAutospacing="0" w:after="0" w:afterAutospacing="0"/>
              <w:rPr>
                <w:rFonts w:ascii="Century Gothic" w:hAnsi="Century Gothic" w:cs="Arial"/>
                <w:b/>
                <w:bCs/>
              </w:rPr>
            </w:pPr>
          </w:p>
          <w:p w14:paraId="2D6DF9C0"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r w:rsidRPr="00776DC9">
              <w:rPr>
                <w:rFonts w:ascii="Century Gothic" w:hAnsi="Century Gothic" w:cs="Arial"/>
                <w:b/>
                <w:bCs/>
              </w:rPr>
              <w:t xml:space="preserve">SECRETARIA GENERAL DE ACUERDOS </w:t>
            </w:r>
          </w:p>
          <w:p w14:paraId="6F131171" w14:textId="77777777" w:rsidR="00375FEA" w:rsidRPr="00776DC9" w:rsidRDefault="00375FEA" w:rsidP="00130123">
            <w:pPr>
              <w:pStyle w:val="NormalWeb"/>
              <w:widowControl w:val="0"/>
              <w:tabs>
                <w:tab w:val="left" w:pos="4497"/>
              </w:tabs>
              <w:spacing w:before="0" w:beforeAutospacing="0" w:after="0" w:afterAutospacing="0"/>
              <w:jc w:val="center"/>
              <w:rPr>
                <w:rFonts w:ascii="Century Gothic" w:hAnsi="Century Gothic" w:cs="Arial"/>
                <w:b/>
                <w:bCs/>
              </w:rPr>
            </w:pPr>
          </w:p>
          <w:p w14:paraId="4990FBF5"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5A1ED306" w14:textId="77777777" w:rsidR="00375FEA" w:rsidRPr="00776DC9" w:rsidRDefault="00375FEA" w:rsidP="00130123">
            <w:pPr>
              <w:pStyle w:val="NormalWeb"/>
              <w:widowControl w:val="0"/>
              <w:spacing w:before="0" w:beforeAutospacing="0" w:after="0" w:afterAutospacing="0"/>
              <w:jc w:val="center"/>
              <w:rPr>
                <w:rFonts w:ascii="Century Gothic" w:hAnsi="Century Gothic" w:cs="Arial"/>
                <w:b/>
                <w:bCs/>
              </w:rPr>
            </w:pPr>
          </w:p>
          <w:p w14:paraId="6B927208" w14:textId="77777777" w:rsidR="00375FEA" w:rsidRPr="00776DC9" w:rsidRDefault="00375FEA" w:rsidP="00130123">
            <w:pPr>
              <w:jc w:val="center"/>
              <w:rPr>
                <w:rFonts w:ascii="Century Gothic" w:hAnsi="Century Gothic" w:cs="Arial"/>
                <w:b/>
                <w:bCs/>
                <w:sz w:val="24"/>
                <w:szCs w:val="24"/>
              </w:rPr>
            </w:pPr>
            <w:r w:rsidRPr="00776DC9">
              <w:rPr>
                <w:rFonts w:ascii="Century Gothic" w:hAnsi="Century Gothic" w:cs="Arial"/>
                <w:b/>
                <w:sz w:val="24"/>
                <w:szCs w:val="24"/>
              </w:rPr>
              <w:t>MARÍA CECILIA SÁNCHEZ BARREIRO</w:t>
            </w:r>
          </w:p>
        </w:tc>
      </w:tr>
    </w:tbl>
    <w:p w14:paraId="29FFEECE" w14:textId="77777777" w:rsidR="00375FEA" w:rsidRPr="00776DC9" w:rsidRDefault="00375FEA" w:rsidP="00375FEA">
      <w:pPr>
        <w:autoSpaceDE w:val="0"/>
        <w:autoSpaceDN w:val="0"/>
        <w:adjustRightInd w:val="0"/>
        <w:spacing w:line="360" w:lineRule="auto"/>
        <w:jc w:val="center"/>
        <w:rPr>
          <w:rFonts w:ascii="Century Gothic" w:eastAsia="Arial Unicode MS" w:hAnsi="Century Gothic" w:cs="Arial"/>
          <w:b/>
          <w:sz w:val="24"/>
          <w:szCs w:val="24"/>
        </w:rPr>
      </w:pPr>
    </w:p>
    <w:p w14:paraId="5A791473" w14:textId="77777777" w:rsidR="00375FEA" w:rsidRPr="00776DC9" w:rsidRDefault="00375FEA" w:rsidP="00375FEA">
      <w:pPr>
        <w:rPr>
          <w:rFonts w:ascii="Century Gothic" w:eastAsia="Arial Unicode MS" w:hAnsi="Century Gothic" w:cs="Arial"/>
          <w:b/>
          <w:sz w:val="24"/>
          <w:szCs w:val="24"/>
        </w:rPr>
      </w:pPr>
    </w:p>
    <w:p w14:paraId="721261C8" w14:textId="77777777" w:rsidR="00375FEA" w:rsidRPr="00776DC9" w:rsidRDefault="00375FEA" w:rsidP="00375FEA">
      <w:pPr>
        <w:autoSpaceDE w:val="0"/>
        <w:autoSpaceDN w:val="0"/>
        <w:adjustRightInd w:val="0"/>
        <w:spacing w:line="360" w:lineRule="auto"/>
        <w:jc w:val="center"/>
        <w:rPr>
          <w:rFonts w:ascii="Century Gothic" w:eastAsia="Arial Unicode MS" w:hAnsi="Century Gothic" w:cs="Arial"/>
          <w:b/>
          <w:sz w:val="24"/>
          <w:szCs w:val="24"/>
        </w:rPr>
      </w:pPr>
      <w:r w:rsidRPr="00776DC9">
        <w:rPr>
          <w:rFonts w:ascii="Century Gothic" w:eastAsia="Arial Unicode MS" w:hAnsi="Century Gothic" w:cs="Arial"/>
          <w:b/>
          <w:sz w:val="24"/>
          <w:szCs w:val="24"/>
        </w:rPr>
        <w:t>SENTENCIA EN FORMATO DE LECTURA FÁCIL</w:t>
      </w:r>
    </w:p>
    <w:p w14:paraId="463E25F9" w14:textId="77777777" w:rsidR="00375FEA" w:rsidRDefault="00375FEA" w:rsidP="00375FEA">
      <w:pPr>
        <w:autoSpaceDE w:val="0"/>
        <w:autoSpaceDN w:val="0"/>
        <w:adjustRightInd w:val="0"/>
        <w:spacing w:line="360" w:lineRule="auto"/>
        <w:jc w:val="center"/>
        <w:rPr>
          <w:rFonts w:ascii="Century Gothic" w:eastAsia="Arial Unicode MS" w:hAnsi="Century Gothic" w:cs="Arial"/>
          <w:b/>
          <w:sz w:val="27"/>
          <w:szCs w:val="27"/>
        </w:rPr>
      </w:pPr>
    </w:p>
    <w:p w14:paraId="5943A616" w14:textId="77777777" w:rsidR="00375FEA" w:rsidRPr="00776DC9" w:rsidRDefault="00375FEA" w:rsidP="00776DC9">
      <w:pPr>
        <w:autoSpaceDE w:val="0"/>
        <w:autoSpaceDN w:val="0"/>
        <w:adjustRightInd w:val="0"/>
        <w:spacing w:after="0" w:line="240" w:lineRule="auto"/>
        <w:jc w:val="both"/>
        <w:rPr>
          <w:rFonts w:ascii="Century Gothic" w:eastAsia="Arial Unicode MS" w:hAnsi="Century Gothic" w:cs="Arial"/>
          <w:sz w:val="24"/>
          <w:szCs w:val="24"/>
        </w:rPr>
      </w:pPr>
      <w:r w:rsidRPr="00776DC9">
        <w:rPr>
          <w:rFonts w:ascii="Century Gothic" w:eastAsia="Arial Unicode MS" w:hAnsi="Century Gothic" w:cs="Arial"/>
          <w:sz w:val="24"/>
          <w:szCs w:val="24"/>
        </w:rPr>
        <w:t>En atención al estándar de protección para personas con discapacidad desarrollado en la presente sentencia, y con fundamento en la tesis 1a.CCCXXXIX/2013 (10ª.) de rubro: “SENTENCIA CON FORMATO DE LECTURA FÁCIL. EL JUEZ QUE CONOZCA DE UN ASUNTO SOBRE UNA PERSONA CON DISCAPACIDAD INTELECTUAL, DEBERÁ DICTAR UNA RESOLUCIÓN COMPLEMENTARIA BAJO DICHO FORMATO”,</w:t>
      </w:r>
      <w:r w:rsidRPr="00776DC9">
        <w:rPr>
          <w:rStyle w:val="Refdenotaalpie"/>
          <w:rFonts w:ascii="Century Gothic" w:eastAsia="Arial Unicode MS" w:hAnsi="Century Gothic" w:cs="Arial"/>
          <w:sz w:val="24"/>
          <w:szCs w:val="24"/>
        </w:rPr>
        <w:footnoteReference w:id="12"/>
      </w:r>
      <w:r w:rsidRPr="00776DC9">
        <w:rPr>
          <w:rFonts w:ascii="Century Gothic" w:eastAsia="Arial Unicode MS" w:hAnsi="Century Gothic" w:cs="Arial"/>
          <w:sz w:val="24"/>
          <w:szCs w:val="24"/>
        </w:rPr>
        <w:t xml:space="preserve"> se procede a exponer la misma bajo el denominado formato de lectura fácil, misma que deberá ser leída por el asesor jurídico designado por el Instituto Federal de la Defensoría Pública para tales efectos. </w:t>
      </w:r>
    </w:p>
    <w:p w14:paraId="134771A9" w14:textId="77777777" w:rsidR="00375FEA" w:rsidRPr="00776DC9" w:rsidRDefault="00375FEA" w:rsidP="00776DC9">
      <w:pPr>
        <w:spacing w:after="0" w:line="240" w:lineRule="auto"/>
        <w:rPr>
          <w:rFonts w:ascii="Century Gothic" w:eastAsia="Arial Unicode MS" w:hAnsi="Century Gothic" w:cs="Arial"/>
          <w:sz w:val="24"/>
          <w:szCs w:val="24"/>
        </w:rPr>
      </w:pPr>
      <w:r w:rsidRPr="00776DC9">
        <w:rPr>
          <w:rFonts w:ascii="Century Gothic" w:eastAsia="Arial Unicode MS" w:hAnsi="Century Gothic" w:cs="Arial"/>
          <w:sz w:val="24"/>
          <w:szCs w:val="24"/>
        </w:rPr>
        <w:br w:type="page"/>
      </w:r>
    </w:p>
    <w:p w14:paraId="36E027CD" w14:textId="77777777" w:rsidR="00375FEA" w:rsidRPr="00776DC9" w:rsidRDefault="00375FEA" w:rsidP="00776DC9">
      <w:pPr>
        <w:autoSpaceDE w:val="0"/>
        <w:autoSpaceDN w:val="0"/>
        <w:adjustRightInd w:val="0"/>
        <w:spacing w:after="0" w:line="240" w:lineRule="auto"/>
        <w:jc w:val="both"/>
        <w:rPr>
          <w:rFonts w:ascii="Century Gothic" w:eastAsia="Arial Unicode MS" w:hAnsi="Century Gothic" w:cs="Arial"/>
          <w:sz w:val="24"/>
          <w:szCs w:val="24"/>
        </w:rPr>
      </w:pPr>
    </w:p>
    <w:p w14:paraId="5063C148" w14:textId="77777777" w:rsidR="00375FEA" w:rsidRPr="00776DC9" w:rsidRDefault="00375FEA" w:rsidP="00776DC9">
      <w:pPr>
        <w:pStyle w:val="Prrafodelista"/>
        <w:numPr>
          <w:ilvl w:val="0"/>
          <w:numId w:val="9"/>
        </w:numPr>
        <w:autoSpaceDE w:val="0"/>
        <w:autoSpaceDN w:val="0"/>
        <w:adjustRightInd w:val="0"/>
        <w:spacing w:after="0" w:line="240" w:lineRule="auto"/>
        <w:rPr>
          <w:rFonts w:ascii="Century Gothic" w:eastAsia="Arial Unicode MS" w:hAnsi="Century Gothic" w:cs="Arial"/>
          <w:b/>
          <w:sz w:val="24"/>
          <w:szCs w:val="24"/>
        </w:rPr>
      </w:pPr>
      <w:r w:rsidRPr="00776DC9">
        <w:rPr>
          <w:rFonts w:ascii="Century Gothic" w:eastAsia="Arial Unicode MS" w:hAnsi="Century Gothic" w:cs="Arial"/>
          <w:sz w:val="24"/>
          <w:szCs w:val="24"/>
        </w:rPr>
        <w:t xml:space="preserve">Al analizar tu caso, </w:t>
      </w:r>
      <w:r w:rsidRPr="00776DC9">
        <w:rPr>
          <w:rFonts w:ascii="Arial" w:hAnsi="Arial" w:cs="Arial"/>
          <w:noProof/>
          <w:sz w:val="24"/>
          <w:szCs w:val="24"/>
          <w:lang w:eastAsia="es-MX"/>
        </w:rPr>
        <w:drawing>
          <wp:inline distT="0" distB="0" distL="0" distR="0" wp14:anchorId="5017FCC0" wp14:editId="43482119">
            <wp:extent cx="1981200" cy="438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inline>
        </w:drawing>
      </w:r>
      <w:r w:rsidRPr="00776DC9">
        <w:rPr>
          <w:rFonts w:ascii="Century Gothic" w:eastAsia="Arial Unicode MS" w:hAnsi="Century Gothic" w:cs="Arial"/>
          <w:sz w:val="24"/>
          <w:szCs w:val="24"/>
        </w:rPr>
        <w:t>, el Tribunal Electoral decidió que los actos de los cuales te quejas, no te causan un daño exclusivo y directo, y que no te impiden votar.</w:t>
      </w:r>
    </w:p>
    <w:p w14:paraId="1DFAD0E2" w14:textId="77777777" w:rsidR="00375FEA" w:rsidRPr="00776DC9" w:rsidRDefault="00375FEA" w:rsidP="00776DC9">
      <w:pPr>
        <w:pStyle w:val="Prrafodelista"/>
        <w:autoSpaceDE w:val="0"/>
        <w:autoSpaceDN w:val="0"/>
        <w:adjustRightInd w:val="0"/>
        <w:spacing w:after="0" w:line="240" w:lineRule="auto"/>
        <w:rPr>
          <w:rFonts w:ascii="Century Gothic" w:eastAsia="Arial Unicode MS" w:hAnsi="Century Gothic" w:cs="Arial"/>
          <w:b/>
          <w:sz w:val="24"/>
          <w:szCs w:val="24"/>
        </w:rPr>
      </w:pPr>
    </w:p>
    <w:p w14:paraId="3A2C2CE4" w14:textId="77777777" w:rsidR="00375FEA" w:rsidRPr="00776DC9" w:rsidRDefault="00375FEA" w:rsidP="00776DC9">
      <w:pPr>
        <w:pStyle w:val="Prrafodelista"/>
        <w:numPr>
          <w:ilvl w:val="0"/>
          <w:numId w:val="9"/>
        </w:numPr>
        <w:autoSpaceDE w:val="0"/>
        <w:autoSpaceDN w:val="0"/>
        <w:adjustRightInd w:val="0"/>
        <w:spacing w:after="0" w:line="240" w:lineRule="auto"/>
        <w:rPr>
          <w:rFonts w:ascii="Century Gothic" w:eastAsia="Arial Unicode MS" w:hAnsi="Century Gothic" w:cs="Arial"/>
          <w:b/>
          <w:sz w:val="24"/>
          <w:szCs w:val="24"/>
        </w:rPr>
      </w:pPr>
      <w:r w:rsidRPr="00776DC9">
        <w:rPr>
          <w:rFonts w:ascii="Century Gothic" w:eastAsia="Arial Unicode MS" w:hAnsi="Century Gothic" w:cs="Arial"/>
          <w:sz w:val="24"/>
          <w:szCs w:val="24"/>
        </w:rPr>
        <w:t xml:space="preserve">Como los actos de los que te quejas no te causan un daño exclusivo y directo, este Tribunal no puede estudiar si tienes razón en tu queja. </w:t>
      </w:r>
    </w:p>
    <w:p w14:paraId="4BC308E9" w14:textId="77777777" w:rsidR="00375FEA" w:rsidRPr="00776DC9" w:rsidRDefault="00375FEA" w:rsidP="00776DC9">
      <w:pPr>
        <w:pStyle w:val="Prrafodelista"/>
        <w:spacing w:after="0" w:line="240" w:lineRule="auto"/>
        <w:rPr>
          <w:rFonts w:ascii="Century Gothic" w:eastAsia="Arial Unicode MS" w:hAnsi="Century Gothic" w:cs="Arial"/>
          <w:b/>
          <w:sz w:val="24"/>
          <w:szCs w:val="24"/>
        </w:rPr>
      </w:pPr>
    </w:p>
    <w:p w14:paraId="1439A392" w14:textId="77777777" w:rsidR="00375FEA" w:rsidRPr="00776DC9" w:rsidRDefault="00375FEA" w:rsidP="00776DC9">
      <w:pPr>
        <w:pStyle w:val="Prrafodelista"/>
        <w:numPr>
          <w:ilvl w:val="0"/>
          <w:numId w:val="9"/>
        </w:numPr>
        <w:autoSpaceDE w:val="0"/>
        <w:autoSpaceDN w:val="0"/>
        <w:adjustRightInd w:val="0"/>
        <w:spacing w:after="0" w:line="240" w:lineRule="auto"/>
        <w:rPr>
          <w:rFonts w:ascii="Century Gothic" w:eastAsia="Arial Unicode MS" w:hAnsi="Century Gothic" w:cs="Arial"/>
          <w:b/>
          <w:sz w:val="24"/>
          <w:szCs w:val="24"/>
        </w:rPr>
      </w:pPr>
      <w:r w:rsidRPr="00776DC9">
        <w:rPr>
          <w:rFonts w:ascii="Century Gothic" w:eastAsia="Arial Unicode MS" w:hAnsi="Century Gothic" w:cs="Arial"/>
          <w:sz w:val="24"/>
          <w:szCs w:val="24"/>
        </w:rPr>
        <w:t xml:space="preserve">Las quejas de actos que afectan a muchas personas, en materia electoral sólo pueden formularse a través de partidos políticos. </w:t>
      </w:r>
    </w:p>
    <w:p w14:paraId="0244D21D" w14:textId="77777777" w:rsidR="00375FEA" w:rsidRPr="00776DC9" w:rsidRDefault="00375FEA" w:rsidP="00776DC9">
      <w:pPr>
        <w:spacing w:after="0" w:line="240" w:lineRule="auto"/>
        <w:rPr>
          <w:rFonts w:ascii="Century Gothic" w:eastAsia="Arial Unicode MS" w:hAnsi="Century Gothic" w:cs="Arial"/>
          <w:b/>
          <w:sz w:val="24"/>
          <w:szCs w:val="24"/>
        </w:rPr>
      </w:pPr>
    </w:p>
    <w:p w14:paraId="253D4D3F" w14:textId="77777777" w:rsidR="00375FEA" w:rsidRPr="00776DC9" w:rsidRDefault="00375FEA" w:rsidP="00776DC9">
      <w:pPr>
        <w:pStyle w:val="Prrafodelista"/>
        <w:numPr>
          <w:ilvl w:val="0"/>
          <w:numId w:val="9"/>
        </w:numPr>
        <w:autoSpaceDE w:val="0"/>
        <w:autoSpaceDN w:val="0"/>
        <w:adjustRightInd w:val="0"/>
        <w:spacing w:after="0" w:line="240" w:lineRule="auto"/>
        <w:rPr>
          <w:rFonts w:ascii="Century Gothic" w:eastAsia="Arial Unicode MS" w:hAnsi="Century Gothic" w:cs="Arial"/>
          <w:b/>
          <w:sz w:val="24"/>
          <w:szCs w:val="24"/>
        </w:rPr>
      </w:pPr>
      <w:r w:rsidRPr="00776DC9">
        <w:rPr>
          <w:rFonts w:ascii="Century Gothic" w:eastAsia="Arial Unicode MS" w:hAnsi="Century Gothic" w:cs="Arial"/>
          <w:sz w:val="24"/>
          <w:szCs w:val="24"/>
        </w:rPr>
        <w:t>El asesor jurídico que te asignó el Instituto de la Defensoría Pública deberá explicarte esta sentencia, de tal forma que la entiendas plenamente.</w:t>
      </w:r>
    </w:p>
    <w:p w14:paraId="3BC931E5" w14:textId="77777777" w:rsidR="00375FEA" w:rsidRPr="00776DC9" w:rsidRDefault="00375FEA" w:rsidP="00776DC9">
      <w:pPr>
        <w:pStyle w:val="Prrafodelista"/>
        <w:spacing w:after="0" w:line="240" w:lineRule="auto"/>
        <w:rPr>
          <w:rFonts w:ascii="Century Gothic" w:eastAsia="Arial Unicode MS" w:hAnsi="Century Gothic" w:cs="Arial"/>
          <w:b/>
          <w:sz w:val="24"/>
          <w:szCs w:val="24"/>
        </w:rPr>
      </w:pPr>
    </w:p>
    <w:tbl>
      <w:tblPr>
        <w:tblStyle w:val="Tablaconcuadrcula"/>
        <w:tblW w:w="0" w:type="auto"/>
        <w:jc w:val="center"/>
        <w:tblLook w:val="04A0" w:firstRow="1" w:lastRow="0" w:firstColumn="1" w:lastColumn="0" w:noHBand="0" w:noVBand="1"/>
      </w:tblPr>
      <w:tblGrid>
        <w:gridCol w:w="4424"/>
      </w:tblGrid>
      <w:tr w:rsidR="00375FEA" w14:paraId="152A3D9F" w14:textId="77777777" w:rsidTr="00130123">
        <w:trPr>
          <w:trHeight w:val="4916"/>
          <w:jc w:val="center"/>
        </w:trPr>
        <w:tc>
          <w:tcPr>
            <w:tcW w:w="4424" w:type="dxa"/>
          </w:tcPr>
          <w:p w14:paraId="308BFE07" w14:textId="77777777" w:rsidR="00375FEA" w:rsidRDefault="00375FEA" w:rsidP="00130123">
            <w:pPr>
              <w:jc w:val="both"/>
              <w:rPr>
                <w:sz w:val="16"/>
                <w:szCs w:val="16"/>
              </w:rPr>
            </w:pPr>
            <w:r w:rsidRPr="00FE79FC">
              <w:rPr>
                <w:b/>
                <w:sz w:val="16"/>
                <w:szCs w:val="16"/>
              </w:rPr>
              <w:t>Referencia</w:t>
            </w:r>
            <w:r>
              <w:rPr>
                <w:sz w:val="16"/>
                <w:szCs w:val="16"/>
              </w:rPr>
              <w:t>: páginas</w:t>
            </w:r>
            <w:r w:rsidRPr="00FE79FC">
              <w:rPr>
                <w:sz w:val="16"/>
                <w:szCs w:val="16"/>
              </w:rPr>
              <w:t xml:space="preserve"> </w:t>
            </w:r>
            <w:r>
              <w:rPr>
                <w:sz w:val="16"/>
                <w:szCs w:val="16"/>
              </w:rPr>
              <w:t>1 y 24.</w:t>
            </w:r>
          </w:p>
          <w:p w14:paraId="059D123C" w14:textId="77777777" w:rsidR="00375FEA" w:rsidRDefault="00375FEA" w:rsidP="00130123">
            <w:pPr>
              <w:jc w:val="both"/>
              <w:rPr>
                <w:sz w:val="16"/>
                <w:szCs w:val="16"/>
              </w:rPr>
            </w:pPr>
          </w:p>
          <w:p w14:paraId="75D14A68" w14:textId="77777777" w:rsidR="00375FEA" w:rsidRDefault="00375FEA" w:rsidP="00130123">
            <w:pPr>
              <w:jc w:val="both"/>
              <w:rPr>
                <w:sz w:val="16"/>
                <w:szCs w:val="16"/>
              </w:rPr>
            </w:pPr>
            <w:r w:rsidRPr="00FE79FC">
              <w:rPr>
                <w:b/>
                <w:sz w:val="16"/>
                <w:szCs w:val="16"/>
              </w:rPr>
              <w:t>Fecha de clasificación</w:t>
            </w:r>
            <w:r>
              <w:rPr>
                <w:sz w:val="16"/>
                <w:szCs w:val="16"/>
              </w:rPr>
              <w:t>: 20 de diciembre de</w:t>
            </w:r>
            <w:r w:rsidRPr="00FE79FC">
              <w:rPr>
                <w:sz w:val="16"/>
                <w:szCs w:val="16"/>
              </w:rPr>
              <w:t xml:space="preserve"> 201</w:t>
            </w:r>
            <w:r>
              <w:rPr>
                <w:sz w:val="16"/>
                <w:szCs w:val="16"/>
              </w:rPr>
              <w:t>7.</w:t>
            </w:r>
          </w:p>
          <w:p w14:paraId="792063F9" w14:textId="77777777" w:rsidR="00375FEA" w:rsidRPr="00FE79FC" w:rsidRDefault="00375FEA" w:rsidP="00130123">
            <w:pPr>
              <w:jc w:val="both"/>
              <w:rPr>
                <w:sz w:val="16"/>
                <w:szCs w:val="16"/>
              </w:rPr>
            </w:pPr>
          </w:p>
          <w:p w14:paraId="6AA852BF" w14:textId="77777777" w:rsidR="00375FEA" w:rsidRDefault="00375FEA" w:rsidP="00130123">
            <w:pPr>
              <w:jc w:val="both"/>
              <w:rPr>
                <w:sz w:val="16"/>
                <w:szCs w:val="16"/>
              </w:rPr>
            </w:pPr>
            <w:r w:rsidRPr="00FE79FC">
              <w:rPr>
                <w:b/>
                <w:sz w:val="16"/>
                <w:szCs w:val="16"/>
              </w:rPr>
              <w:t>Unidad</w:t>
            </w:r>
            <w:r w:rsidRPr="00FE79FC">
              <w:rPr>
                <w:sz w:val="16"/>
                <w:szCs w:val="16"/>
              </w:rPr>
              <w:t xml:space="preserve">: </w:t>
            </w:r>
            <w:r>
              <w:rPr>
                <w:sz w:val="16"/>
                <w:szCs w:val="16"/>
              </w:rPr>
              <w:t xml:space="preserve">Ponencia de la Magistrada Mónica </w:t>
            </w:r>
            <w:proofErr w:type="spellStart"/>
            <w:r>
              <w:rPr>
                <w:sz w:val="16"/>
                <w:szCs w:val="16"/>
              </w:rPr>
              <w:t>Aralí</w:t>
            </w:r>
            <w:proofErr w:type="spellEnd"/>
            <w:r>
              <w:rPr>
                <w:sz w:val="16"/>
                <w:szCs w:val="16"/>
              </w:rPr>
              <w:t xml:space="preserve"> Soto Fregoso.</w:t>
            </w:r>
          </w:p>
          <w:p w14:paraId="567B5D00" w14:textId="77777777" w:rsidR="00375FEA" w:rsidRPr="00FE79FC" w:rsidRDefault="00375FEA" w:rsidP="00130123">
            <w:pPr>
              <w:jc w:val="both"/>
              <w:rPr>
                <w:sz w:val="16"/>
                <w:szCs w:val="16"/>
              </w:rPr>
            </w:pPr>
          </w:p>
          <w:p w14:paraId="55ABAD41" w14:textId="77777777" w:rsidR="00375FEA" w:rsidRPr="00C15094" w:rsidRDefault="00375FEA" w:rsidP="00130123">
            <w:pPr>
              <w:jc w:val="both"/>
              <w:rPr>
                <w:sz w:val="16"/>
                <w:szCs w:val="16"/>
              </w:rPr>
            </w:pPr>
            <w:r w:rsidRPr="00020A18">
              <w:rPr>
                <w:b/>
                <w:sz w:val="16"/>
                <w:szCs w:val="16"/>
              </w:rPr>
              <w:t xml:space="preserve">Clasificación de información: </w:t>
            </w:r>
            <w:r w:rsidRPr="00C15094">
              <w:rPr>
                <w:sz w:val="16"/>
                <w:szCs w:val="16"/>
              </w:rPr>
              <w:t>Confidencial por contener datos personales</w:t>
            </w:r>
            <w:r>
              <w:rPr>
                <w:sz w:val="16"/>
                <w:szCs w:val="16"/>
              </w:rPr>
              <w:t xml:space="preserve"> que hacen a una persona física identificada o identificable</w:t>
            </w:r>
            <w:r w:rsidRPr="00C15094">
              <w:rPr>
                <w:sz w:val="16"/>
                <w:szCs w:val="16"/>
              </w:rPr>
              <w:t>.</w:t>
            </w:r>
          </w:p>
          <w:p w14:paraId="362271CD" w14:textId="77777777" w:rsidR="00375FEA" w:rsidRPr="00020A18" w:rsidRDefault="00375FEA" w:rsidP="00130123">
            <w:pPr>
              <w:jc w:val="both"/>
              <w:rPr>
                <w:b/>
                <w:sz w:val="16"/>
                <w:szCs w:val="16"/>
              </w:rPr>
            </w:pPr>
          </w:p>
          <w:p w14:paraId="6274A17C" w14:textId="77777777" w:rsidR="00375FEA" w:rsidRDefault="00375FEA" w:rsidP="00130123">
            <w:pPr>
              <w:jc w:val="both"/>
              <w:rPr>
                <w:b/>
                <w:sz w:val="16"/>
                <w:szCs w:val="16"/>
              </w:rPr>
            </w:pPr>
            <w:r w:rsidRPr="00020A18">
              <w:rPr>
                <w:b/>
                <w:sz w:val="16"/>
                <w:szCs w:val="16"/>
              </w:rPr>
              <w:t xml:space="preserve">Periodo de clasificación: </w:t>
            </w:r>
            <w:r w:rsidRPr="00C15094">
              <w:rPr>
                <w:sz w:val="16"/>
                <w:szCs w:val="16"/>
              </w:rPr>
              <w:t>Sin temporalidad por ser confidencial.</w:t>
            </w:r>
          </w:p>
          <w:p w14:paraId="2F63EDFC" w14:textId="77777777" w:rsidR="00375FEA" w:rsidRPr="00C15094" w:rsidRDefault="00375FEA" w:rsidP="00130123">
            <w:pPr>
              <w:jc w:val="both"/>
              <w:rPr>
                <w:b/>
                <w:sz w:val="16"/>
                <w:szCs w:val="16"/>
              </w:rPr>
            </w:pPr>
          </w:p>
          <w:p w14:paraId="27ADB184" w14:textId="77777777" w:rsidR="00375FEA" w:rsidRDefault="00375FEA" w:rsidP="00130123">
            <w:pPr>
              <w:jc w:val="both"/>
              <w:rPr>
                <w:sz w:val="16"/>
                <w:szCs w:val="16"/>
              </w:rPr>
            </w:pPr>
            <w:r w:rsidRPr="00FE79FC">
              <w:rPr>
                <w:b/>
                <w:sz w:val="16"/>
                <w:szCs w:val="16"/>
              </w:rPr>
              <w:t>Fundamento Legal</w:t>
            </w:r>
            <w:r w:rsidRPr="00FE79FC">
              <w:rPr>
                <w:sz w:val="16"/>
                <w:szCs w:val="16"/>
              </w:rPr>
              <w:t xml:space="preserve">: Artículos </w:t>
            </w:r>
            <w:r>
              <w:rPr>
                <w:sz w:val="16"/>
                <w:szCs w:val="16"/>
              </w:rPr>
              <w:t>6 y 16 de la Constitución Política de los Estados Unidos Mexicanos; 23, 68, frac</w:t>
            </w:r>
            <w:r w:rsidRPr="00FE79FC">
              <w:rPr>
                <w:sz w:val="16"/>
                <w:szCs w:val="16"/>
              </w:rPr>
              <w:t>ción VI</w:t>
            </w:r>
            <w:r>
              <w:rPr>
                <w:sz w:val="16"/>
                <w:szCs w:val="16"/>
              </w:rPr>
              <w:t xml:space="preserve"> </w:t>
            </w:r>
            <w:r w:rsidRPr="00FE79FC">
              <w:rPr>
                <w:sz w:val="16"/>
                <w:szCs w:val="16"/>
              </w:rPr>
              <w:t xml:space="preserve">y </w:t>
            </w:r>
            <w:r>
              <w:rPr>
                <w:sz w:val="16"/>
                <w:szCs w:val="16"/>
              </w:rPr>
              <w:t>116,</w:t>
            </w:r>
            <w:r w:rsidRPr="00FE79FC">
              <w:rPr>
                <w:sz w:val="16"/>
                <w:szCs w:val="16"/>
              </w:rPr>
              <w:t xml:space="preserve"> de la </w:t>
            </w:r>
            <w:r w:rsidRPr="00E41E76">
              <w:rPr>
                <w:sz w:val="16"/>
                <w:szCs w:val="16"/>
              </w:rPr>
              <w:t>Ley General de Transparencia y Acceso a la Información Pública</w:t>
            </w:r>
            <w:r>
              <w:rPr>
                <w:sz w:val="16"/>
                <w:szCs w:val="16"/>
              </w:rPr>
              <w:t>; así como el 3, fracción IX, 31 y 43, de la Ley General de Protección de Datos Personales en Posesión de Sujetos Obligados.</w:t>
            </w:r>
          </w:p>
          <w:p w14:paraId="4D7FEE0B" w14:textId="77777777" w:rsidR="00375FEA" w:rsidRPr="00FE79FC" w:rsidRDefault="00375FEA" w:rsidP="00130123">
            <w:pPr>
              <w:jc w:val="both"/>
              <w:rPr>
                <w:sz w:val="16"/>
                <w:szCs w:val="16"/>
              </w:rPr>
            </w:pPr>
          </w:p>
          <w:p w14:paraId="3FDBF4B6" w14:textId="77777777" w:rsidR="00375FEA" w:rsidRDefault="00375FEA" w:rsidP="00130123">
            <w:pPr>
              <w:jc w:val="both"/>
              <w:rPr>
                <w:sz w:val="16"/>
                <w:szCs w:val="16"/>
              </w:rPr>
            </w:pPr>
            <w:r w:rsidRPr="00FE79FC">
              <w:rPr>
                <w:b/>
                <w:sz w:val="16"/>
                <w:szCs w:val="16"/>
              </w:rPr>
              <w:t>Motivación</w:t>
            </w:r>
            <w:r w:rsidRPr="00FE79FC">
              <w:rPr>
                <w:sz w:val="16"/>
                <w:szCs w:val="16"/>
              </w:rPr>
              <w:t xml:space="preserve">: En </w:t>
            </w:r>
            <w:r>
              <w:rPr>
                <w:sz w:val="16"/>
                <w:szCs w:val="16"/>
              </w:rPr>
              <w:t>virtud de que el promovente es una persona con discapacidad y en atención al estándar de protección fijado en la presente ejecutoria.</w:t>
            </w:r>
          </w:p>
          <w:p w14:paraId="7447C65A" w14:textId="77777777" w:rsidR="00375FEA" w:rsidRPr="00FE79FC" w:rsidRDefault="00375FEA" w:rsidP="00130123">
            <w:pPr>
              <w:jc w:val="both"/>
              <w:rPr>
                <w:sz w:val="16"/>
                <w:szCs w:val="16"/>
              </w:rPr>
            </w:pPr>
          </w:p>
          <w:p w14:paraId="00915B8B" w14:textId="77777777" w:rsidR="00375FEA" w:rsidRPr="00FE79FC" w:rsidRDefault="00375FEA" w:rsidP="00130123">
            <w:pPr>
              <w:jc w:val="both"/>
              <w:rPr>
                <w:sz w:val="16"/>
                <w:szCs w:val="16"/>
              </w:rPr>
            </w:pPr>
            <w:r w:rsidRPr="00FE79FC">
              <w:rPr>
                <w:b/>
                <w:sz w:val="16"/>
                <w:szCs w:val="16"/>
              </w:rPr>
              <w:t>Nombre y cargo de la o el titular de la unidad responsable de la clasificación</w:t>
            </w:r>
            <w:r w:rsidRPr="00FE79FC">
              <w:rPr>
                <w:sz w:val="16"/>
                <w:szCs w:val="16"/>
              </w:rPr>
              <w:t xml:space="preserve">: </w:t>
            </w:r>
            <w:r>
              <w:rPr>
                <w:sz w:val="16"/>
                <w:szCs w:val="16"/>
              </w:rPr>
              <w:t xml:space="preserve">María Fernanda Sánchez Rubio, Secretaria de Estudio y Cuenta de la Ponencia de la Magistrada Mónica </w:t>
            </w:r>
            <w:proofErr w:type="spellStart"/>
            <w:r>
              <w:rPr>
                <w:sz w:val="16"/>
                <w:szCs w:val="16"/>
              </w:rPr>
              <w:t>Aralí</w:t>
            </w:r>
            <w:proofErr w:type="spellEnd"/>
            <w:r>
              <w:rPr>
                <w:sz w:val="16"/>
                <w:szCs w:val="16"/>
              </w:rPr>
              <w:t xml:space="preserve"> Soto Fregoso.</w:t>
            </w:r>
          </w:p>
          <w:p w14:paraId="637185E3" w14:textId="77777777" w:rsidR="00375FEA" w:rsidRDefault="00375FEA" w:rsidP="00130123">
            <w:pPr>
              <w:pStyle w:val="Prrafodelista"/>
              <w:ind w:left="0"/>
              <w:rPr>
                <w:rFonts w:ascii="Century Gothic" w:eastAsia="Arial Unicode MS" w:hAnsi="Century Gothic" w:cs="Arial"/>
                <w:b/>
                <w:sz w:val="28"/>
                <w:szCs w:val="28"/>
              </w:rPr>
            </w:pPr>
          </w:p>
        </w:tc>
      </w:tr>
    </w:tbl>
    <w:p w14:paraId="108AA7C6" w14:textId="77777777" w:rsidR="00375FEA" w:rsidRPr="00AF50AC" w:rsidRDefault="00375FEA" w:rsidP="00375FEA">
      <w:pPr>
        <w:autoSpaceDE w:val="0"/>
        <w:autoSpaceDN w:val="0"/>
        <w:adjustRightInd w:val="0"/>
        <w:spacing w:line="360" w:lineRule="auto"/>
        <w:rPr>
          <w:rFonts w:ascii="Century Gothic" w:eastAsia="Arial Unicode MS" w:hAnsi="Century Gothic" w:cs="Arial"/>
          <w:b/>
          <w:sz w:val="28"/>
          <w:szCs w:val="28"/>
        </w:rPr>
      </w:pPr>
    </w:p>
    <w:p w14:paraId="2E64811F" w14:textId="32531472" w:rsidR="000C26D4" w:rsidRDefault="000C26D4" w:rsidP="00375FEA">
      <w:pPr>
        <w:tabs>
          <w:tab w:val="left" w:pos="996"/>
        </w:tabs>
        <w:rPr>
          <w:lang w:eastAsia="es-MX"/>
        </w:rPr>
      </w:pPr>
    </w:p>
    <w:p w14:paraId="64B4ADEC" w14:textId="0281257C" w:rsidR="000C26D4" w:rsidRDefault="000C26D4" w:rsidP="000C26D4">
      <w:pPr>
        <w:rPr>
          <w:lang w:eastAsia="es-MX"/>
        </w:rPr>
      </w:pPr>
    </w:p>
    <w:p w14:paraId="2F87A4FE" w14:textId="01D17ECB" w:rsidR="000C26D4" w:rsidRDefault="000C26D4" w:rsidP="000C26D4">
      <w:pPr>
        <w:rPr>
          <w:lang w:eastAsia="es-MX"/>
        </w:rPr>
      </w:pPr>
    </w:p>
    <w:p w14:paraId="438438A8" w14:textId="77777777" w:rsidR="000C26D4" w:rsidRPr="000C26D4" w:rsidRDefault="000C26D4" w:rsidP="000C26D4">
      <w:pPr>
        <w:rPr>
          <w:lang w:eastAsia="es-MX"/>
        </w:rPr>
      </w:pPr>
    </w:p>
    <w:p w14:paraId="0D9AE47E" w14:textId="1ED79AC8" w:rsidR="00EA6E20" w:rsidRPr="00EA6E20" w:rsidRDefault="00EA6E20" w:rsidP="00F3260C">
      <w:pPr>
        <w:pStyle w:val="Ttulo2"/>
        <w:numPr>
          <w:ilvl w:val="0"/>
          <w:numId w:val="2"/>
        </w:numPr>
        <w:rPr>
          <w:rFonts w:ascii="Gadugi" w:eastAsia="Times New Roman" w:hAnsi="Gadugi" w:cs="Times New Roman"/>
          <w:b/>
          <w:color w:val="C00000"/>
          <w:sz w:val="24"/>
          <w:szCs w:val="24"/>
          <w:lang w:eastAsia="es-MX"/>
        </w:rPr>
      </w:pPr>
      <w:r w:rsidRPr="00EA6E20">
        <w:rPr>
          <w:rFonts w:ascii="Gadugi" w:eastAsia="Times New Roman" w:hAnsi="Gadugi" w:cs="Times New Roman"/>
          <w:b/>
          <w:color w:val="auto"/>
          <w:sz w:val="24"/>
          <w:szCs w:val="24"/>
          <w:lang w:eastAsia="es-MX"/>
        </w:rPr>
        <w:lastRenderedPageBreak/>
        <w:t>SENTENCIA</w:t>
      </w:r>
      <w:r w:rsidRPr="00EA6E20">
        <w:rPr>
          <w:rFonts w:ascii="Gadugi" w:eastAsia="Times New Roman" w:hAnsi="Gadugi" w:cs="Times New Roman"/>
          <w:b/>
          <w:color w:val="C00000"/>
          <w:sz w:val="24"/>
          <w:szCs w:val="24"/>
          <w:lang w:eastAsia="es-MX"/>
        </w:rPr>
        <w:t xml:space="preserve"> </w:t>
      </w:r>
      <w:hyperlink r:id="rId15" w:tgtFrame="_blank" w:history="1">
        <w:r w:rsidRPr="00EA6E20">
          <w:rPr>
            <w:rFonts w:ascii="Gadugi" w:eastAsia="Times New Roman" w:hAnsi="Gadugi" w:cs="Times New Roman"/>
            <w:b/>
            <w:color w:val="C00000"/>
            <w:sz w:val="24"/>
            <w:szCs w:val="24"/>
            <w:lang w:eastAsia="es-MX"/>
          </w:rPr>
          <w:t>SUP-AG-40/2018</w:t>
        </w:r>
      </w:hyperlink>
      <w:r w:rsidR="00F41F30">
        <w:rPr>
          <w:rFonts w:ascii="Gadugi" w:eastAsia="Times New Roman" w:hAnsi="Gadugi" w:cs="Times New Roman"/>
          <w:b/>
          <w:color w:val="C00000"/>
          <w:sz w:val="24"/>
          <w:szCs w:val="24"/>
          <w:lang w:eastAsia="es-MX"/>
        </w:rPr>
        <w:t xml:space="preserve"> ACUERDO DE SALA</w:t>
      </w:r>
    </w:p>
    <w:p w14:paraId="4882263C" w14:textId="63345F03" w:rsidR="00EA6E20" w:rsidRDefault="00EA6E20" w:rsidP="006E6715"/>
    <w:p w14:paraId="6B2DDB2A" w14:textId="593DDBBC" w:rsidR="00375FEA" w:rsidRDefault="00375FEA" w:rsidP="00375FEA"/>
    <w:tbl>
      <w:tblPr>
        <w:tblStyle w:val="Tablaconcuadrcula"/>
        <w:tblW w:w="4536" w:type="dxa"/>
        <w:jc w:val="right"/>
        <w:tblLook w:val="04A0" w:firstRow="1" w:lastRow="0" w:firstColumn="1" w:lastColumn="0" w:noHBand="0" w:noVBand="1"/>
      </w:tblPr>
      <w:tblGrid>
        <w:gridCol w:w="4536"/>
      </w:tblGrid>
      <w:tr w:rsidR="00375FEA" w:rsidRPr="00317E96" w14:paraId="52519FB0" w14:textId="77777777" w:rsidTr="00130123">
        <w:trPr>
          <w:jc w:val="right"/>
        </w:trPr>
        <w:tc>
          <w:tcPr>
            <w:tcW w:w="4536" w:type="dxa"/>
            <w:tcBorders>
              <w:top w:val="nil"/>
              <w:left w:val="nil"/>
              <w:bottom w:val="nil"/>
              <w:right w:val="nil"/>
            </w:tcBorders>
          </w:tcPr>
          <w:p w14:paraId="3D2263AE" w14:textId="77777777" w:rsidR="00375FEA" w:rsidRPr="004876A9" w:rsidRDefault="00375FEA" w:rsidP="00130123">
            <w:pPr>
              <w:contextualSpacing/>
              <w:jc w:val="both"/>
              <w:rPr>
                <w:rFonts w:ascii="Arial" w:hAnsi="Arial" w:cs="Arial"/>
                <w:b/>
                <w:sz w:val="24"/>
                <w:szCs w:val="24"/>
              </w:rPr>
            </w:pPr>
            <w:r w:rsidRPr="004876A9">
              <w:rPr>
                <w:rFonts w:ascii="Arial" w:hAnsi="Arial" w:cs="Arial"/>
                <w:b/>
                <w:sz w:val="24"/>
                <w:szCs w:val="24"/>
              </w:rPr>
              <w:t>ACUERDO DE SALA</w:t>
            </w:r>
          </w:p>
          <w:p w14:paraId="6B56CC85" w14:textId="77777777" w:rsidR="00375FEA" w:rsidRPr="004876A9" w:rsidRDefault="00375FEA" w:rsidP="00130123">
            <w:pPr>
              <w:contextualSpacing/>
              <w:jc w:val="both"/>
              <w:rPr>
                <w:rFonts w:ascii="Arial" w:hAnsi="Arial" w:cs="Arial"/>
                <w:b/>
                <w:sz w:val="24"/>
                <w:szCs w:val="24"/>
              </w:rPr>
            </w:pPr>
          </w:p>
          <w:p w14:paraId="7BF10100" w14:textId="77777777" w:rsidR="00375FEA" w:rsidRPr="004876A9" w:rsidRDefault="00375FEA" w:rsidP="00130123">
            <w:pPr>
              <w:contextualSpacing/>
              <w:jc w:val="both"/>
              <w:rPr>
                <w:rFonts w:ascii="Arial" w:hAnsi="Arial" w:cs="Arial"/>
                <w:b/>
                <w:sz w:val="24"/>
                <w:szCs w:val="24"/>
              </w:rPr>
            </w:pPr>
            <w:r w:rsidRPr="004876A9">
              <w:rPr>
                <w:rFonts w:ascii="Arial" w:hAnsi="Arial" w:cs="Arial"/>
                <w:b/>
                <w:sz w:val="24"/>
                <w:szCs w:val="24"/>
              </w:rPr>
              <w:t>ASUNTO GENERAL</w:t>
            </w:r>
          </w:p>
          <w:p w14:paraId="67C05269" w14:textId="77777777" w:rsidR="00375FEA" w:rsidRPr="004876A9" w:rsidRDefault="00375FEA" w:rsidP="00130123">
            <w:pPr>
              <w:pStyle w:val="Cuerpo"/>
              <w:contextualSpacing/>
              <w:jc w:val="both"/>
              <w:rPr>
                <w:rFonts w:ascii="Arial" w:hAnsi="Arial" w:cs="Arial"/>
                <w:b/>
              </w:rPr>
            </w:pPr>
          </w:p>
          <w:p w14:paraId="58267842" w14:textId="77777777" w:rsidR="00375FEA" w:rsidRPr="004876A9" w:rsidRDefault="00375FEA" w:rsidP="00130123">
            <w:pPr>
              <w:pStyle w:val="Cuerpo"/>
              <w:contextualSpacing/>
              <w:jc w:val="both"/>
              <w:rPr>
                <w:rStyle w:val="Ninguno"/>
                <w:rFonts w:ascii="Arial" w:eastAsia="Calibri" w:hAnsi="Arial" w:cs="Arial"/>
              </w:rPr>
            </w:pPr>
            <w:r w:rsidRPr="004876A9">
              <w:rPr>
                <w:rFonts w:ascii="Arial" w:hAnsi="Arial" w:cs="Arial"/>
                <w:b/>
              </w:rPr>
              <w:t>EXPEDIENTE:</w:t>
            </w:r>
            <w:r w:rsidRPr="004876A9">
              <w:rPr>
                <w:rFonts w:ascii="Arial" w:hAnsi="Arial" w:cs="Arial"/>
              </w:rPr>
              <w:t xml:space="preserve"> </w:t>
            </w:r>
            <w:r w:rsidRPr="004876A9">
              <w:rPr>
                <w:rStyle w:val="Ninguno"/>
                <w:rFonts w:ascii="Arial" w:eastAsia="Calibri" w:hAnsi="Arial" w:cs="Arial"/>
              </w:rPr>
              <w:t>SUP-AG-40/2018</w:t>
            </w:r>
          </w:p>
          <w:p w14:paraId="56E06E51" w14:textId="77777777" w:rsidR="00375FEA" w:rsidRPr="004876A9" w:rsidRDefault="00375FEA" w:rsidP="00130123">
            <w:pPr>
              <w:contextualSpacing/>
              <w:jc w:val="both"/>
              <w:rPr>
                <w:rFonts w:ascii="Arial" w:hAnsi="Arial" w:cs="Arial"/>
                <w:b/>
                <w:sz w:val="24"/>
                <w:szCs w:val="24"/>
              </w:rPr>
            </w:pPr>
          </w:p>
          <w:p w14:paraId="7AF4FA4E" w14:textId="77777777" w:rsidR="00375FEA" w:rsidRPr="004876A9" w:rsidRDefault="00375FEA" w:rsidP="00130123">
            <w:pPr>
              <w:contextualSpacing/>
              <w:jc w:val="both"/>
              <w:rPr>
                <w:rFonts w:ascii="Arial" w:hAnsi="Arial" w:cs="Arial"/>
                <w:sz w:val="24"/>
                <w:szCs w:val="24"/>
              </w:rPr>
            </w:pPr>
            <w:r w:rsidRPr="004876A9">
              <w:rPr>
                <w:rFonts w:ascii="Arial" w:hAnsi="Arial" w:cs="Arial"/>
                <w:b/>
                <w:sz w:val="24"/>
                <w:szCs w:val="24"/>
              </w:rPr>
              <w:t xml:space="preserve">ACTOR: </w:t>
            </w:r>
            <w:r w:rsidRPr="004876A9">
              <w:rPr>
                <w:rFonts w:ascii="Arial" w:hAnsi="Arial" w:cs="Arial"/>
                <w:sz w:val="24"/>
                <w:szCs w:val="24"/>
              </w:rPr>
              <w:t>ROQUE ALBERTO VELÁZQUEZ GALINDO</w:t>
            </w:r>
          </w:p>
          <w:p w14:paraId="23337D38" w14:textId="77777777" w:rsidR="00375FEA" w:rsidRPr="004876A9" w:rsidRDefault="00375FEA" w:rsidP="00130123">
            <w:pPr>
              <w:contextualSpacing/>
              <w:jc w:val="both"/>
              <w:rPr>
                <w:rFonts w:ascii="Arial" w:hAnsi="Arial" w:cs="Arial"/>
                <w:bCs/>
                <w:sz w:val="24"/>
                <w:szCs w:val="24"/>
              </w:rPr>
            </w:pPr>
          </w:p>
          <w:p w14:paraId="0957A2FE" w14:textId="77777777" w:rsidR="00375FEA" w:rsidRPr="004876A9" w:rsidRDefault="00375FEA" w:rsidP="00130123">
            <w:pPr>
              <w:contextualSpacing/>
              <w:jc w:val="both"/>
              <w:rPr>
                <w:rFonts w:ascii="Arial" w:hAnsi="Arial" w:cs="Arial"/>
                <w:sz w:val="24"/>
                <w:szCs w:val="24"/>
              </w:rPr>
            </w:pPr>
            <w:r w:rsidRPr="004876A9">
              <w:rPr>
                <w:rFonts w:ascii="Arial" w:hAnsi="Arial" w:cs="Arial"/>
                <w:b/>
                <w:sz w:val="24"/>
                <w:szCs w:val="24"/>
              </w:rPr>
              <w:t>AUTORIDAD RESPONSABLE:</w:t>
            </w:r>
            <w:r w:rsidRPr="004876A9">
              <w:rPr>
                <w:rFonts w:ascii="Arial" w:hAnsi="Arial" w:cs="Arial"/>
                <w:sz w:val="24"/>
                <w:szCs w:val="24"/>
              </w:rPr>
              <w:t xml:space="preserve"> PARTIDO ENCUENTRO SOCIAL</w:t>
            </w:r>
          </w:p>
          <w:p w14:paraId="02148EFE" w14:textId="77777777" w:rsidR="00375FEA" w:rsidRPr="004876A9" w:rsidRDefault="00375FEA" w:rsidP="00130123">
            <w:pPr>
              <w:contextualSpacing/>
              <w:jc w:val="both"/>
              <w:rPr>
                <w:rFonts w:ascii="Arial" w:hAnsi="Arial" w:cs="Arial"/>
                <w:sz w:val="24"/>
                <w:szCs w:val="24"/>
              </w:rPr>
            </w:pPr>
          </w:p>
          <w:p w14:paraId="69BE59E6" w14:textId="77777777" w:rsidR="00375FEA" w:rsidRPr="004876A9" w:rsidRDefault="00375FEA" w:rsidP="00130123">
            <w:pPr>
              <w:contextualSpacing/>
              <w:jc w:val="both"/>
              <w:rPr>
                <w:rFonts w:ascii="Arial" w:hAnsi="Arial" w:cs="Arial"/>
                <w:sz w:val="24"/>
                <w:szCs w:val="24"/>
              </w:rPr>
            </w:pPr>
            <w:r w:rsidRPr="004876A9">
              <w:rPr>
                <w:rFonts w:ascii="Arial" w:hAnsi="Arial" w:cs="Arial"/>
                <w:b/>
                <w:sz w:val="24"/>
                <w:szCs w:val="24"/>
              </w:rPr>
              <w:t>MAGISTRADA PONENTE:</w:t>
            </w:r>
            <w:r w:rsidRPr="004876A9">
              <w:rPr>
                <w:rFonts w:ascii="Arial" w:hAnsi="Arial" w:cs="Arial"/>
                <w:sz w:val="24"/>
                <w:szCs w:val="24"/>
              </w:rPr>
              <w:t xml:space="preserve"> JANINE M. OTÁLORA MALASSIS</w:t>
            </w:r>
          </w:p>
          <w:p w14:paraId="468BAC2A" w14:textId="77777777" w:rsidR="00375FEA" w:rsidRPr="004876A9" w:rsidRDefault="00375FEA" w:rsidP="00130123">
            <w:pPr>
              <w:contextualSpacing/>
              <w:jc w:val="both"/>
              <w:rPr>
                <w:rFonts w:ascii="Arial" w:hAnsi="Arial" w:cs="Arial"/>
                <w:sz w:val="24"/>
                <w:szCs w:val="24"/>
              </w:rPr>
            </w:pPr>
          </w:p>
          <w:p w14:paraId="7758AF68" w14:textId="77777777" w:rsidR="00375FEA" w:rsidRPr="004876A9" w:rsidRDefault="00375FEA" w:rsidP="00130123">
            <w:pPr>
              <w:contextualSpacing/>
              <w:jc w:val="both"/>
              <w:rPr>
                <w:rFonts w:ascii="Arial" w:hAnsi="Arial" w:cs="Arial"/>
                <w:sz w:val="24"/>
                <w:szCs w:val="24"/>
              </w:rPr>
            </w:pPr>
            <w:r w:rsidRPr="004876A9">
              <w:rPr>
                <w:rFonts w:ascii="Arial" w:hAnsi="Arial" w:cs="Arial"/>
                <w:b/>
                <w:sz w:val="24"/>
                <w:szCs w:val="24"/>
              </w:rPr>
              <w:t xml:space="preserve">SECRETARIO: </w:t>
            </w:r>
            <w:r w:rsidRPr="004876A9">
              <w:rPr>
                <w:rFonts w:ascii="Arial" w:hAnsi="Arial" w:cs="Arial"/>
                <w:sz w:val="24"/>
                <w:szCs w:val="24"/>
              </w:rPr>
              <w:t>GENARO ESCOBAR AMBRIZ</w:t>
            </w:r>
          </w:p>
          <w:p w14:paraId="204E150E" w14:textId="77777777" w:rsidR="00375FEA" w:rsidRPr="004876A9" w:rsidRDefault="00375FEA" w:rsidP="00130123">
            <w:pPr>
              <w:contextualSpacing/>
              <w:jc w:val="both"/>
              <w:rPr>
                <w:rFonts w:ascii="Arial" w:hAnsi="Arial" w:cs="Arial"/>
                <w:sz w:val="24"/>
                <w:szCs w:val="24"/>
              </w:rPr>
            </w:pPr>
          </w:p>
          <w:p w14:paraId="6E8A7FB1" w14:textId="77777777" w:rsidR="00375FEA" w:rsidRPr="00317E96" w:rsidRDefault="00375FEA" w:rsidP="00130123">
            <w:pPr>
              <w:contextualSpacing/>
              <w:jc w:val="both"/>
              <w:rPr>
                <w:rFonts w:ascii="Arial" w:hAnsi="Arial" w:cs="Arial"/>
                <w:b/>
                <w:sz w:val="27"/>
                <w:szCs w:val="27"/>
              </w:rPr>
            </w:pPr>
            <w:r w:rsidRPr="004876A9">
              <w:rPr>
                <w:rFonts w:ascii="Arial" w:hAnsi="Arial" w:cs="Arial"/>
                <w:b/>
                <w:sz w:val="24"/>
                <w:szCs w:val="24"/>
              </w:rPr>
              <w:t xml:space="preserve">COLABORÓ: </w:t>
            </w:r>
            <w:r w:rsidRPr="004876A9">
              <w:rPr>
                <w:rFonts w:ascii="Arial" w:hAnsi="Arial" w:cs="Arial"/>
                <w:sz w:val="24"/>
                <w:szCs w:val="24"/>
              </w:rPr>
              <w:t>JUAN LUIS HERNÁNDEZ MACÍAS</w:t>
            </w:r>
          </w:p>
        </w:tc>
      </w:tr>
    </w:tbl>
    <w:p w14:paraId="2067FC7B" w14:textId="77777777" w:rsidR="00375FEA" w:rsidRPr="00317E96" w:rsidRDefault="00375FEA" w:rsidP="00375FEA">
      <w:pPr>
        <w:spacing w:line="360" w:lineRule="auto"/>
        <w:contextualSpacing/>
        <w:jc w:val="both"/>
        <w:rPr>
          <w:rFonts w:ascii="Arial" w:hAnsi="Arial" w:cs="Arial"/>
          <w:sz w:val="27"/>
          <w:szCs w:val="27"/>
          <w:lang w:eastAsia="es-MX"/>
        </w:rPr>
      </w:pPr>
    </w:p>
    <w:p w14:paraId="504DB07B" w14:textId="77777777" w:rsidR="00375FEA" w:rsidRPr="004876A9" w:rsidRDefault="00375FEA" w:rsidP="004876A9">
      <w:pPr>
        <w:spacing w:after="0" w:line="240" w:lineRule="auto"/>
        <w:contextualSpacing/>
        <w:jc w:val="both"/>
        <w:rPr>
          <w:rFonts w:ascii="Arial" w:hAnsi="Arial" w:cs="Arial"/>
          <w:sz w:val="24"/>
          <w:szCs w:val="24"/>
          <w:lang w:eastAsia="es-MX"/>
        </w:rPr>
      </w:pPr>
      <w:r w:rsidRPr="004876A9">
        <w:rPr>
          <w:rFonts w:ascii="Arial" w:hAnsi="Arial" w:cs="Arial"/>
          <w:sz w:val="24"/>
          <w:szCs w:val="24"/>
          <w:lang w:eastAsia="es-MX"/>
        </w:rPr>
        <w:t>Ciudad de México, a veinticuatro de abril de dos mil dieciocho.</w:t>
      </w:r>
    </w:p>
    <w:p w14:paraId="4F78488F" w14:textId="77777777" w:rsidR="00375FEA" w:rsidRPr="004876A9" w:rsidRDefault="00375FEA" w:rsidP="004876A9">
      <w:pPr>
        <w:spacing w:after="0" w:line="240" w:lineRule="auto"/>
        <w:contextualSpacing/>
        <w:jc w:val="both"/>
        <w:rPr>
          <w:rFonts w:ascii="Arial" w:hAnsi="Arial" w:cs="Arial"/>
          <w:sz w:val="24"/>
          <w:szCs w:val="24"/>
          <w:lang w:eastAsia="es-MX"/>
        </w:rPr>
      </w:pPr>
    </w:p>
    <w:p w14:paraId="548462AD"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
          <w:bCs/>
          <w:sz w:val="24"/>
          <w:szCs w:val="24"/>
        </w:rPr>
        <w:t xml:space="preserve">ACUERDO </w:t>
      </w:r>
      <w:r w:rsidRPr="004876A9">
        <w:rPr>
          <w:rFonts w:ascii="Arial" w:eastAsia="Calibri" w:hAnsi="Arial" w:cs="Arial"/>
          <w:bCs/>
          <w:sz w:val="24"/>
          <w:szCs w:val="24"/>
        </w:rPr>
        <w:t xml:space="preserve">mediante el cual la Sala Superior del Tribunal Electoral del Poder Judicial de la Federación determina remitir la petición de Roque Alberto Velázquez Galindo al </w:t>
      </w:r>
      <w:proofErr w:type="gramStart"/>
      <w:r w:rsidRPr="004876A9">
        <w:rPr>
          <w:rFonts w:ascii="Arial" w:eastAsia="Calibri" w:hAnsi="Arial" w:cs="Arial"/>
          <w:bCs/>
          <w:sz w:val="24"/>
          <w:szCs w:val="24"/>
        </w:rPr>
        <w:t>Presidente</w:t>
      </w:r>
      <w:proofErr w:type="gramEnd"/>
      <w:r w:rsidRPr="004876A9">
        <w:rPr>
          <w:rFonts w:ascii="Arial" w:eastAsia="Calibri" w:hAnsi="Arial" w:cs="Arial"/>
          <w:bCs/>
          <w:sz w:val="24"/>
          <w:szCs w:val="24"/>
        </w:rPr>
        <w:t xml:space="preserve"> del Comité Directivo Nacional del Partido Encuentro Social.</w:t>
      </w:r>
    </w:p>
    <w:p w14:paraId="75CA60AF" w14:textId="77777777" w:rsidR="00375FEA" w:rsidRPr="004876A9" w:rsidRDefault="00375FEA" w:rsidP="004876A9">
      <w:pPr>
        <w:spacing w:after="0" w:line="240" w:lineRule="auto"/>
        <w:contextualSpacing/>
        <w:jc w:val="both"/>
        <w:rPr>
          <w:rFonts w:ascii="Arial" w:eastAsia="Arial Unicode MS" w:hAnsi="Arial" w:cs="Arial"/>
          <w:sz w:val="24"/>
          <w:szCs w:val="24"/>
        </w:rPr>
      </w:pPr>
    </w:p>
    <w:p w14:paraId="6FEC119B" w14:textId="77777777" w:rsidR="00375FEA" w:rsidRPr="004876A9" w:rsidRDefault="00375FEA" w:rsidP="004876A9">
      <w:pPr>
        <w:spacing w:after="0" w:line="240" w:lineRule="auto"/>
        <w:ind w:firstLine="567"/>
        <w:contextualSpacing/>
        <w:jc w:val="center"/>
        <w:rPr>
          <w:rFonts w:ascii="Arial" w:hAnsi="Arial" w:cs="Arial"/>
          <w:b/>
          <w:bCs/>
          <w:sz w:val="24"/>
          <w:szCs w:val="24"/>
          <w:lang w:eastAsia="es-MX"/>
        </w:rPr>
      </w:pPr>
      <w:r w:rsidRPr="004876A9">
        <w:rPr>
          <w:rFonts w:ascii="Arial" w:hAnsi="Arial" w:cs="Arial"/>
          <w:b/>
          <w:bCs/>
          <w:sz w:val="24"/>
          <w:szCs w:val="24"/>
          <w:lang w:eastAsia="es-MX"/>
        </w:rPr>
        <w:t xml:space="preserve">I. ANTECEDENTES </w:t>
      </w:r>
    </w:p>
    <w:p w14:paraId="4E6C6736" w14:textId="77777777" w:rsidR="00375FEA" w:rsidRPr="004876A9" w:rsidRDefault="00375FEA" w:rsidP="004876A9">
      <w:pPr>
        <w:spacing w:after="0" w:line="240" w:lineRule="auto"/>
        <w:contextualSpacing/>
        <w:jc w:val="both"/>
        <w:rPr>
          <w:rFonts w:ascii="Arial" w:eastAsia="Calibri" w:hAnsi="Arial" w:cs="Arial"/>
          <w:bCs/>
          <w:sz w:val="24"/>
          <w:szCs w:val="24"/>
        </w:rPr>
      </w:pPr>
    </w:p>
    <w:p w14:paraId="2FC05EDB"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
          <w:bCs/>
          <w:sz w:val="24"/>
          <w:szCs w:val="24"/>
        </w:rPr>
        <w:t>1. Petición ante CONAPRED</w:t>
      </w:r>
      <w:r w:rsidRPr="004876A9">
        <w:rPr>
          <w:rStyle w:val="Refdenotaalpie"/>
          <w:rFonts w:ascii="Arial" w:eastAsia="Calibri" w:hAnsi="Arial" w:cs="Arial"/>
          <w:b/>
          <w:bCs/>
          <w:sz w:val="24"/>
          <w:szCs w:val="24"/>
        </w:rPr>
        <w:footnoteReference w:id="13"/>
      </w:r>
      <w:r w:rsidRPr="004876A9">
        <w:rPr>
          <w:rFonts w:ascii="Arial" w:eastAsia="Calibri" w:hAnsi="Arial" w:cs="Arial"/>
          <w:b/>
          <w:bCs/>
          <w:sz w:val="24"/>
          <w:szCs w:val="24"/>
        </w:rPr>
        <w:t xml:space="preserve">. </w:t>
      </w:r>
      <w:r w:rsidRPr="004876A9">
        <w:rPr>
          <w:rFonts w:ascii="Arial" w:eastAsia="Calibri" w:hAnsi="Arial" w:cs="Arial"/>
          <w:bCs/>
          <w:sz w:val="24"/>
          <w:szCs w:val="24"/>
        </w:rPr>
        <w:t>El veintiuno de marzo de dos mil dieciocho, Roque Alberto Velázquez Galindo, quien dijo tener una discapacidad visual (ceguera), presentó escrito de petición ante el CONAPRED a fin de que tal órgano interviniera para que fuera incluido en una de las dieciséis fórmulas de candidaturas que afirma le corresponden al Partido Encuentro Social (en adelante PES) en la lista nacional plurinominal para integrar el Senado de la República.</w:t>
      </w:r>
    </w:p>
    <w:p w14:paraId="0203C20B" w14:textId="77777777" w:rsidR="00375FEA" w:rsidRPr="004876A9" w:rsidRDefault="00375FEA" w:rsidP="004876A9">
      <w:pPr>
        <w:spacing w:after="0" w:line="240" w:lineRule="auto"/>
        <w:contextualSpacing/>
        <w:jc w:val="both"/>
        <w:rPr>
          <w:rFonts w:ascii="Arial" w:eastAsia="Calibri" w:hAnsi="Arial" w:cs="Arial"/>
          <w:bCs/>
          <w:sz w:val="24"/>
          <w:szCs w:val="24"/>
        </w:rPr>
      </w:pPr>
    </w:p>
    <w:p w14:paraId="6537C23D"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Cs/>
          <w:sz w:val="24"/>
          <w:szCs w:val="24"/>
        </w:rPr>
        <w:t xml:space="preserve">Al advertir que la materia de la petición correspondía a la materia electoral, el Director de Admisibilidad, Orientación e Información del CONAPRED, remitió el </w:t>
      </w:r>
      <w:r w:rsidRPr="004876A9">
        <w:rPr>
          <w:rFonts w:ascii="Arial" w:eastAsia="Calibri" w:hAnsi="Arial" w:cs="Arial"/>
          <w:bCs/>
          <w:sz w:val="24"/>
          <w:szCs w:val="24"/>
        </w:rPr>
        <w:lastRenderedPageBreak/>
        <w:t>asunto al Instituto Nacional Electoral (en adelante INE) para que diera respuesta al peticionario en el ámbito de su competencia constitucional y legal</w:t>
      </w:r>
      <w:r w:rsidRPr="004876A9">
        <w:rPr>
          <w:rStyle w:val="Refdenotaalpie"/>
          <w:rFonts w:ascii="Arial" w:eastAsia="Calibri" w:hAnsi="Arial" w:cs="Arial"/>
          <w:bCs/>
          <w:sz w:val="24"/>
          <w:szCs w:val="24"/>
        </w:rPr>
        <w:footnoteReference w:id="14"/>
      </w:r>
      <w:r w:rsidRPr="004876A9">
        <w:rPr>
          <w:rFonts w:ascii="Arial" w:eastAsia="Calibri" w:hAnsi="Arial" w:cs="Arial"/>
          <w:bCs/>
          <w:sz w:val="24"/>
          <w:szCs w:val="24"/>
        </w:rPr>
        <w:t>.</w:t>
      </w:r>
    </w:p>
    <w:p w14:paraId="27237861" w14:textId="77777777" w:rsidR="00375FEA" w:rsidRPr="004876A9" w:rsidRDefault="00375FEA" w:rsidP="004876A9">
      <w:pPr>
        <w:spacing w:after="0" w:line="240" w:lineRule="auto"/>
        <w:contextualSpacing/>
        <w:jc w:val="both"/>
        <w:rPr>
          <w:rFonts w:ascii="Arial" w:eastAsia="Calibri" w:hAnsi="Arial" w:cs="Arial"/>
          <w:bCs/>
          <w:sz w:val="24"/>
          <w:szCs w:val="24"/>
        </w:rPr>
      </w:pPr>
    </w:p>
    <w:p w14:paraId="16CDE008"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
          <w:bCs/>
          <w:sz w:val="24"/>
          <w:szCs w:val="24"/>
        </w:rPr>
        <w:t xml:space="preserve">2. Trámite de la petición en el INE. </w:t>
      </w:r>
      <w:r w:rsidRPr="004876A9">
        <w:rPr>
          <w:rFonts w:ascii="Arial" w:eastAsia="Calibri" w:hAnsi="Arial" w:cs="Arial"/>
          <w:bCs/>
          <w:sz w:val="24"/>
          <w:szCs w:val="24"/>
        </w:rPr>
        <w:t>El nueve de abril de dos mil dieciocho, el Titular de la Unidad Técnica de lo Contencioso Electoral (UTCE) de la Secretaría Ejecutiva del INE recibió el oficio signado por el Director de Admisibilidad, Orientación e Información del CONAPRED.</w:t>
      </w:r>
    </w:p>
    <w:p w14:paraId="73184E9F" w14:textId="77777777" w:rsidR="00375FEA" w:rsidRPr="004876A9" w:rsidRDefault="00375FEA" w:rsidP="004876A9">
      <w:pPr>
        <w:spacing w:after="0" w:line="240" w:lineRule="auto"/>
        <w:contextualSpacing/>
        <w:jc w:val="both"/>
        <w:rPr>
          <w:rFonts w:ascii="Arial" w:eastAsia="Calibri" w:hAnsi="Arial" w:cs="Arial"/>
          <w:bCs/>
          <w:sz w:val="24"/>
          <w:szCs w:val="24"/>
        </w:rPr>
      </w:pPr>
    </w:p>
    <w:p w14:paraId="068D210D"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Cs/>
          <w:sz w:val="24"/>
          <w:szCs w:val="24"/>
        </w:rPr>
        <w:t>Por oficio INE-UT/4385/2018, el Titular de la UTCE, remitió a esta Sala Superior el escrito del peticionario, pues consideró que se estaba impugnando una supuesta omisión del Partido Encuentro Social de incluirlo en la lista de candidatos plurinominales para el Senado de la República, en contravención a los principios de igualdad y no discriminación en la repartición de los cargos de elección popular para personas con discapacidad.</w:t>
      </w:r>
    </w:p>
    <w:p w14:paraId="6F39A9CA" w14:textId="77777777" w:rsidR="00375FEA" w:rsidRPr="004876A9" w:rsidRDefault="00375FEA" w:rsidP="004876A9">
      <w:pPr>
        <w:spacing w:after="0" w:line="240" w:lineRule="auto"/>
        <w:contextualSpacing/>
        <w:jc w:val="both"/>
        <w:rPr>
          <w:rFonts w:ascii="Arial" w:eastAsia="Calibri" w:hAnsi="Arial" w:cs="Arial"/>
          <w:bCs/>
          <w:sz w:val="24"/>
          <w:szCs w:val="24"/>
        </w:rPr>
      </w:pPr>
    </w:p>
    <w:p w14:paraId="1233A1D2"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Cs/>
          <w:sz w:val="24"/>
          <w:szCs w:val="24"/>
        </w:rPr>
        <w:t xml:space="preserve">Además, el Titular de dicha unidad consideró </w:t>
      </w:r>
      <w:proofErr w:type="gramStart"/>
      <w:r w:rsidRPr="004876A9">
        <w:rPr>
          <w:rFonts w:ascii="Arial" w:eastAsia="Calibri" w:hAnsi="Arial" w:cs="Arial"/>
          <w:bCs/>
          <w:sz w:val="24"/>
          <w:szCs w:val="24"/>
        </w:rPr>
        <w:t>que</w:t>
      </w:r>
      <w:proofErr w:type="gramEnd"/>
      <w:r w:rsidRPr="004876A9">
        <w:rPr>
          <w:rFonts w:ascii="Arial" w:eastAsia="Calibri" w:hAnsi="Arial" w:cs="Arial"/>
          <w:bCs/>
          <w:sz w:val="24"/>
          <w:szCs w:val="24"/>
        </w:rPr>
        <w:t xml:space="preserve"> con la tramitación de un procedimiento sancionador, cuya competencia correspondería al INE, no se generaría un remedio jurídico a la petición de la persona, pues este procedimiento únicamente podría concluir, de ser el caso, en una sanción administrativa al partido político en cuestión y no en alcanzar una restitución al derecho a ser votado que la persona dice resentir.</w:t>
      </w:r>
    </w:p>
    <w:p w14:paraId="61D3BD71" w14:textId="77777777" w:rsidR="00375FEA" w:rsidRPr="004876A9" w:rsidRDefault="00375FEA" w:rsidP="004876A9">
      <w:pPr>
        <w:spacing w:after="0" w:line="240" w:lineRule="auto"/>
        <w:contextualSpacing/>
        <w:jc w:val="both"/>
        <w:rPr>
          <w:rFonts w:ascii="Arial" w:eastAsia="Calibri" w:hAnsi="Arial" w:cs="Arial"/>
          <w:bCs/>
          <w:sz w:val="24"/>
          <w:szCs w:val="24"/>
        </w:rPr>
      </w:pPr>
    </w:p>
    <w:p w14:paraId="1317952F"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
          <w:bCs/>
          <w:sz w:val="24"/>
          <w:szCs w:val="24"/>
        </w:rPr>
        <w:t xml:space="preserve">3. Manifestaciones del peticionario al INE. </w:t>
      </w:r>
      <w:r w:rsidRPr="004876A9">
        <w:rPr>
          <w:rFonts w:ascii="Arial" w:eastAsia="Calibri" w:hAnsi="Arial" w:cs="Arial"/>
          <w:bCs/>
          <w:sz w:val="24"/>
          <w:szCs w:val="24"/>
        </w:rPr>
        <w:t xml:space="preserve">Por escrito recibido vía correo electrónico en el INE, el peticionario reiteró la relación de hechos de su escrito inicial ante CONAPRED y solicitó la intervención del INE para obtener una candidatura al Senado de la República por el PES. En esta ocasión, señaló que ningún partido ni el propio INE habían emitido una convocatoria en sistema de lectura </w:t>
      </w:r>
      <w:r w:rsidRPr="004876A9">
        <w:rPr>
          <w:rFonts w:ascii="Arial" w:eastAsia="Calibri" w:hAnsi="Arial" w:cs="Arial"/>
          <w:bCs/>
          <w:i/>
          <w:sz w:val="24"/>
          <w:szCs w:val="24"/>
        </w:rPr>
        <w:t>Braille</w:t>
      </w:r>
      <w:r w:rsidRPr="004876A9">
        <w:rPr>
          <w:rFonts w:ascii="Arial" w:eastAsia="Calibri" w:hAnsi="Arial" w:cs="Arial"/>
          <w:bCs/>
          <w:sz w:val="24"/>
          <w:szCs w:val="24"/>
        </w:rPr>
        <w:t>.</w:t>
      </w:r>
    </w:p>
    <w:p w14:paraId="0AC2EC97" w14:textId="77777777" w:rsidR="00375FEA" w:rsidRPr="004876A9" w:rsidRDefault="00375FEA" w:rsidP="004876A9">
      <w:pPr>
        <w:spacing w:after="0" w:line="240" w:lineRule="auto"/>
        <w:contextualSpacing/>
        <w:jc w:val="both"/>
        <w:rPr>
          <w:rFonts w:ascii="Arial" w:eastAsia="Calibri" w:hAnsi="Arial" w:cs="Arial"/>
          <w:bCs/>
          <w:sz w:val="24"/>
          <w:szCs w:val="24"/>
        </w:rPr>
      </w:pPr>
    </w:p>
    <w:p w14:paraId="72FB1F64" w14:textId="77777777" w:rsidR="00375FEA" w:rsidRPr="004876A9" w:rsidRDefault="00375FEA" w:rsidP="004876A9">
      <w:pPr>
        <w:spacing w:after="0" w:line="240" w:lineRule="auto"/>
        <w:contextualSpacing/>
        <w:jc w:val="both"/>
        <w:rPr>
          <w:rFonts w:ascii="Arial" w:eastAsia="Calibri" w:hAnsi="Arial" w:cs="Arial"/>
          <w:bCs/>
          <w:sz w:val="24"/>
          <w:szCs w:val="24"/>
        </w:rPr>
      </w:pPr>
      <w:r w:rsidRPr="004876A9">
        <w:rPr>
          <w:rFonts w:ascii="Arial" w:eastAsia="Calibri" w:hAnsi="Arial" w:cs="Arial"/>
          <w:b/>
          <w:bCs/>
          <w:sz w:val="24"/>
          <w:szCs w:val="24"/>
        </w:rPr>
        <w:t xml:space="preserve">4. Recepción del juicio. </w:t>
      </w:r>
      <w:r w:rsidRPr="004876A9">
        <w:rPr>
          <w:rFonts w:ascii="Arial" w:eastAsia="Calibri" w:hAnsi="Arial" w:cs="Arial"/>
          <w:bCs/>
          <w:sz w:val="24"/>
          <w:szCs w:val="24"/>
        </w:rPr>
        <w:t>La Magistrada Presidenta de la Sala Superior acordó integrar el presente asunto con la clave de identificación SUP-AG-40/2018 y lo turnó a la ponencia a su cargo, para los efectos previstos en el artículo 19 de la Ley General del Sistema de Medios de Impugnación en Materia Electoral</w:t>
      </w:r>
      <w:r w:rsidRPr="004876A9">
        <w:rPr>
          <w:rFonts w:ascii="Arial" w:eastAsia="Calibri" w:hAnsi="Arial" w:cs="Arial"/>
          <w:bCs/>
          <w:sz w:val="24"/>
          <w:szCs w:val="24"/>
          <w:vertAlign w:val="superscript"/>
        </w:rPr>
        <w:footnoteReference w:id="15"/>
      </w:r>
      <w:r w:rsidRPr="004876A9">
        <w:rPr>
          <w:rFonts w:ascii="Arial" w:eastAsia="Calibri" w:hAnsi="Arial" w:cs="Arial"/>
          <w:bCs/>
          <w:sz w:val="24"/>
          <w:szCs w:val="24"/>
        </w:rPr>
        <w:t>.</w:t>
      </w:r>
    </w:p>
    <w:p w14:paraId="26F0248F" w14:textId="77777777" w:rsidR="00375FEA" w:rsidRPr="004876A9" w:rsidRDefault="00375FEA" w:rsidP="004876A9">
      <w:pPr>
        <w:spacing w:after="0" w:line="240" w:lineRule="auto"/>
        <w:contextualSpacing/>
        <w:jc w:val="both"/>
        <w:rPr>
          <w:rFonts w:ascii="Arial" w:eastAsia="Arial" w:hAnsi="Arial" w:cs="Arial"/>
          <w:sz w:val="24"/>
          <w:szCs w:val="24"/>
        </w:rPr>
      </w:pPr>
    </w:p>
    <w:p w14:paraId="65B744B5" w14:textId="77777777" w:rsidR="00375FEA" w:rsidRPr="00DD66E3" w:rsidRDefault="00375FEA" w:rsidP="00DD66E3">
      <w:pPr>
        <w:spacing w:after="0" w:line="240" w:lineRule="auto"/>
        <w:contextualSpacing/>
        <w:jc w:val="both"/>
        <w:rPr>
          <w:rFonts w:ascii="Arial" w:eastAsia="Arial" w:hAnsi="Arial" w:cs="Arial"/>
          <w:sz w:val="24"/>
          <w:szCs w:val="24"/>
        </w:rPr>
      </w:pPr>
      <w:r w:rsidRPr="004876A9">
        <w:rPr>
          <w:rFonts w:ascii="Arial" w:hAnsi="Arial" w:cs="Arial"/>
          <w:b/>
          <w:sz w:val="24"/>
          <w:szCs w:val="24"/>
        </w:rPr>
        <w:t xml:space="preserve">5. </w:t>
      </w:r>
      <w:r w:rsidRPr="004876A9">
        <w:rPr>
          <w:rFonts w:ascii="Arial" w:eastAsia="Arial" w:hAnsi="Arial" w:cs="Arial"/>
          <w:b/>
          <w:sz w:val="24"/>
          <w:szCs w:val="24"/>
        </w:rPr>
        <w:t xml:space="preserve">Recepción y radicación. </w:t>
      </w:r>
      <w:r w:rsidRPr="004876A9">
        <w:rPr>
          <w:rFonts w:ascii="Arial" w:eastAsia="Arial" w:hAnsi="Arial" w:cs="Arial"/>
          <w:sz w:val="24"/>
          <w:szCs w:val="24"/>
        </w:rPr>
        <w:t>En su oportunidad, la Magistrada Presidenta tuvo por recibido y radicado el asunto general.</w:t>
      </w:r>
    </w:p>
    <w:p w14:paraId="42D3CDE3" w14:textId="77777777" w:rsidR="00375FEA" w:rsidRPr="00DD66E3" w:rsidRDefault="00375FEA" w:rsidP="00DD66E3">
      <w:pPr>
        <w:spacing w:after="0" w:line="240" w:lineRule="auto"/>
        <w:contextualSpacing/>
        <w:jc w:val="both"/>
        <w:rPr>
          <w:rFonts w:ascii="Arial" w:hAnsi="Arial" w:cs="Arial"/>
          <w:sz w:val="24"/>
          <w:szCs w:val="24"/>
        </w:rPr>
      </w:pPr>
    </w:p>
    <w:p w14:paraId="528E5A26" w14:textId="77777777" w:rsidR="00375FEA" w:rsidRPr="00DD66E3" w:rsidRDefault="00375FEA" w:rsidP="00DD66E3">
      <w:pPr>
        <w:spacing w:after="0" w:line="240" w:lineRule="auto"/>
        <w:contextualSpacing/>
        <w:jc w:val="center"/>
        <w:rPr>
          <w:rFonts w:ascii="Arial" w:hAnsi="Arial" w:cs="Arial"/>
          <w:b/>
          <w:sz w:val="24"/>
          <w:szCs w:val="24"/>
        </w:rPr>
      </w:pPr>
      <w:r w:rsidRPr="00DD66E3">
        <w:rPr>
          <w:rFonts w:ascii="Arial" w:hAnsi="Arial" w:cs="Arial"/>
          <w:b/>
          <w:sz w:val="24"/>
          <w:szCs w:val="24"/>
        </w:rPr>
        <w:t>II. CONSIDERACIONES</w:t>
      </w:r>
    </w:p>
    <w:p w14:paraId="3A255818" w14:textId="77777777" w:rsidR="00375FEA" w:rsidRPr="00DD66E3" w:rsidRDefault="00375FEA" w:rsidP="00DD66E3">
      <w:pPr>
        <w:spacing w:after="0" w:line="240" w:lineRule="auto"/>
        <w:contextualSpacing/>
        <w:jc w:val="center"/>
        <w:rPr>
          <w:rFonts w:ascii="Arial" w:hAnsi="Arial" w:cs="Arial"/>
          <w:b/>
          <w:sz w:val="24"/>
          <w:szCs w:val="24"/>
        </w:rPr>
      </w:pPr>
    </w:p>
    <w:p w14:paraId="45B166F6" w14:textId="77777777" w:rsidR="00375FEA" w:rsidRPr="00DD66E3" w:rsidRDefault="00375FEA" w:rsidP="00DD66E3">
      <w:pPr>
        <w:spacing w:after="0" w:line="240" w:lineRule="auto"/>
        <w:jc w:val="both"/>
        <w:rPr>
          <w:rFonts w:ascii="Arial" w:hAnsi="Arial" w:cs="Arial"/>
          <w:sz w:val="24"/>
          <w:szCs w:val="24"/>
        </w:rPr>
      </w:pPr>
      <w:r w:rsidRPr="00DD66E3">
        <w:rPr>
          <w:rFonts w:ascii="Arial" w:hAnsi="Arial" w:cs="Arial"/>
          <w:b/>
          <w:sz w:val="24"/>
          <w:szCs w:val="24"/>
        </w:rPr>
        <w:t>PRIMERA.</w:t>
      </w:r>
      <w:r w:rsidRPr="00DD66E3">
        <w:rPr>
          <w:rFonts w:ascii="Arial" w:hAnsi="Arial" w:cs="Arial"/>
          <w:sz w:val="24"/>
          <w:szCs w:val="24"/>
        </w:rPr>
        <w:t xml:space="preserve"> </w:t>
      </w:r>
      <w:r w:rsidRPr="00DD66E3">
        <w:rPr>
          <w:rFonts w:ascii="Arial" w:hAnsi="Arial" w:cs="Arial"/>
          <w:b/>
          <w:sz w:val="24"/>
          <w:szCs w:val="24"/>
        </w:rPr>
        <w:t>Actuación colegiada.</w:t>
      </w:r>
      <w:r w:rsidRPr="00DD66E3">
        <w:rPr>
          <w:sz w:val="24"/>
          <w:szCs w:val="24"/>
        </w:rPr>
        <w:t xml:space="preserve"> </w:t>
      </w:r>
      <w:r w:rsidRPr="00DD66E3">
        <w:rPr>
          <w:rFonts w:ascii="Arial" w:hAnsi="Arial" w:cs="Arial"/>
          <w:sz w:val="24"/>
          <w:szCs w:val="24"/>
        </w:rPr>
        <w:t xml:space="preserve">La materia sobre la que versa esta </w:t>
      </w:r>
      <w:proofErr w:type="gramStart"/>
      <w:r w:rsidRPr="00DD66E3">
        <w:rPr>
          <w:rFonts w:ascii="Arial" w:hAnsi="Arial" w:cs="Arial"/>
          <w:sz w:val="24"/>
          <w:szCs w:val="24"/>
        </w:rPr>
        <w:t>determinación,</w:t>
      </w:r>
      <w:proofErr w:type="gramEnd"/>
      <w:r w:rsidRPr="00DD66E3">
        <w:rPr>
          <w:rFonts w:ascii="Arial" w:hAnsi="Arial" w:cs="Arial"/>
          <w:sz w:val="24"/>
          <w:szCs w:val="24"/>
        </w:rPr>
        <w:t xml:space="preserve"> corresponde al conocimiento de la Sala Superior del Tribunal Electoral del Poder Judicial de la Federación, mediante actuación colegiada, en términos del artículo 10, fracción VI, del Reglamento Interno de este Tribunal Electoral, así como de la tesis de jurisprudencia 11/99, de rubro: “MEDIOS DE IMPUGNACIÓN. LAS RESOLUCIONES O ACTUACIONES QUE IMPLIQUEN UNA </w:t>
      </w:r>
      <w:r w:rsidRPr="00DD66E3">
        <w:rPr>
          <w:rFonts w:ascii="Arial" w:hAnsi="Arial" w:cs="Arial"/>
          <w:sz w:val="24"/>
          <w:szCs w:val="24"/>
        </w:rPr>
        <w:lastRenderedPageBreak/>
        <w:t>MODIFICACIÓN EN LA SUSTANCIACIÓN DEL PROCEDIMIENTO ORDINARIO, SON COMPETENCIA DE LA SALA SUPERIOR Y NO DEL MAGISTRADO INSTRUCTOR”.</w:t>
      </w:r>
    </w:p>
    <w:p w14:paraId="41C7C7D4" w14:textId="77777777" w:rsidR="00375FEA" w:rsidRPr="00DD66E3" w:rsidRDefault="00375FEA" w:rsidP="00DD66E3">
      <w:pPr>
        <w:spacing w:after="0" w:line="240" w:lineRule="auto"/>
        <w:jc w:val="both"/>
        <w:rPr>
          <w:rFonts w:ascii="Arial" w:hAnsi="Arial" w:cs="Arial"/>
          <w:sz w:val="24"/>
          <w:szCs w:val="24"/>
        </w:rPr>
      </w:pPr>
    </w:p>
    <w:p w14:paraId="2849EF67" w14:textId="77777777" w:rsidR="00375FEA" w:rsidRPr="00DD66E3" w:rsidRDefault="00375FEA" w:rsidP="00DD66E3">
      <w:pPr>
        <w:spacing w:after="0" w:line="240" w:lineRule="auto"/>
        <w:jc w:val="both"/>
        <w:rPr>
          <w:rFonts w:ascii="Arial" w:hAnsi="Arial" w:cs="Arial"/>
          <w:sz w:val="24"/>
          <w:szCs w:val="24"/>
        </w:rPr>
      </w:pPr>
      <w:r w:rsidRPr="00DD66E3">
        <w:rPr>
          <w:rFonts w:ascii="Arial" w:hAnsi="Arial" w:cs="Arial"/>
          <w:sz w:val="24"/>
          <w:szCs w:val="24"/>
        </w:rPr>
        <w:t>Esto, pues se debe determinar la vía idónea para dar el trámite correspondiente a la petición del actor, lo cual no constituye un acuerdo de mero trámite, por lo que debe ser la Sala Superior, en actuación colegiada, la que emita la determinación que corresponda.</w:t>
      </w:r>
    </w:p>
    <w:p w14:paraId="3771FEA9" w14:textId="77777777" w:rsidR="00375FEA" w:rsidRPr="00DD66E3" w:rsidRDefault="00375FEA" w:rsidP="00DD66E3">
      <w:pPr>
        <w:spacing w:after="0" w:line="240" w:lineRule="auto"/>
        <w:contextualSpacing/>
        <w:jc w:val="both"/>
        <w:rPr>
          <w:rFonts w:ascii="Arial" w:hAnsi="Arial" w:cs="Arial"/>
          <w:sz w:val="24"/>
          <w:szCs w:val="24"/>
        </w:rPr>
      </w:pPr>
    </w:p>
    <w:p w14:paraId="2B4374BC"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b/>
          <w:sz w:val="24"/>
          <w:szCs w:val="24"/>
        </w:rPr>
        <w:t xml:space="preserve">SEGUNDA. Análisis de la pretensión. </w:t>
      </w:r>
      <w:r w:rsidRPr="00DD66E3">
        <w:rPr>
          <w:rFonts w:ascii="Arial" w:hAnsi="Arial" w:cs="Arial"/>
          <w:sz w:val="24"/>
          <w:szCs w:val="24"/>
        </w:rPr>
        <w:t xml:space="preserve">A juicio de esta Sala Superior, de los hechos narrados por Roque Alberto Velázquez Galindo y por el </w:t>
      </w:r>
      <w:r w:rsidRPr="00DD66E3">
        <w:rPr>
          <w:rFonts w:ascii="Arial" w:eastAsia="Calibri" w:hAnsi="Arial" w:cs="Arial"/>
          <w:bCs/>
          <w:sz w:val="24"/>
          <w:szCs w:val="24"/>
        </w:rPr>
        <w:t>Titular de la Unidad Técnica de lo Contencioso Electoral de la Secretaría Ejecutiva del INE, no se advierte que se pretenda impugnar algún acto o resolución en materia electoral. Por lo tanto, no es posible iniciar el trámite del presente asunto como alguno de los medios de impugnación que son competencia de este tribunal electoral de conformidad con el artículo 3° de la Ley de Medios.</w:t>
      </w:r>
    </w:p>
    <w:p w14:paraId="55E213E2" w14:textId="77777777" w:rsidR="00375FEA" w:rsidRPr="00DD66E3" w:rsidRDefault="00375FEA" w:rsidP="00DD66E3">
      <w:pPr>
        <w:spacing w:after="0" w:line="240" w:lineRule="auto"/>
        <w:contextualSpacing/>
        <w:jc w:val="both"/>
        <w:rPr>
          <w:rFonts w:ascii="Arial" w:hAnsi="Arial" w:cs="Arial"/>
          <w:sz w:val="24"/>
          <w:szCs w:val="24"/>
        </w:rPr>
      </w:pPr>
    </w:p>
    <w:p w14:paraId="5D2198CC"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Sin embargo, de la narración primigenia que obra en el oficio ORIENTA-133-18, signado por el Director de Admisibilidad, Orientación e Información del CONAPRED, así como del escrito recibido en el INE vía correo electrónico, mismo que fue remitido a esta Sala Superior, es posible desprender que el actor se ostenta como militante en el Partido Encuentro Social y que desea ser incluido en la lista plurinominal de candidatos al Senado de la República postulado por dicho partido político.</w:t>
      </w:r>
    </w:p>
    <w:p w14:paraId="6CEF9FD3" w14:textId="77777777" w:rsidR="00375FEA" w:rsidRPr="00DD66E3" w:rsidRDefault="00375FEA" w:rsidP="00DD66E3">
      <w:pPr>
        <w:spacing w:after="0" w:line="240" w:lineRule="auto"/>
        <w:contextualSpacing/>
        <w:jc w:val="both"/>
        <w:rPr>
          <w:rFonts w:ascii="Arial" w:hAnsi="Arial" w:cs="Arial"/>
          <w:sz w:val="24"/>
          <w:szCs w:val="24"/>
        </w:rPr>
      </w:pPr>
    </w:p>
    <w:p w14:paraId="3FD35A10"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Además, en ambos escritos ha manifestado su intención de buscar a los dirigentes nacional, estatal y municipal del PES, ante lo cual no ha obtenido un resultado favorable.</w:t>
      </w:r>
    </w:p>
    <w:p w14:paraId="2A32EDC2" w14:textId="77777777" w:rsidR="00375FEA" w:rsidRPr="00DD66E3" w:rsidRDefault="00375FEA" w:rsidP="00DD66E3">
      <w:pPr>
        <w:spacing w:after="0" w:line="240" w:lineRule="auto"/>
        <w:contextualSpacing/>
        <w:jc w:val="both"/>
        <w:rPr>
          <w:rFonts w:ascii="Arial" w:hAnsi="Arial" w:cs="Arial"/>
          <w:sz w:val="24"/>
          <w:szCs w:val="24"/>
        </w:rPr>
      </w:pPr>
    </w:p>
    <w:p w14:paraId="7ED7EC10"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Por estas razones, esta Sala Superior considera que, en atención a los derechos fundamentales de acceso a la justicia pronta y expedita, de petición y al principio de autoorganización de los partidos políticos, reconocidos en los artículos 17, 8° y 41 de la Constitución Federal respectivamente, lo procedente es remitir la petición de Roque Alberto Velázquez Galindo al máximo órgano de representación del Partido Encuentro Social, el cual puede, de acuerdo con sus reglas estatuarias, tramitar el cauce correspondiente a la petición, así como darle respuesta de manera expedita e inmediata.</w:t>
      </w:r>
    </w:p>
    <w:p w14:paraId="3C8811AE" w14:textId="77777777" w:rsidR="00375FEA" w:rsidRPr="00DD66E3" w:rsidRDefault="00375FEA" w:rsidP="00DD66E3">
      <w:pPr>
        <w:spacing w:after="0" w:line="240" w:lineRule="auto"/>
        <w:contextualSpacing/>
        <w:jc w:val="both"/>
        <w:rPr>
          <w:rFonts w:ascii="Arial" w:hAnsi="Arial" w:cs="Arial"/>
          <w:sz w:val="24"/>
          <w:szCs w:val="24"/>
        </w:rPr>
      </w:pPr>
    </w:p>
    <w:p w14:paraId="4B1B2165"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En este sentido, conforme a los artículos 28, 32 y 36 de los estatutos del partido, que prevén las atribuciones del Comité Directivo Nacional y de su Presidente, para tramitar las cuestiones relativas a la dirección general de dicho instituto político, la petición debe remitirse al Comité Directivo Nacional del PES, como órgano de representación y dirección permanente del partido en todo el país, por conducto de su Presidente, quien de acuerdo al artículo 36 puede sustanciar asuntos conforme a la urgencia que éstos ameriten.</w:t>
      </w:r>
    </w:p>
    <w:p w14:paraId="6ADCE9B8" w14:textId="77777777" w:rsidR="00375FEA" w:rsidRPr="00DD66E3" w:rsidRDefault="00375FEA" w:rsidP="00DD66E3">
      <w:pPr>
        <w:spacing w:after="0" w:line="240" w:lineRule="auto"/>
        <w:contextualSpacing/>
        <w:jc w:val="both"/>
        <w:rPr>
          <w:rFonts w:ascii="Arial" w:hAnsi="Arial" w:cs="Arial"/>
          <w:sz w:val="24"/>
          <w:szCs w:val="24"/>
        </w:rPr>
      </w:pPr>
    </w:p>
    <w:p w14:paraId="37FF235E"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lastRenderedPageBreak/>
        <w:t xml:space="preserve">Por estas razones, el </w:t>
      </w:r>
      <w:proofErr w:type="gramStart"/>
      <w:r w:rsidRPr="00DD66E3">
        <w:rPr>
          <w:rFonts w:ascii="Arial" w:hAnsi="Arial" w:cs="Arial"/>
          <w:sz w:val="24"/>
          <w:szCs w:val="24"/>
        </w:rPr>
        <w:t>Presidente</w:t>
      </w:r>
      <w:proofErr w:type="gramEnd"/>
      <w:r w:rsidRPr="00DD66E3">
        <w:rPr>
          <w:rFonts w:ascii="Arial" w:hAnsi="Arial" w:cs="Arial"/>
          <w:sz w:val="24"/>
          <w:szCs w:val="24"/>
        </w:rPr>
        <w:t xml:space="preserve"> del Comité Directivo Nacional deberá, </w:t>
      </w:r>
      <w:r w:rsidRPr="00DD66E3">
        <w:rPr>
          <w:rFonts w:ascii="Arial" w:hAnsi="Arial" w:cs="Arial"/>
          <w:b/>
          <w:sz w:val="24"/>
          <w:szCs w:val="24"/>
        </w:rPr>
        <w:t>en un plazo de tres días hábiles</w:t>
      </w:r>
      <w:r w:rsidRPr="00DD66E3">
        <w:rPr>
          <w:rFonts w:ascii="Arial" w:hAnsi="Arial" w:cs="Arial"/>
          <w:sz w:val="24"/>
          <w:szCs w:val="24"/>
        </w:rPr>
        <w:t>, contados a partir de que surta efectos la notificación de la presente resolución, dar respuesta a la petición, así como notificarla al peticionario en la forma que mejor corresponda, considerando la adopción de ajustes razonables, en atención a que dicho peticionario manifiesta ser una persona con discapacidad.</w:t>
      </w:r>
    </w:p>
    <w:p w14:paraId="51FC99CD" w14:textId="77777777" w:rsidR="00375FEA" w:rsidRPr="00DD66E3" w:rsidRDefault="00375FEA" w:rsidP="00DD66E3">
      <w:pPr>
        <w:spacing w:after="0" w:line="240" w:lineRule="auto"/>
        <w:contextualSpacing/>
        <w:jc w:val="both"/>
        <w:rPr>
          <w:rFonts w:ascii="Arial" w:hAnsi="Arial" w:cs="Arial"/>
          <w:sz w:val="24"/>
          <w:szCs w:val="24"/>
        </w:rPr>
      </w:pPr>
    </w:p>
    <w:p w14:paraId="62A52057"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En efecto, como se adelantó, Roque Alberto Velázquez Galindo señala tener una discapacidad visual, en concreto, ceguera. En estas circunstancias, se considera que debe tenerse especial cuidado cuando las personas que acuden ante cualquier instancia de autoridad se ostentan como personas con discapacidad, pues ante el riesgo de incurrir en prácticas violatorias de los principios de igualdad y no discriminación, es necesario prever medidas que consideren la adopción de ajustes razonables para propiciar una igualdad sustantiva y estructural.</w:t>
      </w:r>
    </w:p>
    <w:p w14:paraId="73D6A5C2" w14:textId="77777777" w:rsidR="00375FEA" w:rsidRPr="00DD66E3" w:rsidRDefault="00375FEA" w:rsidP="00DD66E3">
      <w:pPr>
        <w:spacing w:after="0" w:line="240" w:lineRule="auto"/>
        <w:contextualSpacing/>
        <w:jc w:val="both"/>
        <w:rPr>
          <w:rFonts w:ascii="Arial" w:hAnsi="Arial" w:cs="Arial"/>
          <w:sz w:val="24"/>
          <w:szCs w:val="24"/>
        </w:rPr>
      </w:pPr>
    </w:p>
    <w:p w14:paraId="0CA202DC"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En este sentido, la Convención sobre los Derechos de las Personas con Discapacidad, ha consagrado el llamado “modelo social de discapacidad”, mismo que sustituyó el modelo "rehabilitador", "individual" o "médico", en el cual el fin era normalizar a la persona a partir de la desaparición u ocultamiento de la deficiencia que tenía.</w:t>
      </w:r>
    </w:p>
    <w:p w14:paraId="3E545D4E" w14:textId="77777777" w:rsidR="00375FEA" w:rsidRPr="00DD66E3" w:rsidRDefault="00375FEA" w:rsidP="00DD66E3">
      <w:pPr>
        <w:spacing w:after="0" w:line="240" w:lineRule="auto"/>
        <w:contextualSpacing/>
        <w:jc w:val="both"/>
        <w:rPr>
          <w:rFonts w:ascii="Arial" w:hAnsi="Arial" w:cs="Arial"/>
          <w:sz w:val="24"/>
          <w:szCs w:val="24"/>
        </w:rPr>
      </w:pPr>
    </w:p>
    <w:p w14:paraId="458C59B2"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 xml:space="preserve">En contraste, el modelo social de discapacidad supone que las limitaciones a las que se ven sometidas las personas con discapacidad son producidas por las deficiencias de la sociedad de prestar servicios apropiados, que aseguren que las necesidades de las personas con discapacidad sean tomadas en consideración. </w:t>
      </w:r>
    </w:p>
    <w:p w14:paraId="3459CBC5" w14:textId="77777777" w:rsidR="00375FEA" w:rsidRPr="00DD66E3" w:rsidRDefault="00375FEA" w:rsidP="00DD66E3">
      <w:pPr>
        <w:spacing w:after="0" w:line="240" w:lineRule="auto"/>
        <w:contextualSpacing/>
        <w:jc w:val="both"/>
        <w:rPr>
          <w:rFonts w:ascii="Arial" w:hAnsi="Arial" w:cs="Arial"/>
          <w:sz w:val="24"/>
          <w:szCs w:val="24"/>
        </w:rPr>
      </w:pPr>
    </w:p>
    <w:p w14:paraId="73EB10B1"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Así, a la luz de dicho modelo, la discapacidad debe ser considerada como una desventaja causada por las barreras que la organización social genera, al no atender de manera adecuada las necesidades de las personas con diversidades funcionales, por lo que puede concluirse que las discapacidades no son enfermedades. Tal postura es congruente con la promoción, protección y aseguramiento del goce pleno y en condiciones de igualdad de todos los derechos fundamentales de las personas con discapacidad, lo que ha provocado la creación de ajustes razonables, los cuales son medidas paliativas que introducen elementos diferenciadores, esto es, propician la implementación de medidas de naturaleza positiva, que involucran un actuar y no sólo una abstención de discriminar, que atenúan las desigualdades</w:t>
      </w:r>
      <w:r w:rsidRPr="00DD66E3">
        <w:rPr>
          <w:rStyle w:val="Refdenotaalpie"/>
          <w:rFonts w:ascii="Arial" w:hAnsi="Arial" w:cs="Arial"/>
          <w:sz w:val="24"/>
          <w:szCs w:val="24"/>
        </w:rPr>
        <w:footnoteReference w:id="16"/>
      </w:r>
      <w:r w:rsidRPr="00DD66E3">
        <w:rPr>
          <w:rFonts w:ascii="Arial" w:hAnsi="Arial" w:cs="Arial"/>
          <w:sz w:val="24"/>
          <w:szCs w:val="24"/>
        </w:rPr>
        <w:t>.</w:t>
      </w:r>
    </w:p>
    <w:p w14:paraId="1BEC451F" w14:textId="77777777" w:rsidR="00375FEA" w:rsidRPr="00DD66E3" w:rsidRDefault="00375FEA" w:rsidP="00DD66E3">
      <w:pPr>
        <w:spacing w:after="0" w:line="240" w:lineRule="auto"/>
        <w:contextualSpacing/>
        <w:jc w:val="both"/>
        <w:rPr>
          <w:rFonts w:ascii="Arial" w:hAnsi="Arial" w:cs="Arial"/>
          <w:sz w:val="24"/>
          <w:szCs w:val="24"/>
        </w:rPr>
      </w:pPr>
    </w:p>
    <w:p w14:paraId="5224829D"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En este sentido, la Primera Sala de la Suprema Corte de Justicia de la Nación ha incorporado en su jurisprudencia el modelo social de discapacidad y lo ha dotado de consecuencias jurídicas tangibles, mismas que se materializan a partir de los llamados “ajustes razonables”</w:t>
      </w:r>
      <w:r w:rsidRPr="00DD66E3">
        <w:rPr>
          <w:rStyle w:val="Refdenotaalpie"/>
          <w:rFonts w:ascii="Arial" w:hAnsi="Arial" w:cs="Arial"/>
          <w:sz w:val="24"/>
          <w:szCs w:val="24"/>
        </w:rPr>
        <w:footnoteReference w:id="17"/>
      </w:r>
      <w:r w:rsidRPr="00DD66E3">
        <w:rPr>
          <w:rFonts w:ascii="Arial" w:hAnsi="Arial" w:cs="Arial"/>
          <w:sz w:val="24"/>
          <w:szCs w:val="24"/>
        </w:rPr>
        <w:t>.</w:t>
      </w:r>
    </w:p>
    <w:p w14:paraId="5DB39E65" w14:textId="77777777" w:rsidR="00375FEA" w:rsidRPr="00DD66E3" w:rsidRDefault="00375FEA" w:rsidP="00DD66E3">
      <w:pPr>
        <w:spacing w:after="0" w:line="240" w:lineRule="auto"/>
        <w:contextualSpacing/>
        <w:jc w:val="both"/>
        <w:rPr>
          <w:rFonts w:ascii="Arial" w:hAnsi="Arial" w:cs="Arial"/>
          <w:sz w:val="24"/>
          <w:szCs w:val="24"/>
        </w:rPr>
      </w:pPr>
    </w:p>
    <w:p w14:paraId="4ED06EF8"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Además, el artículo 5.3 de la Convención sobre los Derechos de las Personas con Discapacidad</w:t>
      </w:r>
      <w:r w:rsidRPr="00DD66E3">
        <w:rPr>
          <w:rStyle w:val="Refdenotaalpie"/>
          <w:rFonts w:ascii="Arial" w:hAnsi="Arial" w:cs="Arial"/>
          <w:sz w:val="24"/>
          <w:szCs w:val="24"/>
        </w:rPr>
        <w:footnoteReference w:id="18"/>
      </w:r>
      <w:r w:rsidRPr="00DD66E3">
        <w:rPr>
          <w:rFonts w:ascii="Arial" w:hAnsi="Arial" w:cs="Arial"/>
          <w:sz w:val="24"/>
          <w:szCs w:val="24"/>
        </w:rPr>
        <w:t>, prevé la obligación de sus Estados parte de adoptar estos ajustes razonables para evitar la discriminación, mismos que, según el artículo 2° de la propia Convención, se entenderán como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2D3DF79D" w14:textId="77777777" w:rsidR="00375FEA" w:rsidRPr="00DD66E3" w:rsidRDefault="00375FEA" w:rsidP="00DD66E3">
      <w:pPr>
        <w:spacing w:after="0" w:line="240" w:lineRule="auto"/>
        <w:contextualSpacing/>
        <w:jc w:val="both"/>
        <w:rPr>
          <w:rFonts w:ascii="Arial" w:hAnsi="Arial" w:cs="Arial"/>
          <w:sz w:val="24"/>
          <w:szCs w:val="24"/>
        </w:rPr>
      </w:pPr>
    </w:p>
    <w:p w14:paraId="3D50FB81"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 xml:space="preserve">Finalmente, el </w:t>
      </w:r>
      <w:proofErr w:type="gramStart"/>
      <w:r w:rsidRPr="00DD66E3">
        <w:rPr>
          <w:rFonts w:ascii="Arial" w:hAnsi="Arial" w:cs="Arial"/>
          <w:sz w:val="24"/>
          <w:szCs w:val="24"/>
        </w:rPr>
        <w:t>Presidente</w:t>
      </w:r>
      <w:proofErr w:type="gramEnd"/>
      <w:r w:rsidRPr="00DD66E3">
        <w:rPr>
          <w:rFonts w:ascii="Arial" w:hAnsi="Arial" w:cs="Arial"/>
          <w:sz w:val="24"/>
          <w:szCs w:val="24"/>
        </w:rPr>
        <w:t xml:space="preserve"> del Comité Directivo Nacional del PES deberá informar a esta Sala Superior sobre el cumplimiento de esta resolución dentro de las veinticuatro horas siguientes a que esto suceda, acompañando las constancias de la notificación al peticionario.</w:t>
      </w:r>
    </w:p>
    <w:p w14:paraId="66CD69EA" w14:textId="77777777" w:rsidR="00375FEA" w:rsidRPr="00DD66E3" w:rsidRDefault="00375FEA" w:rsidP="00DD66E3">
      <w:pPr>
        <w:spacing w:after="0" w:line="240" w:lineRule="auto"/>
        <w:contextualSpacing/>
        <w:jc w:val="both"/>
        <w:rPr>
          <w:rFonts w:ascii="Arial" w:hAnsi="Arial" w:cs="Arial"/>
          <w:sz w:val="24"/>
          <w:szCs w:val="24"/>
        </w:rPr>
      </w:pPr>
    </w:p>
    <w:p w14:paraId="71651EFB"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 xml:space="preserve">Por lo tanto, previas anotaciones que correspondan y copias certificadas que se dejen en el Archivo Jurisdiccional de esta Sala Superior, la Secretaría General de Acuerdos deberá remitir la petición de Roque Alberto Velázquez Galindo al </w:t>
      </w:r>
      <w:proofErr w:type="gramStart"/>
      <w:r w:rsidRPr="00DD66E3">
        <w:rPr>
          <w:rFonts w:ascii="Arial" w:hAnsi="Arial" w:cs="Arial"/>
          <w:sz w:val="24"/>
          <w:szCs w:val="24"/>
        </w:rPr>
        <w:t>Presidente</w:t>
      </w:r>
      <w:proofErr w:type="gramEnd"/>
      <w:r w:rsidRPr="00DD66E3">
        <w:rPr>
          <w:rFonts w:ascii="Arial" w:hAnsi="Arial" w:cs="Arial"/>
          <w:sz w:val="24"/>
          <w:szCs w:val="24"/>
        </w:rPr>
        <w:t xml:space="preserve"> del Comité Directivo Nacional del Partido Encuentro Social.</w:t>
      </w:r>
    </w:p>
    <w:p w14:paraId="4F626F61" w14:textId="77777777" w:rsidR="00375FEA" w:rsidRPr="00DD66E3" w:rsidRDefault="00375FEA" w:rsidP="00DD66E3">
      <w:pPr>
        <w:spacing w:after="0" w:line="240" w:lineRule="auto"/>
        <w:contextualSpacing/>
        <w:jc w:val="both"/>
        <w:rPr>
          <w:rFonts w:ascii="Arial" w:hAnsi="Arial" w:cs="Arial"/>
          <w:b/>
          <w:sz w:val="24"/>
          <w:szCs w:val="24"/>
        </w:rPr>
      </w:pPr>
    </w:p>
    <w:p w14:paraId="0E57C12C"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En estas circunstancias, esta Sala Superior considera que un ajuste razonable a fin de evitar un trato discriminatorio que mine la dignidad de una persona con discapacidad visual, en concreto ceguera, consiste en que la presente resolución sea leída en voz alta al peticionario en la diligencia de notificación que corresponda, únicamente si así lo desea.</w:t>
      </w:r>
    </w:p>
    <w:p w14:paraId="579A5BCC" w14:textId="77777777" w:rsidR="00375FEA" w:rsidRPr="00DD66E3" w:rsidRDefault="00375FEA" w:rsidP="00DD66E3">
      <w:pPr>
        <w:spacing w:after="0" w:line="240" w:lineRule="auto"/>
        <w:contextualSpacing/>
        <w:jc w:val="both"/>
        <w:rPr>
          <w:rFonts w:ascii="Arial" w:hAnsi="Arial" w:cs="Arial"/>
          <w:sz w:val="24"/>
          <w:szCs w:val="24"/>
        </w:rPr>
      </w:pPr>
    </w:p>
    <w:p w14:paraId="57C07E65"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Para esto, el actuario adscrito a la Sala Superior que sea designado para la notificación deberá atender la diligencia de manera personal con el ciudadano en cuestión. Acto seguido, le cuestionará si es su deseo que el presente acuerdo le sea leído en voz alta y únicamente en caso de que la persona acepte, el actuario procederá a la lectura en voz alta del presente acuerdo.</w:t>
      </w:r>
    </w:p>
    <w:p w14:paraId="0EBDC801" w14:textId="77777777" w:rsidR="00375FEA" w:rsidRPr="00DD66E3" w:rsidRDefault="00375FEA" w:rsidP="00DD66E3">
      <w:pPr>
        <w:spacing w:after="0" w:line="240" w:lineRule="auto"/>
        <w:contextualSpacing/>
        <w:jc w:val="both"/>
        <w:rPr>
          <w:rFonts w:ascii="Arial" w:hAnsi="Arial" w:cs="Arial"/>
          <w:sz w:val="24"/>
          <w:szCs w:val="24"/>
        </w:rPr>
      </w:pPr>
    </w:p>
    <w:p w14:paraId="21AE83A4"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 xml:space="preserve">De no ser posible lo anterior, dejará citatorio en formato de lectura </w:t>
      </w:r>
      <w:r w:rsidRPr="00DD66E3">
        <w:rPr>
          <w:rFonts w:ascii="Arial" w:hAnsi="Arial" w:cs="Arial"/>
          <w:i/>
          <w:sz w:val="24"/>
          <w:szCs w:val="24"/>
        </w:rPr>
        <w:t>Braille</w:t>
      </w:r>
      <w:r w:rsidRPr="00DD66E3">
        <w:rPr>
          <w:rFonts w:ascii="Arial" w:hAnsi="Arial" w:cs="Arial"/>
          <w:sz w:val="24"/>
          <w:szCs w:val="24"/>
        </w:rPr>
        <w:t xml:space="preserve"> para que el actor comparezca a las oficinas de esta Sala Superior a fin de que el acuerdo sea leído en voz alta por el Titular de la Oficina de Actuaría de la Secretaría General de Acuerdos.</w:t>
      </w:r>
    </w:p>
    <w:p w14:paraId="3EFCE3AD" w14:textId="77777777" w:rsidR="00375FEA" w:rsidRPr="00DD66E3" w:rsidRDefault="00375FEA" w:rsidP="00DD66E3">
      <w:pPr>
        <w:spacing w:after="0" w:line="240" w:lineRule="auto"/>
        <w:contextualSpacing/>
        <w:jc w:val="both"/>
        <w:rPr>
          <w:rFonts w:ascii="Arial" w:hAnsi="Arial" w:cs="Arial"/>
          <w:sz w:val="24"/>
          <w:szCs w:val="24"/>
        </w:rPr>
      </w:pPr>
    </w:p>
    <w:p w14:paraId="06B72710"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 xml:space="preserve">Adicionalmente a la posibilidad de que la resolución sea leída en voz alta, el actuario designado deberá entregar al actor una copia de esta resolución en formato audible grabada en soporte magnético de CD-ROM y una copia adicional en formato de lectura </w:t>
      </w:r>
      <w:r w:rsidRPr="00DD66E3">
        <w:rPr>
          <w:rFonts w:ascii="Arial" w:hAnsi="Arial" w:cs="Arial"/>
          <w:i/>
          <w:sz w:val="24"/>
          <w:szCs w:val="24"/>
        </w:rPr>
        <w:t>Braille</w:t>
      </w:r>
      <w:r w:rsidRPr="00DD66E3">
        <w:rPr>
          <w:rFonts w:ascii="Arial" w:hAnsi="Arial" w:cs="Arial"/>
          <w:sz w:val="24"/>
          <w:szCs w:val="24"/>
        </w:rPr>
        <w:t>.</w:t>
      </w:r>
    </w:p>
    <w:p w14:paraId="3B6241AB" w14:textId="77777777" w:rsidR="00375FEA" w:rsidRPr="00DD66E3" w:rsidRDefault="00375FEA" w:rsidP="00DD66E3">
      <w:pPr>
        <w:spacing w:after="0" w:line="240" w:lineRule="auto"/>
        <w:contextualSpacing/>
        <w:jc w:val="both"/>
        <w:rPr>
          <w:rFonts w:ascii="Arial" w:hAnsi="Arial" w:cs="Arial"/>
          <w:sz w:val="24"/>
          <w:szCs w:val="24"/>
        </w:rPr>
      </w:pPr>
    </w:p>
    <w:p w14:paraId="437E0115"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 xml:space="preserve">Esto, pues la Secretaría General de Acuerdos cuenta con atribuciones para realizar las actividades que le sean encomendadas por las Magistradas y Magistrados de la </w:t>
      </w:r>
      <w:r w:rsidRPr="00DD66E3">
        <w:rPr>
          <w:rFonts w:ascii="Arial" w:hAnsi="Arial" w:cs="Arial"/>
          <w:sz w:val="24"/>
          <w:szCs w:val="24"/>
        </w:rPr>
        <w:lastRenderedPageBreak/>
        <w:t>Sala Superior. Por su parte, la Oficina de Actuaría, por conducto de los actuarios adscritos a la misma, cuentan con facultades para practicar las diligencias y notificaciones que le sean ordenadas, conforme a lo dispuestos por los artículos 200, 201, fracciones VI y XII,  de la Ley Orgánica del Poder Judicial de la Federación, así como 19, 20, fracción XVII, XXVII, 21, fracción, V, 31, 32, fracción V, y 33, fracción I, del Reglamento Interno del Tribunal Electoral del Poder Judicial de la Federación.</w:t>
      </w:r>
    </w:p>
    <w:p w14:paraId="53FC52CD" w14:textId="77777777" w:rsidR="00375FEA" w:rsidRPr="00DD66E3" w:rsidRDefault="00375FEA" w:rsidP="00DD66E3">
      <w:pPr>
        <w:spacing w:after="0" w:line="240" w:lineRule="auto"/>
        <w:contextualSpacing/>
        <w:jc w:val="both"/>
        <w:rPr>
          <w:rFonts w:ascii="Arial" w:hAnsi="Arial" w:cs="Arial"/>
          <w:sz w:val="24"/>
          <w:szCs w:val="24"/>
        </w:rPr>
      </w:pPr>
    </w:p>
    <w:p w14:paraId="120169F4" w14:textId="77777777" w:rsidR="00375FEA" w:rsidRPr="00DD66E3" w:rsidRDefault="00375FEA" w:rsidP="00DD66E3">
      <w:pPr>
        <w:spacing w:after="0" w:line="240" w:lineRule="auto"/>
        <w:contextualSpacing/>
        <w:jc w:val="both"/>
        <w:rPr>
          <w:rFonts w:ascii="Arial" w:hAnsi="Arial" w:cs="Arial"/>
          <w:sz w:val="24"/>
          <w:szCs w:val="24"/>
        </w:rPr>
      </w:pPr>
      <w:r w:rsidRPr="00DD66E3">
        <w:rPr>
          <w:rFonts w:ascii="Arial" w:hAnsi="Arial" w:cs="Arial"/>
          <w:sz w:val="24"/>
          <w:szCs w:val="24"/>
        </w:rPr>
        <w:t>En estos términos, este tribunal:</w:t>
      </w:r>
    </w:p>
    <w:p w14:paraId="5B4A6332" w14:textId="77777777" w:rsidR="00375FEA" w:rsidRPr="00DD66E3" w:rsidRDefault="00375FEA" w:rsidP="00DD66E3">
      <w:pPr>
        <w:spacing w:after="0" w:line="240" w:lineRule="auto"/>
        <w:contextualSpacing/>
        <w:jc w:val="both"/>
        <w:rPr>
          <w:rFonts w:ascii="Arial" w:eastAsia="Calibri" w:hAnsi="Arial" w:cs="Arial"/>
          <w:sz w:val="24"/>
          <w:szCs w:val="24"/>
        </w:rPr>
      </w:pPr>
    </w:p>
    <w:p w14:paraId="4FCC5FC9" w14:textId="77777777" w:rsidR="00375FEA" w:rsidRPr="00DD66E3" w:rsidRDefault="00375FEA" w:rsidP="00DD66E3">
      <w:pPr>
        <w:spacing w:after="0" w:line="240" w:lineRule="auto"/>
        <w:ind w:firstLine="709"/>
        <w:contextualSpacing/>
        <w:jc w:val="center"/>
        <w:rPr>
          <w:rFonts w:ascii="Arial" w:eastAsia="Arial Unicode MS" w:hAnsi="Arial" w:cs="Arial"/>
          <w:b/>
          <w:sz w:val="24"/>
          <w:szCs w:val="24"/>
          <w:lang w:val="pt-BR"/>
        </w:rPr>
      </w:pPr>
      <w:r w:rsidRPr="00DD66E3">
        <w:rPr>
          <w:rFonts w:ascii="Arial" w:eastAsia="Arial Unicode MS" w:hAnsi="Arial" w:cs="Arial"/>
          <w:b/>
          <w:sz w:val="24"/>
          <w:szCs w:val="24"/>
          <w:lang w:val="pt-BR"/>
        </w:rPr>
        <w:t>III. ACUERDA</w:t>
      </w:r>
    </w:p>
    <w:p w14:paraId="6E838E10" w14:textId="77777777" w:rsidR="00375FEA" w:rsidRPr="00DD66E3" w:rsidRDefault="00375FEA" w:rsidP="00DD66E3">
      <w:pPr>
        <w:spacing w:after="0" w:line="240" w:lineRule="auto"/>
        <w:ind w:firstLine="709"/>
        <w:contextualSpacing/>
        <w:jc w:val="center"/>
        <w:rPr>
          <w:rFonts w:ascii="Arial" w:eastAsia="Arial Unicode MS" w:hAnsi="Arial" w:cs="Arial"/>
          <w:b/>
          <w:bCs/>
          <w:sz w:val="24"/>
          <w:szCs w:val="24"/>
          <w:lang w:val="pt-BR"/>
        </w:rPr>
      </w:pPr>
    </w:p>
    <w:p w14:paraId="47EDF92B" w14:textId="77777777" w:rsidR="00375FEA" w:rsidRPr="00DD66E3" w:rsidRDefault="00375FEA" w:rsidP="00DD66E3">
      <w:pPr>
        <w:spacing w:after="0" w:line="240" w:lineRule="auto"/>
        <w:contextualSpacing/>
        <w:jc w:val="both"/>
        <w:rPr>
          <w:rFonts w:ascii="Arial" w:eastAsia="Arial Unicode MS" w:hAnsi="Arial" w:cs="Arial"/>
          <w:sz w:val="24"/>
          <w:szCs w:val="24"/>
        </w:rPr>
      </w:pPr>
      <w:r w:rsidRPr="00DD66E3">
        <w:rPr>
          <w:rFonts w:ascii="Arial" w:eastAsia="Arial Unicode MS" w:hAnsi="Arial" w:cs="Arial"/>
          <w:b/>
          <w:sz w:val="24"/>
          <w:szCs w:val="24"/>
        </w:rPr>
        <w:t xml:space="preserve">PRIMERO. </w:t>
      </w:r>
      <w:r w:rsidRPr="00DD66E3">
        <w:rPr>
          <w:rFonts w:ascii="Arial" w:eastAsia="Arial Unicode MS" w:hAnsi="Arial" w:cs="Arial"/>
          <w:sz w:val="24"/>
          <w:szCs w:val="24"/>
        </w:rPr>
        <w:t xml:space="preserve">No ha lugar a dar trámite alguno ante esta Sala Superior del Tribunal Electoral del Poder Judicial de la Federación a los escritos de </w:t>
      </w:r>
      <w:r w:rsidRPr="00DD66E3">
        <w:rPr>
          <w:rFonts w:ascii="Arial" w:hAnsi="Arial" w:cs="Arial"/>
          <w:sz w:val="24"/>
          <w:szCs w:val="24"/>
        </w:rPr>
        <w:t>Roque Alberto Velázquez Galindo remitidos por el Titular de la Unidad Técnica de lo Contencioso Electoral del Instituto Nacional Electoral.</w:t>
      </w:r>
    </w:p>
    <w:p w14:paraId="0F7CBC1E" w14:textId="77777777" w:rsidR="00375FEA" w:rsidRPr="00DD66E3" w:rsidRDefault="00375FEA" w:rsidP="00DD66E3">
      <w:pPr>
        <w:spacing w:after="0" w:line="240" w:lineRule="auto"/>
        <w:contextualSpacing/>
        <w:jc w:val="both"/>
        <w:rPr>
          <w:rFonts w:ascii="Arial" w:eastAsia="Arial Unicode MS" w:hAnsi="Arial" w:cs="Arial"/>
          <w:sz w:val="24"/>
          <w:szCs w:val="24"/>
        </w:rPr>
      </w:pPr>
    </w:p>
    <w:p w14:paraId="3F49880A" w14:textId="77777777" w:rsidR="00375FEA" w:rsidRPr="00DD66E3" w:rsidRDefault="00375FEA" w:rsidP="00DD66E3">
      <w:pPr>
        <w:spacing w:after="0" w:line="240" w:lineRule="auto"/>
        <w:contextualSpacing/>
        <w:jc w:val="both"/>
        <w:rPr>
          <w:rFonts w:ascii="Arial" w:hAnsi="Arial" w:cs="Arial"/>
          <w:sz w:val="24"/>
          <w:szCs w:val="24"/>
          <w:lang w:eastAsia="es-MX"/>
        </w:rPr>
      </w:pPr>
      <w:r w:rsidRPr="00DD66E3">
        <w:rPr>
          <w:rFonts w:ascii="Arial" w:eastAsia="Arial Unicode MS" w:hAnsi="Arial" w:cs="Arial"/>
          <w:b/>
          <w:sz w:val="24"/>
          <w:szCs w:val="24"/>
        </w:rPr>
        <w:t xml:space="preserve">SEGUNDO. </w:t>
      </w:r>
      <w:r w:rsidRPr="00DD66E3">
        <w:rPr>
          <w:rFonts w:ascii="Arial" w:hAnsi="Arial" w:cs="Arial"/>
          <w:sz w:val="24"/>
          <w:szCs w:val="24"/>
          <w:lang w:eastAsia="es-MX"/>
        </w:rPr>
        <w:t xml:space="preserve">Remítase los escritos de </w:t>
      </w:r>
      <w:r w:rsidRPr="00DD66E3">
        <w:rPr>
          <w:rFonts w:ascii="Arial" w:hAnsi="Arial" w:cs="Arial"/>
          <w:sz w:val="24"/>
          <w:szCs w:val="24"/>
        </w:rPr>
        <w:t xml:space="preserve">Roque Alberto Velázquez Galindo </w:t>
      </w:r>
      <w:r w:rsidRPr="00DD66E3">
        <w:rPr>
          <w:rFonts w:ascii="Arial" w:hAnsi="Arial" w:cs="Arial"/>
          <w:sz w:val="24"/>
          <w:szCs w:val="24"/>
          <w:lang w:eastAsia="es-MX"/>
        </w:rPr>
        <w:t xml:space="preserve">al </w:t>
      </w:r>
      <w:proofErr w:type="gramStart"/>
      <w:r w:rsidRPr="00DD66E3">
        <w:rPr>
          <w:rFonts w:ascii="Arial" w:hAnsi="Arial" w:cs="Arial"/>
          <w:sz w:val="24"/>
          <w:szCs w:val="24"/>
          <w:lang w:eastAsia="es-MX"/>
        </w:rPr>
        <w:t>Presidente</w:t>
      </w:r>
      <w:proofErr w:type="gramEnd"/>
      <w:r w:rsidRPr="00DD66E3">
        <w:rPr>
          <w:rFonts w:ascii="Arial" w:hAnsi="Arial" w:cs="Arial"/>
          <w:sz w:val="24"/>
          <w:szCs w:val="24"/>
          <w:lang w:eastAsia="es-MX"/>
        </w:rPr>
        <w:t xml:space="preserve"> del Comité Directivo Nacional del Partido Encuentro Social, para que determine lo que en derecho corresponda.</w:t>
      </w:r>
    </w:p>
    <w:p w14:paraId="02F4C9DE" w14:textId="77777777" w:rsidR="00375FEA" w:rsidRPr="00DD66E3" w:rsidRDefault="00375FEA" w:rsidP="00DD66E3">
      <w:pPr>
        <w:spacing w:after="0" w:line="240" w:lineRule="auto"/>
        <w:contextualSpacing/>
        <w:jc w:val="both"/>
        <w:rPr>
          <w:rFonts w:ascii="Arial" w:eastAsia="Arial Unicode MS" w:hAnsi="Arial" w:cs="Arial"/>
          <w:sz w:val="24"/>
          <w:szCs w:val="24"/>
        </w:rPr>
      </w:pPr>
    </w:p>
    <w:p w14:paraId="03F10226" w14:textId="77777777" w:rsidR="00375FEA" w:rsidRPr="00DD66E3" w:rsidRDefault="00375FEA" w:rsidP="00DD66E3">
      <w:pPr>
        <w:spacing w:after="0" w:line="240" w:lineRule="auto"/>
        <w:contextualSpacing/>
        <w:jc w:val="both"/>
        <w:rPr>
          <w:rFonts w:ascii="Arial" w:eastAsia="Arial Unicode MS" w:hAnsi="Arial" w:cs="Arial"/>
          <w:sz w:val="24"/>
          <w:szCs w:val="24"/>
        </w:rPr>
      </w:pPr>
    </w:p>
    <w:p w14:paraId="4FEC1DA2" w14:textId="77777777" w:rsidR="00375FEA" w:rsidRPr="00DD66E3" w:rsidRDefault="00375FEA" w:rsidP="00DD66E3">
      <w:pPr>
        <w:spacing w:after="0" w:line="240" w:lineRule="auto"/>
        <w:contextualSpacing/>
        <w:jc w:val="both"/>
        <w:rPr>
          <w:rFonts w:ascii="Arial" w:eastAsia="Calibri" w:hAnsi="Arial" w:cs="Arial"/>
          <w:sz w:val="24"/>
          <w:szCs w:val="24"/>
        </w:rPr>
      </w:pPr>
      <w:r w:rsidRPr="00DD66E3">
        <w:rPr>
          <w:rFonts w:ascii="Arial" w:eastAsia="Calibri" w:hAnsi="Arial" w:cs="Arial"/>
          <w:b/>
          <w:sz w:val="24"/>
          <w:szCs w:val="24"/>
        </w:rPr>
        <w:t>NOTIFÍQUESE</w:t>
      </w:r>
      <w:r w:rsidRPr="00DD66E3">
        <w:rPr>
          <w:rFonts w:ascii="Arial" w:eastAsia="Calibri" w:hAnsi="Arial" w:cs="Arial"/>
          <w:sz w:val="24"/>
          <w:szCs w:val="24"/>
        </w:rPr>
        <w:t xml:space="preserve"> como en Derecho corresponda y como se precisa en el apartado segundo de esta resolución.</w:t>
      </w:r>
    </w:p>
    <w:p w14:paraId="3039B8AB" w14:textId="77777777" w:rsidR="00375FEA" w:rsidRPr="00DD66E3" w:rsidRDefault="00375FEA" w:rsidP="00DD66E3">
      <w:pPr>
        <w:spacing w:after="0" w:line="240" w:lineRule="auto"/>
        <w:contextualSpacing/>
        <w:jc w:val="both"/>
        <w:rPr>
          <w:rFonts w:ascii="Arial" w:eastAsia="Calibri" w:hAnsi="Arial" w:cs="Arial"/>
          <w:sz w:val="24"/>
          <w:szCs w:val="24"/>
        </w:rPr>
      </w:pPr>
    </w:p>
    <w:p w14:paraId="316E4719" w14:textId="77777777" w:rsidR="00375FEA" w:rsidRPr="00DD66E3" w:rsidRDefault="00375FEA" w:rsidP="00DD66E3">
      <w:pPr>
        <w:spacing w:after="0" w:line="240" w:lineRule="auto"/>
        <w:contextualSpacing/>
        <w:jc w:val="both"/>
        <w:rPr>
          <w:rFonts w:ascii="Arial" w:eastAsia="Calibri" w:hAnsi="Arial" w:cs="Arial"/>
          <w:sz w:val="24"/>
          <w:szCs w:val="24"/>
        </w:rPr>
      </w:pPr>
      <w:r w:rsidRPr="00DD66E3">
        <w:rPr>
          <w:rFonts w:ascii="Arial" w:eastAsia="Calibri" w:hAnsi="Arial" w:cs="Arial"/>
          <w:sz w:val="24"/>
          <w:szCs w:val="24"/>
        </w:rPr>
        <w:t>En su oportunidad, devuélvanse los documentos atinentes y, acto seguido, archívese el expediente como asunto total y definitivamente concluido.</w:t>
      </w:r>
    </w:p>
    <w:p w14:paraId="6EAA4ECA" w14:textId="77777777" w:rsidR="00375FEA" w:rsidRPr="00DD66E3" w:rsidRDefault="00375FEA" w:rsidP="00DD66E3">
      <w:pPr>
        <w:spacing w:after="0" w:line="240" w:lineRule="auto"/>
        <w:contextualSpacing/>
        <w:jc w:val="both"/>
        <w:rPr>
          <w:rFonts w:ascii="Arial" w:eastAsia="Calibri" w:hAnsi="Arial" w:cs="Arial"/>
          <w:sz w:val="24"/>
          <w:szCs w:val="24"/>
        </w:rPr>
      </w:pPr>
    </w:p>
    <w:p w14:paraId="169D8AE1" w14:textId="77777777" w:rsidR="00375FEA" w:rsidRPr="00DD66E3" w:rsidRDefault="00375FEA" w:rsidP="00DD66E3">
      <w:pPr>
        <w:spacing w:after="0" w:line="240" w:lineRule="auto"/>
        <w:contextualSpacing/>
        <w:jc w:val="both"/>
        <w:rPr>
          <w:rFonts w:ascii="Arial" w:eastAsia="Arial Unicode MS" w:hAnsi="Arial" w:cs="Arial"/>
          <w:sz w:val="24"/>
          <w:szCs w:val="24"/>
        </w:rPr>
      </w:pPr>
      <w:r w:rsidRPr="00DD66E3">
        <w:rPr>
          <w:rFonts w:ascii="Arial" w:eastAsia="Arial Unicode MS" w:hAnsi="Arial" w:cs="Arial"/>
          <w:sz w:val="24"/>
          <w:szCs w:val="24"/>
        </w:rPr>
        <w:t>Así, por unanimidad de votos, lo acordaron y firmaron las Magistradas y los Magistrados que integran la Sala Superior del Tribunal Electoral del Poder Judicial de la Federación, ante la Secretaria General de Acuerdos que autoriza y da fe.</w:t>
      </w:r>
    </w:p>
    <w:p w14:paraId="34E59801" w14:textId="77777777" w:rsidR="00375FEA" w:rsidRPr="00DD66E3" w:rsidRDefault="00375FEA" w:rsidP="00DD66E3">
      <w:pPr>
        <w:spacing w:after="0" w:line="240" w:lineRule="auto"/>
        <w:contextualSpacing/>
        <w:jc w:val="both"/>
        <w:rPr>
          <w:rFonts w:ascii="Arial" w:eastAsia="Arial Unicode MS" w:hAnsi="Arial" w:cs="Arial"/>
          <w:sz w:val="24"/>
          <w:szCs w:val="24"/>
        </w:rPr>
      </w:pPr>
    </w:p>
    <w:p w14:paraId="67053607" w14:textId="77777777" w:rsidR="00375FEA" w:rsidRDefault="00375FEA" w:rsidP="00375FEA">
      <w:pPr>
        <w:spacing w:line="360" w:lineRule="auto"/>
        <w:contextualSpacing/>
        <w:jc w:val="both"/>
        <w:rPr>
          <w:rFonts w:ascii="Arial" w:eastAsia="Arial Unicode MS" w:hAnsi="Arial" w:cs="Arial"/>
          <w:sz w:val="27"/>
          <w:szCs w:val="27"/>
        </w:rPr>
      </w:pPr>
    </w:p>
    <w:p w14:paraId="083E12E0" w14:textId="77777777" w:rsidR="00375FEA" w:rsidRPr="00317E96" w:rsidRDefault="00375FEA" w:rsidP="00375FEA">
      <w:pPr>
        <w:spacing w:line="360" w:lineRule="auto"/>
        <w:contextualSpacing/>
        <w:jc w:val="both"/>
        <w:rPr>
          <w:rFonts w:ascii="Arial" w:eastAsia="Arial Unicode MS" w:hAnsi="Arial" w:cs="Arial"/>
          <w:sz w:val="27"/>
          <w:szCs w:val="27"/>
        </w:rPr>
      </w:pPr>
    </w:p>
    <w:p w14:paraId="5066DEBC" w14:textId="77777777" w:rsidR="00375FEA" w:rsidRPr="00317E96" w:rsidRDefault="00375FEA" w:rsidP="00375FEA">
      <w:pPr>
        <w:contextualSpacing/>
        <w:jc w:val="center"/>
        <w:rPr>
          <w:rFonts w:ascii="Arial" w:hAnsi="Arial" w:cs="Arial"/>
          <w:b/>
          <w:bCs/>
        </w:rPr>
      </w:pPr>
      <w:r w:rsidRPr="00317E96">
        <w:rPr>
          <w:rFonts w:ascii="Arial" w:hAnsi="Arial" w:cs="Arial"/>
          <w:b/>
          <w:bCs/>
        </w:rPr>
        <w:t>MAGISTRADA PRESIDENTA</w:t>
      </w:r>
    </w:p>
    <w:p w14:paraId="157BB774" w14:textId="77777777" w:rsidR="00375FEA" w:rsidRPr="00317E96" w:rsidRDefault="00375FEA" w:rsidP="00375FEA">
      <w:pPr>
        <w:contextualSpacing/>
        <w:rPr>
          <w:rFonts w:ascii="Arial" w:hAnsi="Arial" w:cs="Arial"/>
          <w:b/>
          <w:bCs/>
        </w:rPr>
      </w:pPr>
    </w:p>
    <w:p w14:paraId="463998DC" w14:textId="77777777" w:rsidR="00375FEA" w:rsidRPr="00317E96" w:rsidRDefault="00375FEA" w:rsidP="00375FEA">
      <w:pPr>
        <w:contextualSpacing/>
        <w:rPr>
          <w:rFonts w:ascii="Arial" w:hAnsi="Arial" w:cs="Arial"/>
          <w:b/>
          <w:bCs/>
        </w:rPr>
      </w:pPr>
    </w:p>
    <w:p w14:paraId="2AAA00D9" w14:textId="77777777" w:rsidR="00375FEA" w:rsidRPr="00317E96" w:rsidRDefault="00375FEA" w:rsidP="00375FEA">
      <w:pPr>
        <w:contextualSpacing/>
        <w:rPr>
          <w:rFonts w:ascii="Arial" w:hAnsi="Arial" w:cs="Arial"/>
          <w:b/>
          <w:bCs/>
        </w:rPr>
      </w:pPr>
    </w:p>
    <w:p w14:paraId="56EF3EE6" w14:textId="77777777" w:rsidR="00375FEA" w:rsidRPr="00317E96" w:rsidRDefault="00375FEA" w:rsidP="00375FEA">
      <w:pPr>
        <w:contextualSpacing/>
        <w:jc w:val="center"/>
        <w:rPr>
          <w:rFonts w:ascii="Arial" w:hAnsi="Arial" w:cs="Arial"/>
          <w:b/>
          <w:bCs/>
        </w:rPr>
      </w:pPr>
    </w:p>
    <w:p w14:paraId="334CF4FE" w14:textId="77777777" w:rsidR="00375FEA" w:rsidRPr="00317E96" w:rsidRDefault="00375FEA" w:rsidP="00375FEA">
      <w:pPr>
        <w:contextualSpacing/>
        <w:jc w:val="center"/>
        <w:rPr>
          <w:rFonts w:ascii="Arial" w:hAnsi="Arial" w:cs="Arial"/>
          <w:b/>
          <w:bCs/>
        </w:rPr>
      </w:pPr>
      <w:r w:rsidRPr="00317E96">
        <w:rPr>
          <w:rFonts w:ascii="Arial" w:hAnsi="Arial" w:cs="Arial"/>
          <w:b/>
          <w:bCs/>
        </w:rPr>
        <w:t>JANINE M. OTÁLORA MALASSIS</w:t>
      </w:r>
    </w:p>
    <w:p w14:paraId="2A5F7C48" w14:textId="77777777" w:rsidR="00375FEA" w:rsidRPr="00317E96" w:rsidRDefault="00375FEA" w:rsidP="00375FEA">
      <w:pPr>
        <w:contextualSpacing/>
        <w:jc w:val="center"/>
        <w:rPr>
          <w:rFonts w:ascii="Arial" w:hAnsi="Arial" w:cs="Arial"/>
          <w:b/>
          <w:bCs/>
        </w:rPr>
      </w:pPr>
    </w:p>
    <w:p w14:paraId="2C2F9EFD" w14:textId="77777777" w:rsidR="00375FEA" w:rsidRPr="00317E96" w:rsidRDefault="00375FEA" w:rsidP="00375FEA">
      <w:pPr>
        <w:contextualSpacing/>
        <w:jc w:val="center"/>
        <w:rPr>
          <w:rFonts w:ascii="Arial" w:hAnsi="Arial" w:cs="Arial"/>
          <w:b/>
          <w:bCs/>
        </w:rPr>
      </w:pPr>
    </w:p>
    <w:p w14:paraId="39F318AB" w14:textId="77777777" w:rsidR="00375FEA" w:rsidRPr="00317E96" w:rsidRDefault="00375FEA" w:rsidP="00375FEA">
      <w:pPr>
        <w:contextualSpacing/>
        <w:jc w:val="center"/>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853"/>
        <w:gridCol w:w="3853"/>
      </w:tblGrid>
      <w:tr w:rsidR="00375FEA" w:rsidRPr="00317E96" w14:paraId="5C03AD4D" w14:textId="77777777" w:rsidTr="00130123">
        <w:trPr>
          <w:jc w:val="center"/>
        </w:trPr>
        <w:tc>
          <w:tcPr>
            <w:tcW w:w="3853" w:type="dxa"/>
          </w:tcPr>
          <w:p w14:paraId="3E0619E9"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MAGISTRADO</w:t>
            </w:r>
          </w:p>
          <w:p w14:paraId="0B1CC58E" w14:textId="77777777" w:rsidR="00375FEA" w:rsidRPr="00317E96" w:rsidRDefault="00375FEA" w:rsidP="00130123">
            <w:pPr>
              <w:contextualSpacing/>
              <w:jc w:val="center"/>
              <w:rPr>
                <w:rFonts w:ascii="Arial" w:hAnsi="Arial" w:cs="Arial"/>
                <w:b/>
                <w:bCs/>
                <w:lang w:val="pt-BR"/>
              </w:rPr>
            </w:pPr>
          </w:p>
          <w:p w14:paraId="69D39E1E" w14:textId="77777777" w:rsidR="00375FEA" w:rsidRPr="00317E96" w:rsidRDefault="00375FEA" w:rsidP="00130123">
            <w:pPr>
              <w:contextualSpacing/>
              <w:jc w:val="center"/>
              <w:rPr>
                <w:rFonts w:ascii="Arial" w:hAnsi="Arial" w:cs="Arial"/>
                <w:b/>
                <w:bCs/>
                <w:lang w:val="pt-BR"/>
              </w:rPr>
            </w:pPr>
          </w:p>
          <w:p w14:paraId="7665D450" w14:textId="77777777" w:rsidR="00375FEA" w:rsidRPr="00317E96" w:rsidRDefault="00375FEA" w:rsidP="00130123">
            <w:pPr>
              <w:contextualSpacing/>
              <w:jc w:val="center"/>
              <w:rPr>
                <w:rFonts w:ascii="Arial" w:hAnsi="Arial" w:cs="Arial"/>
                <w:b/>
                <w:bCs/>
                <w:lang w:val="pt-BR"/>
              </w:rPr>
            </w:pPr>
          </w:p>
          <w:p w14:paraId="3B8F0516" w14:textId="77777777" w:rsidR="00375FEA" w:rsidRPr="00317E96" w:rsidRDefault="00375FEA" w:rsidP="00130123">
            <w:pPr>
              <w:contextualSpacing/>
              <w:jc w:val="center"/>
              <w:rPr>
                <w:rFonts w:ascii="Arial" w:hAnsi="Arial" w:cs="Arial"/>
                <w:b/>
                <w:bCs/>
                <w:lang w:val="pt-BR"/>
              </w:rPr>
            </w:pPr>
          </w:p>
          <w:p w14:paraId="78C2F8ED"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 xml:space="preserve">FELIPE DE LA MATA </w:t>
            </w:r>
          </w:p>
          <w:p w14:paraId="6AD4976D"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PIZAÑA</w:t>
            </w:r>
          </w:p>
        </w:tc>
        <w:tc>
          <w:tcPr>
            <w:tcW w:w="3853" w:type="dxa"/>
          </w:tcPr>
          <w:p w14:paraId="78C23033"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lastRenderedPageBreak/>
              <w:t>MAGISTRADO</w:t>
            </w:r>
          </w:p>
          <w:p w14:paraId="4CBFFB41" w14:textId="77777777" w:rsidR="00375FEA" w:rsidRPr="00317E96" w:rsidRDefault="00375FEA" w:rsidP="00130123">
            <w:pPr>
              <w:contextualSpacing/>
              <w:jc w:val="center"/>
              <w:rPr>
                <w:rFonts w:ascii="Arial" w:hAnsi="Arial" w:cs="Arial"/>
                <w:b/>
                <w:bCs/>
                <w:lang w:val="pt-BR"/>
              </w:rPr>
            </w:pPr>
          </w:p>
          <w:p w14:paraId="7C16C7A6" w14:textId="77777777" w:rsidR="00375FEA" w:rsidRPr="00317E96" w:rsidRDefault="00375FEA" w:rsidP="00130123">
            <w:pPr>
              <w:contextualSpacing/>
              <w:jc w:val="center"/>
              <w:rPr>
                <w:rFonts w:ascii="Arial" w:hAnsi="Arial" w:cs="Arial"/>
                <w:b/>
                <w:bCs/>
                <w:lang w:val="pt-BR"/>
              </w:rPr>
            </w:pPr>
          </w:p>
          <w:p w14:paraId="10F61FBF" w14:textId="77777777" w:rsidR="00375FEA" w:rsidRPr="00317E96" w:rsidRDefault="00375FEA" w:rsidP="00130123">
            <w:pPr>
              <w:contextualSpacing/>
              <w:jc w:val="center"/>
              <w:rPr>
                <w:rFonts w:ascii="Arial" w:hAnsi="Arial" w:cs="Arial"/>
                <w:b/>
                <w:bCs/>
                <w:lang w:val="pt-BR"/>
              </w:rPr>
            </w:pPr>
          </w:p>
          <w:p w14:paraId="4D2CA05A" w14:textId="77777777" w:rsidR="00375FEA" w:rsidRPr="00317E96" w:rsidRDefault="00375FEA" w:rsidP="00130123">
            <w:pPr>
              <w:contextualSpacing/>
              <w:jc w:val="center"/>
              <w:rPr>
                <w:rFonts w:ascii="Arial" w:hAnsi="Arial" w:cs="Arial"/>
                <w:b/>
                <w:bCs/>
                <w:lang w:val="pt-BR"/>
              </w:rPr>
            </w:pPr>
          </w:p>
          <w:p w14:paraId="44107EDA"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FELIPE ALFREDO FUENTES BARRERA</w:t>
            </w:r>
          </w:p>
          <w:p w14:paraId="47DF4916" w14:textId="77777777" w:rsidR="00375FEA" w:rsidRPr="00317E96" w:rsidRDefault="00375FEA" w:rsidP="00130123">
            <w:pPr>
              <w:contextualSpacing/>
              <w:jc w:val="center"/>
              <w:rPr>
                <w:rFonts w:ascii="Arial" w:hAnsi="Arial" w:cs="Arial"/>
                <w:b/>
                <w:bCs/>
                <w:lang w:val="pt-BR"/>
              </w:rPr>
            </w:pPr>
          </w:p>
        </w:tc>
      </w:tr>
      <w:tr w:rsidR="00375FEA" w:rsidRPr="00317E96" w14:paraId="2092062A" w14:textId="77777777" w:rsidTr="00130123">
        <w:trPr>
          <w:jc w:val="center"/>
        </w:trPr>
        <w:tc>
          <w:tcPr>
            <w:tcW w:w="3853" w:type="dxa"/>
          </w:tcPr>
          <w:p w14:paraId="141C5AC9" w14:textId="77777777" w:rsidR="00375FEA" w:rsidRPr="00317E96" w:rsidRDefault="00375FEA" w:rsidP="00130123">
            <w:pPr>
              <w:contextualSpacing/>
              <w:rPr>
                <w:rFonts w:ascii="Arial" w:hAnsi="Arial" w:cs="Arial"/>
                <w:b/>
                <w:bCs/>
                <w:lang w:val="pt-BR"/>
              </w:rPr>
            </w:pPr>
          </w:p>
          <w:p w14:paraId="1ED39582" w14:textId="77777777" w:rsidR="00375FEA" w:rsidRPr="00317E96" w:rsidRDefault="00375FEA" w:rsidP="00130123">
            <w:pPr>
              <w:contextualSpacing/>
              <w:jc w:val="center"/>
              <w:rPr>
                <w:rFonts w:ascii="Arial" w:hAnsi="Arial" w:cs="Arial"/>
                <w:b/>
                <w:bCs/>
                <w:lang w:val="pt-BR"/>
              </w:rPr>
            </w:pPr>
          </w:p>
          <w:p w14:paraId="361B5074"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MAGISTRADO</w:t>
            </w:r>
          </w:p>
          <w:p w14:paraId="50EA3CC5" w14:textId="77777777" w:rsidR="00375FEA" w:rsidRPr="00317E96" w:rsidRDefault="00375FEA" w:rsidP="00130123">
            <w:pPr>
              <w:contextualSpacing/>
              <w:jc w:val="center"/>
              <w:rPr>
                <w:rFonts w:ascii="Arial" w:hAnsi="Arial" w:cs="Arial"/>
                <w:b/>
                <w:bCs/>
                <w:lang w:val="pt-BR"/>
              </w:rPr>
            </w:pPr>
          </w:p>
          <w:p w14:paraId="452A281C" w14:textId="77777777" w:rsidR="00375FEA" w:rsidRPr="00317E96" w:rsidRDefault="00375FEA" w:rsidP="00130123">
            <w:pPr>
              <w:contextualSpacing/>
              <w:jc w:val="center"/>
              <w:rPr>
                <w:rFonts w:ascii="Arial" w:hAnsi="Arial" w:cs="Arial"/>
                <w:b/>
                <w:bCs/>
                <w:lang w:val="pt-BR"/>
              </w:rPr>
            </w:pPr>
          </w:p>
          <w:p w14:paraId="7D518C24" w14:textId="77777777" w:rsidR="00375FEA" w:rsidRPr="00317E96" w:rsidRDefault="00375FEA" w:rsidP="00130123">
            <w:pPr>
              <w:contextualSpacing/>
              <w:jc w:val="center"/>
              <w:rPr>
                <w:rFonts w:ascii="Arial" w:hAnsi="Arial" w:cs="Arial"/>
                <w:b/>
                <w:bCs/>
                <w:lang w:val="pt-BR"/>
              </w:rPr>
            </w:pPr>
          </w:p>
          <w:p w14:paraId="3C7A3657" w14:textId="77777777" w:rsidR="00375FEA" w:rsidRPr="00317E96" w:rsidRDefault="00375FEA" w:rsidP="00130123">
            <w:pPr>
              <w:contextualSpacing/>
              <w:jc w:val="center"/>
              <w:rPr>
                <w:rFonts w:ascii="Arial" w:hAnsi="Arial" w:cs="Arial"/>
                <w:b/>
                <w:bCs/>
                <w:lang w:val="pt-BR"/>
              </w:rPr>
            </w:pPr>
          </w:p>
          <w:p w14:paraId="37838BC9"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INDALFER INFANTE</w:t>
            </w:r>
          </w:p>
          <w:p w14:paraId="4C96723D"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GONZALES</w:t>
            </w:r>
          </w:p>
          <w:p w14:paraId="42A96E4B" w14:textId="77777777" w:rsidR="00375FEA" w:rsidRPr="00317E96" w:rsidRDefault="00375FEA" w:rsidP="00130123">
            <w:pPr>
              <w:contextualSpacing/>
              <w:jc w:val="center"/>
              <w:rPr>
                <w:rFonts w:ascii="Arial" w:hAnsi="Arial" w:cs="Arial"/>
                <w:b/>
                <w:bCs/>
                <w:lang w:val="pt-BR"/>
              </w:rPr>
            </w:pPr>
          </w:p>
          <w:p w14:paraId="78F90ECE" w14:textId="77777777" w:rsidR="00375FEA" w:rsidRPr="00317E96" w:rsidRDefault="00375FEA" w:rsidP="00130123">
            <w:pPr>
              <w:contextualSpacing/>
              <w:jc w:val="center"/>
              <w:rPr>
                <w:rFonts w:ascii="Arial" w:hAnsi="Arial" w:cs="Arial"/>
                <w:b/>
                <w:bCs/>
                <w:lang w:val="pt-BR"/>
              </w:rPr>
            </w:pPr>
          </w:p>
          <w:p w14:paraId="05B9F3B2" w14:textId="77777777" w:rsidR="00375FEA" w:rsidRPr="00317E96" w:rsidRDefault="00375FEA" w:rsidP="00130123">
            <w:pPr>
              <w:contextualSpacing/>
              <w:jc w:val="center"/>
              <w:rPr>
                <w:rFonts w:ascii="Arial" w:hAnsi="Arial" w:cs="Arial"/>
                <w:b/>
                <w:bCs/>
                <w:lang w:val="pt-BR"/>
              </w:rPr>
            </w:pPr>
          </w:p>
          <w:p w14:paraId="49C694B5" w14:textId="77777777" w:rsidR="00375FEA" w:rsidRPr="00317E96" w:rsidRDefault="00375FEA" w:rsidP="00130123">
            <w:pPr>
              <w:contextualSpacing/>
              <w:jc w:val="center"/>
              <w:rPr>
                <w:rFonts w:ascii="Arial" w:hAnsi="Arial" w:cs="Arial"/>
                <w:b/>
                <w:bCs/>
                <w:lang w:val="pt-BR"/>
              </w:rPr>
            </w:pPr>
          </w:p>
          <w:p w14:paraId="6243C190"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MAGISTRADA</w:t>
            </w:r>
          </w:p>
        </w:tc>
        <w:tc>
          <w:tcPr>
            <w:tcW w:w="3853" w:type="dxa"/>
          </w:tcPr>
          <w:p w14:paraId="5C659B09" w14:textId="77777777" w:rsidR="00375FEA" w:rsidRPr="00317E96" w:rsidRDefault="00375FEA" w:rsidP="00130123">
            <w:pPr>
              <w:contextualSpacing/>
              <w:jc w:val="center"/>
              <w:rPr>
                <w:rFonts w:ascii="Arial" w:hAnsi="Arial" w:cs="Arial"/>
                <w:b/>
                <w:bCs/>
                <w:lang w:val="pt-BR"/>
              </w:rPr>
            </w:pPr>
          </w:p>
          <w:p w14:paraId="40F98D6C" w14:textId="77777777" w:rsidR="00375FEA" w:rsidRPr="00317E96" w:rsidRDefault="00375FEA" w:rsidP="00130123">
            <w:pPr>
              <w:contextualSpacing/>
              <w:jc w:val="center"/>
              <w:rPr>
                <w:rFonts w:ascii="Arial" w:hAnsi="Arial" w:cs="Arial"/>
                <w:b/>
                <w:bCs/>
                <w:lang w:val="pt-BR"/>
              </w:rPr>
            </w:pPr>
          </w:p>
          <w:p w14:paraId="40B34A51"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MAGISTRADO</w:t>
            </w:r>
          </w:p>
          <w:p w14:paraId="3936D659" w14:textId="77777777" w:rsidR="00375FEA" w:rsidRPr="00317E96" w:rsidRDefault="00375FEA" w:rsidP="00130123">
            <w:pPr>
              <w:contextualSpacing/>
              <w:jc w:val="center"/>
              <w:rPr>
                <w:rFonts w:ascii="Arial" w:hAnsi="Arial" w:cs="Arial"/>
                <w:b/>
                <w:bCs/>
                <w:lang w:val="pt-BR"/>
              </w:rPr>
            </w:pPr>
          </w:p>
          <w:p w14:paraId="07C9F4C5" w14:textId="77777777" w:rsidR="00375FEA" w:rsidRPr="00317E96" w:rsidRDefault="00375FEA" w:rsidP="00130123">
            <w:pPr>
              <w:contextualSpacing/>
              <w:jc w:val="center"/>
              <w:rPr>
                <w:rFonts w:ascii="Arial" w:hAnsi="Arial" w:cs="Arial"/>
                <w:b/>
                <w:bCs/>
                <w:lang w:val="pt-BR"/>
              </w:rPr>
            </w:pPr>
          </w:p>
          <w:p w14:paraId="69BFD446" w14:textId="77777777" w:rsidR="00375FEA" w:rsidRPr="00317E96" w:rsidRDefault="00375FEA" w:rsidP="00130123">
            <w:pPr>
              <w:contextualSpacing/>
              <w:jc w:val="center"/>
              <w:rPr>
                <w:rFonts w:ascii="Arial" w:hAnsi="Arial" w:cs="Arial"/>
                <w:b/>
                <w:bCs/>
                <w:lang w:val="pt-BR"/>
              </w:rPr>
            </w:pPr>
          </w:p>
          <w:p w14:paraId="7F3F6FCC" w14:textId="77777777" w:rsidR="00375FEA" w:rsidRPr="00317E96" w:rsidRDefault="00375FEA" w:rsidP="00130123">
            <w:pPr>
              <w:contextualSpacing/>
              <w:jc w:val="center"/>
              <w:rPr>
                <w:rFonts w:ascii="Arial" w:hAnsi="Arial" w:cs="Arial"/>
                <w:b/>
                <w:bCs/>
                <w:lang w:val="pt-BR"/>
              </w:rPr>
            </w:pPr>
          </w:p>
          <w:p w14:paraId="3FB0D44E"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 xml:space="preserve">REYES RODRÍGUEZ </w:t>
            </w:r>
          </w:p>
          <w:p w14:paraId="7DCD7D16"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MONDRAGÓN</w:t>
            </w:r>
          </w:p>
          <w:p w14:paraId="4F44C381" w14:textId="77777777" w:rsidR="00375FEA" w:rsidRPr="00317E96" w:rsidRDefault="00375FEA" w:rsidP="00130123">
            <w:pPr>
              <w:contextualSpacing/>
              <w:jc w:val="center"/>
              <w:rPr>
                <w:rFonts w:ascii="Arial" w:hAnsi="Arial" w:cs="Arial"/>
                <w:b/>
                <w:bCs/>
                <w:lang w:val="pt-BR"/>
              </w:rPr>
            </w:pPr>
          </w:p>
          <w:p w14:paraId="1C0D1849" w14:textId="77777777" w:rsidR="00375FEA" w:rsidRPr="00317E96" w:rsidRDefault="00375FEA" w:rsidP="00130123">
            <w:pPr>
              <w:contextualSpacing/>
              <w:jc w:val="center"/>
              <w:rPr>
                <w:rFonts w:ascii="Arial" w:hAnsi="Arial" w:cs="Arial"/>
                <w:b/>
                <w:bCs/>
                <w:lang w:val="pt-BR"/>
              </w:rPr>
            </w:pPr>
          </w:p>
          <w:p w14:paraId="3D697BFD" w14:textId="77777777" w:rsidR="00375FEA" w:rsidRPr="00317E96" w:rsidRDefault="00375FEA" w:rsidP="00130123">
            <w:pPr>
              <w:contextualSpacing/>
              <w:jc w:val="center"/>
              <w:rPr>
                <w:rFonts w:ascii="Arial" w:hAnsi="Arial" w:cs="Arial"/>
                <w:b/>
                <w:bCs/>
                <w:lang w:val="pt-BR"/>
              </w:rPr>
            </w:pPr>
          </w:p>
          <w:p w14:paraId="12C68017" w14:textId="77777777" w:rsidR="00375FEA" w:rsidRPr="00317E96" w:rsidRDefault="00375FEA" w:rsidP="00130123">
            <w:pPr>
              <w:contextualSpacing/>
              <w:jc w:val="center"/>
              <w:rPr>
                <w:rFonts w:ascii="Arial" w:hAnsi="Arial" w:cs="Arial"/>
                <w:b/>
                <w:bCs/>
                <w:lang w:val="pt-BR"/>
              </w:rPr>
            </w:pPr>
          </w:p>
          <w:p w14:paraId="642CAA66"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MAGISTRADO</w:t>
            </w:r>
          </w:p>
        </w:tc>
      </w:tr>
      <w:tr w:rsidR="00375FEA" w:rsidRPr="00317E96" w14:paraId="2E5E4825" w14:textId="77777777" w:rsidTr="00130123">
        <w:trPr>
          <w:jc w:val="center"/>
        </w:trPr>
        <w:tc>
          <w:tcPr>
            <w:tcW w:w="3853" w:type="dxa"/>
          </w:tcPr>
          <w:p w14:paraId="1D033D72" w14:textId="77777777" w:rsidR="00375FEA" w:rsidRPr="00317E96" w:rsidRDefault="00375FEA" w:rsidP="00130123">
            <w:pPr>
              <w:contextualSpacing/>
              <w:jc w:val="center"/>
              <w:rPr>
                <w:rFonts w:ascii="Arial" w:hAnsi="Arial" w:cs="Arial"/>
                <w:b/>
                <w:bCs/>
                <w:lang w:val="pt-BR"/>
              </w:rPr>
            </w:pPr>
          </w:p>
          <w:p w14:paraId="2058FD22" w14:textId="77777777" w:rsidR="00375FEA" w:rsidRPr="00317E96" w:rsidRDefault="00375FEA" w:rsidP="00130123">
            <w:pPr>
              <w:contextualSpacing/>
              <w:jc w:val="center"/>
              <w:rPr>
                <w:rFonts w:ascii="Arial" w:hAnsi="Arial" w:cs="Arial"/>
                <w:b/>
                <w:bCs/>
                <w:lang w:val="pt-BR"/>
              </w:rPr>
            </w:pPr>
          </w:p>
          <w:p w14:paraId="10F3B61B" w14:textId="77777777" w:rsidR="00375FEA" w:rsidRPr="00317E96" w:rsidRDefault="00375FEA" w:rsidP="00130123">
            <w:pPr>
              <w:contextualSpacing/>
              <w:rPr>
                <w:rFonts w:ascii="Arial" w:hAnsi="Arial" w:cs="Arial"/>
                <w:b/>
                <w:bCs/>
                <w:lang w:val="pt-BR"/>
              </w:rPr>
            </w:pPr>
          </w:p>
          <w:p w14:paraId="709DD87C" w14:textId="77777777" w:rsidR="00375FEA" w:rsidRPr="00317E96" w:rsidRDefault="00375FEA" w:rsidP="00130123">
            <w:pPr>
              <w:contextualSpacing/>
              <w:rPr>
                <w:rFonts w:ascii="Arial" w:hAnsi="Arial" w:cs="Arial"/>
                <w:b/>
                <w:bCs/>
                <w:lang w:val="pt-BR"/>
              </w:rPr>
            </w:pPr>
          </w:p>
          <w:p w14:paraId="72871377"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MÓNICA ARALÍ SOTO FREGOSO</w:t>
            </w:r>
          </w:p>
        </w:tc>
        <w:tc>
          <w:tcPr>
            <w:tcW w:w="3853" w:type="dxa"/>
          </w:tcPr>
          <w:p w14:paraId="4302B756" w14:textId="77777777" w:rsidR="00375FEA" w:rsidRPr="00317E96" w:rsidRDefault="00375FEA" w:rsidP="00130123">
            <w:pPr>
              <w:contextualSpacing/>
              <w:jc w:val="center"/>
              <w:rPr>
                <w:rFonts w:ascii="Arial" w:hAnsi="Arial" w:cs="Arial"/>
                <w:b/>
                <w:bCs/>
                <w:lang w:val="pt-BR"/>
              </w:rPr>
            </w:pPr>
          </w:p>
          <w:p w14:paraId="5A4048DD" w14:textId="77777777" w:rsidR="00375FEA" w:rsidRPr="00317E96" w:rsidRDefault="00375FEA" w:rsidP="00130123">
            <w:pPr>
              <w:contextualSpacing/>
              <w:jc w:val="center"/>
              <w:rPr>
                <w:rFonts w:ascii="Arial" w:hAnsi="Arial" w:cs="Arial"/>
                <w:b/>
                <w:bCs/>
                <w:lang w:val="pt-BR"/>
              </w:rPr>
            </w:pPr>
          </w:p>
          <w:p w14:paraId="6F383254" w14:textId="77777777" w:rsidR="00375FEA" w:rsidRPr="00317E96" w:rsidRDefault="00375FEA" w:rsidP="00130123">
            <w:pPr>
              <w:contextualSpacing/>
              <w:jc w:val="center"/>
              <w:rPr>
                <w:rFonts w:ascii="Arial" w:hAnsi="Arial" w:cs="Arial"/>
                <w:b/>
                <w:bCs/>
                <w:lang w:val="pt-BR"/>
              </w:rPr>
            </w:pPr>
          </w:p>
          <w:p w14:paraId="59EFBDDF" w14:textId="77777777" w:rsidR="00375FEA" w:rsidRPr="00317E96" w:rsidRDefault="00375FEA" w:rsidP="00130123">
            <w:pPr>
              <w:contextualSpacing/>
              <w:jc w:val="center"/>
              <w:rPr>
                <w:rFonts w:ascii="Arial" w:hAnsi="Arial" w:cs="Arial"/>
                <w:b/>
                <w:bCs/>
                <w:lang w:val="pt-BR"/>
              </w:rPr>
            </w:pPr>
          </w:p>
          <w:p w14:paraId="5D53E981" w14:textId="77777777" w:rsidR="00375FEA" w:rsidRPr="00317E96" w:rsidRDefault="00375FEA" w:rsidP="00130123">
            <w:pPr>
              <w:contextualSpacing/>
              <w:jc w:val="center"/>
              <w:rPr>
                <w:rFonts w:ascii="Arial" w:hAnsi="Arial" w:cs="Arial"/>
                <w:b/>
                <w:bCs/>
                <w:lang w:val="pt-BR"/>
              </w:rPr>
            </w:pPr>
            <w:r w:rsidRPr="00317E96">
              <w:rPr>
                <w:rFonts w:ascii="Arial" w:hAnsi="Arial" w:cs="Arial"/>
                <w:b/>
                <w:bCs/>
                <w:lang w:val="pt-BR"/>
              </w:rPr>
              <w:t>JOSÉ LUIS VARGAS VALDEZ</w:t>
            </w:r>
          </w:p>
          <w:p w14:paraId="7731DD5D" w14:textId="77777777" w:rsidR="00375FEA" w:rsidRPr="00317E96" w:rsidRDefault="00375FEA" w:rsidP="00130123">
            <w:pPr>
              <w:contextualSpacing/>
              <w:jc w:val="center"/>
              <w:rPr>
                <w:rFonts w:ascii="Arial" w:hAnsi="Arial" w:cs="Arial"/>
                <w:b/>
                <w:bCs/>
                <w:lang w:val="pt-BR"/>
              </w:rPr>
            </w:pPr>
          </w:p>
          <w:p w14:paraId="4F064161" w14:textId="77777777" w:rsidR="00375FEA" w:rsidRPr="00317E96" w:rsidRDefault="00375FEA" w:rsidP="00130123">
            <w:pPr>
              <w:contextualSpacing/>
              <w:jc w:val="center"/>
              <w:rPr>
                <w:rFonts w:ascii="Arial" w:hAnsi="Arial" w:cs="Arial"/>
                <w:b/>
                <w:bCs/>
                <w:lang w:val="pt-BR"/>
              </w:rPr>
            </w:pPr>
          </w:p>
          <w:p w14:paraId="3E07052C" w14:textId="77777777" w:rsidR="00375FEA" w:rsidRPr="00317E96" w:rsidRDefault="00375FEA" w:rsidP="00130123">
            <w:pPr>
              <w:contextualSpacing/>
              <w:jc w:val="center"/>
              <w:rPr>
                <w:rFonts w:ascii="Arial" w:hAnsi="Arial" w:cs="Arial"/>
                <w:b/>
                <w:bCs/>
                <w:lang w:val="pt-BR"/>
              </w:rPr>
            </w:pPr>
          </w:p>
        </w:tc>
      </w:tr>
    </w:tbl>
    <w:p w14:paraId="72028124" w14:textId="77777777" w:rsidR="00375FEA" w:rsidRPr="00317E96" w:rsidRDefault="00375FEA" w:rsidP="00375FEA">
      <w:pPr>
        <w:contextualSpacing/>
        <w:rPr>
          <w:rFonts w:ascii="Arial" w:hAnsi="Arial" w:cs="Arial"/>
          <w:b/>
          <w:bCs/>
        </w:rPr>
      </w:pPr>
    </w:p>
    <w:p w14:paraId="652129C7" w14:textId="77777777" w:rsidR="00375FEA" w:rsidRPr="00317E96" w:rsidRDefault="00375FEA" w:rsidP="00375FEA">
      <w:pPr>
        <w:contextualSpacing/>
        <w:jc w:val="center"/>
        <w:rPr>
          <w:rFonts w:ascii="Arial" w:hAnsi="Arial" w:cs="Arial"/>
          <w:b/>
          <w:bCs/>
        </w:rPr>
      </w:pPr>
      <w:r w:rsidRPr="00317E96">
        <w:rPr>
          <w:rFonts w:ascii="Arial" w:hAnsi="Arial" w:cs="Arial"/>
          <w:b/>
          <w:bCs/>
        </w:rPr>
        <w:t>S</w:t>
      </w:r>
      <w:r>
        <w:rPr>
          <w:rFonts w:ascii="Arial" w:hAnsi="Arial" w:cs="Arial"/>
          <w:b/>
          <w:bCs/>
        </w:rPr>
        <w:t xml:space="preserve">ECRETARIA </w:t>
      </w:r>
      <w:r w:rsidRPr="00317E96">
        <w:rPr>
          <w:rFonts w:ascii="Arial" w:hAnsi="Arial" w:cs="Arial"/>
          <w:b/>
          <w:bCs/>
        </w:rPr>
        <w:t>GENERAL DE ACUERDOS</w:t>
      </w:r>
    </w:p>
    <w:p w14:paraId="444CA01E" w14:textId="77777777" w:rsidR="00375FEA" w:rsidRPr="00317E96" w:rsidRDefault="00375FEA" w:rsidP="00375FEA">
      <w:pPr>
        <w:contextualSpacing/>
        <w:jc w:val="center"/>
        <w:rPr>
          <w:rFonts w:ascii="Arial" w:hAnsi="Arial" w:cs="Arial"/>
          <w:b/>
          <w:bCs/>
        </w:rPr>
      </w:pPr>
    </w:p>
    <w:p w14:paraId="4AA77D28" w14:textId="77777777" w:rsidR="00375FEA" w:rsidRPr="00317E96" w:rsidRDefault="00375FEA" w:rsidP="00375FEA">
      <w:pPr>
        <w:contextualSpacing/>
        <w:jc w:val="center"/>
        <w:rPr>
          <w:rFonts w:ascii="Arial" w:hAnsi="Arial" w:cs="Arial"/>
          <w:b/>
          <w:bCs/>
        </w:rPr>
      </w:pPr>
    </w:p>
    <w:p w14:paraId="167954B4" w14:textId="77777777" w:rsidR="00375FEA" w:rsidRDefault="00375FEA" w:rsidP="00375FEA">
      <w:pPr>
        <w:contextualSpacing/>
        <w:jc w:val="center"/>
        <w:rPr>
          <w:rFonts w:ascii="Arial" w:hAnsi="Arial" w:cs="Arial"/>
          <w:b/>
          <w:bCs/>
        </w:rPr>
      </w:pPr>
    </w:p>
    <w:p w14:paraId="47B349D1" w14:textId="77777777" w:rsidR="00375FEA" w:rsidRPr="00317E96" w:rsidRDefault="00375FEA" w:rsidP="00375FEA">
      <w:pPr>
        <w:contextualSpacing/>
        <w:jc w:val="center"/>
        <w:rPr>
          <w:rFonts w:ascii="Arial" w:hAnsi="Arial" w:cs="Arial"/>
          <w:b/>
          <w:bCs/>
        </w:rPr>
      </w:pPr>
    </w:p>
    <w:p w14:paraId="4423BB41" w14:textId="77777777" w:rsidR="00375FEA" w:rsidRPr="00317E96" w:rsidRDefault="00375FEA" w:rsidP="00375FEA">
      <w:pPr>
        <w:contextualSpacing/>
        <w:jc w:val="center"/>
        <w:rPr>
          <w:rFonts w:ascii="Arial" w:eastAsia="MS Mincho" w:hAnsi="Arial" w:cs="Arial"/>
          <w:b/>
          <w:color w:val="000000"/>
        </w:rPr>
      </w:pPr>
      <w:r>
        <w:rPr>
          <w:rFonts w:ascii="Arial" w:hAnsi="Arial" w:cs="Arial"/>
          <w:b/>
          <w:bCs/>
        </w:rPr>
        <w:t>MARÍA CECILIA SÁNCHEZ BARREIRO</w:t>
      </w:r>
    </w:p>
    <w:p w14:paraId="29D38EC5" w14:textId="77777777" w:rsidR="00375FEA" w:rsidRPr="00317E96" w:rsidRDefault="00375FEA" w:rsidP="00375FEA">
      <w:pPr>
        <w:spacing w:line="360" w:lineRule="auto"/>
        <w:contextualSpacing/>
        <w:jc w:val="both"/>
        <w:rPr>
          <w:rFonts w:ascii="Arial" w:eastAsia="Arial Unicode MS" w:hAnsi="Arial" w:cs="Arial"/>
          <w:sz w:val="27"/>
          <w:szCs w:val="27"/>
        </w:rPr>
      </w:pPr>
    </w:p>
    <w:p w14:paraId="35239057" w14:textId="77777777" w:rsidR="00375FEA" w:rsidRPr="00375FEA" w:rsidRDefault="00375FEA" w:rsidP="00375FEA"/>
    <w:sectPr w:rsidR="00375FEA" w:rsidRPr="00375F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0FD77" w14:textId="77777777" w:rsidR="00DF5BD2" w:rsidRDefault="00DF5BD2" w:rsidP="00375FEA">
      <w:pPr>
        <w:spacing w:after="0" w:line="240" w:lineRule="auto"/>
      </w:pPr>
      <w:r>
        <w:separator/>
      </w:r>
    </w:p>
  </w:endnote>
  <w:endnote w:type="continuationSeparator" w:id="0">
    <w:p w14:paraId="5493A44D" w14:textId="77777777" w:rsidR="00DF5BD2" w:rsidRDefault="00DF5BD2" w:rsidP="0037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62831" w14:textId="77777777" w:rsidR="00DF5BD2" w:rsidRDefault="00DF5BD2" w:rsidP="00375FEA">
      <w:pPr>
        <w:spacing w:after="0" w:line="240" w:lineRule="auto"/>
      </w:pPr>
      <w:r>
        <w:separator/>
      </w:r>
    </w:p>
  </w:footnote>
  <w:footnote w:type="continuationSeparator" w:id="0">
    <w:p w14:paraId="482BC4C8" w14:textId="77777777" w:rsidR="00DF5BD2" w:rsidRDefault="00DF5BD2" w:rsidP="00375FEA">
      <w:pPr>
        <w:spacing w:after="0" w:line="240" w:lineRule="auto"/>
      </w:pPr>
      <w:r>
        <w:continuationSeparator/>
      </w:r>
    </w:p>
  </w:footnote>
  <w:footnote w:id="1">
    <w:p w14:paraId="412AA3A2" w14:textId="77777777" w:rsidR="00375FEA" w:rsidRPr="00AA6F8E" w:rsidRDefault="00375FEA" w:rsidP="00375FEA">
      <w:pPr>
        <w:pStyle w:val="Textonotapie"/>
        <w:jc w:val="both"/>
        <w:rPr>
          <w:rFonts w:ascii="Century Gothic" w:hAnsi="Century Gothic" w:cs="Arial"/>
          <w:sz w:val="16"/>
          <w:szCs w:val="16"/>
          <w:lang w:val="es-MX"/>
        </w:rPr>
      </w:pPr>
      <w:r w:rsidRPr="00AA6F8E">
        <w:rPr>
          <w:rStyle w:val="Refdenotaalpie"/>
          <w:rFonts w:ascii="Century Gothic" w:hAnsi="Century Gothic" w:cs="Arial"/>
          <w:sz w:val="16"/>
          <w:szCs w:val="16"/>
        </w:rPr>
        <w:footnoteRef/>
      </w:r>
      <w:r w:rsidRPr="00AA6F8E">
        <w:rPr>
          <w:rFonts w:ascii="Century Gothic" w:hAnsi="Century Gothic" w:cs="Arial"/>
          <w:sz w:val="16"/>
          <w:szCs w:val="16"/>
        </w:rPr>
        <w:t xml:space="preserve"> Consultable en la página de internet del Tribunal Electoral del Poder Judicial de la Federación www.te.gob.mx.</w:t>
      </w:r>
    </w:p>
  </w:footnote>
  <w:footnote w:id="2">
    <w:p w14:paraId="1BD458BE" w14:textId="77777777" w:rsidR="00375FEA" w:rsidRPr="00C84245" w:rsidRDefault="00375FEA" w:rsidP="00375FEA">
      <w:pPr>
        <w:pStyle w:val="Textonotapie"/>
        <w:jc w:val="both"/>
        <w:rPr>
          <w:rFonts w:ascii="Century Gothic" w:hAnsi="Century Gothic"/>
          <w:sz w:val="16"/>
          <w:szCs w:val="16"/>
          <w:lang w:val="es-MX"/>
        </w:rPr>
      </w:pPr>
      <w:r w:rsidRPr="00C84245">
        <w:rPr>
          <w:rStyle w:val="Refdenotaalpie"/>
          <w:rFonts w:ascii="Century Gothic" w:hAnsi="Century Gothic"/>
          <w:sz w:val="16"/>
          <w:szCs w:val="16"/>
        </w:rPr>
        <w:footnoteRef/>
      </w:r>
      <w:r w:rsidRPr="00C84245">
        <w:rPr>
          <w:rFonts w:ascii="Century Gothic" w:hAnsi="Century Gothic"/>
          <w:sz w:val="16"/>
          <w:szCs w:val="16"/>
        </w:rPr>
        <w:t xml:space="preserve"> </w:t>
      </w:r>
      <w:r w:rsidRPr="00C84245">
        <w:rPr>
          <w:rFonts w:ascii="Century Gothic" w:hAnsi="Century Gothic"/>
          <w:sz w:val="16"/>
          <w:szCs w:val="16"/>
        </w:rPr>
        <w:t xml:space="preserve">En su escrito de demanda, el actor explica que para él “los signos son elementos compositivos de los símbolos, y no son el símbolo en sí, pero son parte de ellos”. A partir de lo anterior, este tribunal ubica que a lo que se refiere con el uso de esta expresión es a los elementos que componen los símbolos propios, por lo que se utilizará este término para referirse a ellos. </w:t>
      </w:r>
    </w:p>
  </w:footnote>
  <w:footnote w:id="3">
    <w:p w14:paraId="3C5D312A" w14:textId="77777777" w:rsidR="00375FEA" w:rsidRPr="00C84245" w:rsidRDefault="00375FEA" w:rsidP="00375FEA">
      <w:pPr>
        <w:pStyle w:val="Textonotapie"/>
        <w:jc w:val="both"/>
        <w:rPr>
          <w:rFonts w:ascii="Century Gothic" w:hAnsi="Century Gothic"/>
          <w:sz w:val="16"/>
          <w:szCs w:val="16"/>
          <w:lang w:val="es-MX"/>
        </w:rPr>
      </w:pPr>
      <w:r w:rsidRPr="00C84245">
        <w:rPr>
          <w:rStyle w:val="Refdenotaalpie"/>
          <w:rFonts w:ascii="Century Gothic" w:hAnsi="Century Gothic"/>
          <w:sz w:val="16"/>
          <w:szCs w:val="16"/>
        </w:rPr>
        <w:footnoteRef/>
      </w:r>
      <w:r w:rsidRPr="00C84245">
        <w:rPr>
          <w:rFonts w:ascii="Century Gothic" w:hAnsi="Century Gothic"/>
          <w:sz w:val="16"/>
          <w:szCs w:val="16"/>
        </w:rPr>
        <w:t xml:space="preserve"> </w:t>
      </w:r>
      <w:r w:rsidRPr="00C84245">
        <w:rPr>
          <w:rFonts w:ascii="Century Gothic" w:hAnsi="Century Gothic"/>
          <w:sz w:val="16"/>
          <w:szCs w:val="16"/>
          <w:lang w:val="es-MX"/>
        </w:rPr>
        <w:t xml:space="preserve">Véase tesis 1a.CCCXLV/2013 (10a.) de rubro: “ESTADO DE INTERDICCIÓN. LA SENTENCIA QUE LO ESTABLEZCA DEBERÁ ADAPTARSE A LOS CAMBIOS DE LA DISCAPACIDAD DE LA PERSONA SUJETA AL MISMO (INTERPRETACIÓN DEL ARTÍCULO 606 DEL CÓDIGO CIVIL PARA EL DISTRITO FEDERAL), consultable en: </w:t>
      </w:r>
      <w:r w:rsidRPr="00C84245">
        <w:rPr>
          <w:rFonts w:ascii="Century Gothic" w:hAnsi="Century Gothic"/>
          <w:i/>
          <w:sz w:val="16"/>
          <w:szCs w:val="16"/>
          <w:lang w:val="es-MX"/>
        </w:rPr>
        <w:t xml:space="preserve">Gaceta del Semanario Judicial de la Federación, </w:t>
      </w:r>
      <w:r w:rsidRPr="00C84245">
        <w:rPr>
          <w:rFonts w:ascii="Century Gothic" w:hAnsi="Century Gothic"/>
          <w:sz w:val="16"/>
          <w:szCs w:val="16"/>
          <w:lang w:val="es-MX"/>
        </w:rPr>
        <w:t xml:space="preserve">Primera Sala, 10a. época, libro 1, diciembre de 2013, p. 522. </w:t>
      </w:r>
    </w:p>
  </w:footnote>
  <w:footnote w:id="4">
    <w:p w14:paraId="5E33DE50" w14:textId="77777777" w:rsidR="00375FEA" w:rsidRPr="007C5912" w:rsidRDefault="00375FEA" w:rsidP="00375FEA">
      <w:pPr>
        <w:pStyle w:val="Textonotapie"/>
        <w:jc w:val="both"/>
        <w:rPr>
          <w:rFonts w:ascii="Century Gothic" w:hAnsi="Century Gothic"/>
          <w:sz w:val="16"/>
          <w:szCs w:val="16"/>
        </w:rPr>
      </w:pPr>
      <w:r w:rsidRPr="007C5912">
        <w:rPr>
          <w:rStyle w:val="Refdenotaalpie"/>
          <w:rFonts w:ascii="Century Gothic" w:hAnsi="Century Gothic"/>
          <w:sz w:val="16"/>
          <w:szCs w:val="16"/>
        </w:rPr>
        <w:footnoteRef/>
      </w:r>
      <w:r w:rsidRPr="007C5912">
        <w:rPr>
          <w:rFonts w:ascii="Century Gothic" w:hAnsi="Century Gothic"/>
          <w:sz w:val="16"/>
          <w:szCs w:val="16"/>
        </w:rPr>
        <w:t xml:space="preserve"> </w:t>
      </w:r>
      <w:r w:rsidRPr="007C5912">
        <w:rPr>
          <w:rFonts w:ascii="Century Gothic" w:hAnsi="Century Gothic"/>
          <w:sz w:val="16"/>
          <w:szCs w:val="16"/>
        </w:rPr>
        <w:t xml:space="preserve">Véase Corte IDH. </w:t>
      </w:r>
      <w:r w:rsidRPr="007C5912">
        <w:rPr>
          <w:rFonts w:ascii="Century Gothic" w:hAnsi="Century Gothic"/>
          <w:i/>
          <w:sz w:val="16"/>
          <w:szCs w:val="16"/>
        </w:rPr>
        <w:t xml:space="preserve">Caso </w:t>
      </w:r>
      <w:proofErr w:type="spellStart"/>
      <w:r w:rsidRPr="007C5912">
        <w:rPr>
          <w:rFonts w:ascii="Century Gothic" w:hAnsi="Century Gothic"/>
          <w:i/>
          <w:sz w:val="16"/>
          <w:szCs w:val="16"/>
        </w:rPr>
        <w:t>Furlan</w:t>
      </w:r>
      <w:proofErr w:type="spellEnd"/>
      <w:r w:rsidRPr="007C5912">
        <w:rPr>
          <w:rFonts w:ascii="Century Gothic" w:hAnsi="Century Gothic"/>
          <w:i/>
          <w:sz w:val="16"/>
          <w:szCs w:val="16"/>
        </w:rPr>
        <w:t xml:space="preserve"> y familiares vs. Argentina. Excepciones Preliminares, Fondo, Reparaciones y Costas</w:t>
      </w:r>
      <w:r w:rsidRPr="007C5912">
        <w:rPr>
          <w:rFonts w:ascii="Century Gothic" w:hAnsi="Century Gothic"/>
          <w:sz w:val="16"/>
          <w:szCs w:val="16"/>
        </w:rPr>
        <w:t xml:space="preserve">. Sentencia de 31 de agosto de 2012. Serie C No. 246. </w:t>
      </w:r>
    </w:p>
  </w:footnote>
  <w:footnote w:id="5">
    <w:p w14:paraId="06E49CE6" w14:textId="77777777" w:rsidR="00375FEA" w:rsidRPr="007C5912" w:rsidRDefault="00375FEA" w:rsidP="00375FEA">
      <w:pPr>
        <w:pStyle w:val="Textonotapie"/>
        <w:jc w:val="both"/>
        <w:rPr>
          <w:rFonts w:ascii="Century Gothic" w:hAnsi="Century Gothic"/>
          <w:sz w:val="16"/>
          <w:szCs w:val="16"/>
        </w:rPr>
      </w:pPr>
      <w:r w:rsidRPr="007C5912">
        <w:rPr>
          <w:rStyle w:val="Refdenotaalpie"/>
          <w:rFonts w:ascii="Century Gothic" w:hAnsi="Century Gothic"/>
          <w:sz w:val="16"/>
          <w:szCs w:val="16"/>
        </w:rPr>
        <w:footnoteRef/>
      </w:r>
      <w:r w:rsidRPr="007C5912">
        <w:rPr>
          <w:rFonts w:ascii="Century Gothic" w:hAnsi="Century Gothic"/>
          <w:sz w:val="16"/>
          <w:szCs w:val="16"/>
        </w:rPr>
        <w:t xml:space="preserve"> </w:t>
      </w:r>
      <w:r w:rsidRPr="007C5912">
        <w:rPr>
          <w:rFonts w:ascii="Century Gothic" w:hAnsi="Century Gothic"/>
          <w:sz w:val="16"/>
          <w:szCs w:val="16"/>
        </w:rPr>
        <w:t xml:space="preserve">Véase sentencia TEDH de 20 de mayo de 2010, asunto </w:t>
      </w:r>
      <w:proofErr w:type="spellStart"/>
      <w:r w:rsidRPr="007C5912">
        <w:rPr>
          <w:rFonts w:ascii="Century Gothic" w:hAnsi="Century Gothic"/>
          <w:sz w:val="16"/>
          <w:szCs w:val="16"/>
        </w:rPr>
        <w:t>Alajos</w:t>
      </w:r>
      <w:proofErr w:type="spellEnd"/>
      <w:r w:rsidRPr="007C5912">
        <w:rPr>
          <w:rFonts w:ascii="Century Gothic" w:hAnsi="Century Gothic"/>
          <w:sz w:val="16"/>
          <w:szCs w:val="16"/>
        </w:rPr>
        <w:t xml:space="preserve"> Kiss contra Hungría. </w:t>
      </w:r>
    </w:p>
  </w:footnote>
  <w:footnote w:id="6">
    <w:p w14:paraId="0B63E45F" w14:textId="77777777" w:rsidR="00375FEA" w:rsidRPr="007C5912" w:rsidRDefault="00375FEA" w:rsidP="00375FEA">
      <w:pPr>
        <w:pStyle w:val="Textonotapie"/>
        <w:jc w:val="both"/>
        <w:rPr>
          <w:rFonts w:ascii="Century Gothic" w:hAnsi="Century Gothic"/>
          <w:sz w:val="16"/>
          <w:szCs w:val="16"/>
        </w:rPr>
      </w:pPr>
      <w:r w:rsidRPr="007C5912">
        <w:rPr>
          <w:rStyle w:val="Refdenotaalpie"/>
          <w:rFonts w:ascii="Century Gothic" w:hAnsi="Century Gothic"/>
          <w:sz w:val="16"/>
          <w:szCs w:val="16"/>
        </w:rPr>
        <w:footnoteRef/>
      </w:r>
      <w:r w:rsidRPr="007C5912">
        <w:rPr>
          <w:rFonts w:ascii="Century Gothic" w:hAnsi="Century Gothic"/>
          <w:sz w:val="16"/>
          <w:szCs w:val="16"/>
        </w:rPr>
        <w:t xml:space="preserve"> </w:t>
      </w:r>
      <w:r w:rsidRPr="007C5912">
        <w:rPr>
          <w:rFonts w:ascii="Century Gothic" w:hAnsi="Century Gothic"/>
          <w:sz w:val="16"/>
          <w:szCs w:val="16"/>
        </w:rPr>
        <w:t>Buenas prácticas en el acceso a la justicia de las personas con discapacidad en doctrina comparada: España y Costa Rica, obtenidos del “Protocolo para el Acceso a la Justicia de las Personas con Discapacidad en la República Argentina”. Disponible en: http://eurosocial-ii.eu/es/showbiblioteca/707</w:t>
      </w:r>
    </w:p>
  </w:footnote>
  <w:footnote w:id="7">
    <w:p w14:paraId="123CC890" w14:textId="77777777" w:rsidR="00375FEA" w:rsidRPr="00F25E99" w:rsidRDefault="00375FEA" w:rsidP="00375FEA">
      <w:pPr>
        <w:pStyle w:val="Textonotapie"/>
        <w:jc w:val="both"/>
        <w:rPr>
          <w:rFonts w:ascii="Century Gothic" w:hAnsi="Century Gothic"/>
        </w:rPr>
      </w:pPr>
      <w:r w:rsidRPr="007C5912">
        <w:rPr>
          <w:rStyle w:val="Refdenotaalpie"/>
          <w:rFonts w:ascii="Century Gothic" w:hAnsi="Century Gothic"/>
          <w:sz w:val="16"/>
          <w:szCs w:val="16"/>
        </w:rPr>
        <w:footnoteRef/>
      </w:r>
      <w:r w:rsidRPr="007C5912">
        <w:rPr>
          <w:rFonts w:ascii="Century Gothic" w:hAnsi="Century Gothic"/>
          <w:sz w:val="16"/>
          <w:szCs w:val="16"/>
        </w:rPr>
        <w:t xml:space="preserve"> </w:t>
      </w:r>
      <w:r w:rsidRPr="007C5912">
        <w:rPr>
          <w:rFonts w:ascii="Century Gothic" w:hAnsi="Century Gothic"/>
          <w:sz w:val="16"/>
          <w:szCs w:val="16"/>
        </w:rPr>
        <w:t xml:space="preserve">Tesis 1ª.CCCXXXIX/2013 (10ª.) de rubro: “SENTENCIA CON FORMATO DE LECTURA FÁCIL. EL JUEZ QUE CONOZCA DE UN ASUNTO SOBRE UNA PERSONA CON DISCAPACIDAD INTELECTUAL, DEBERÁ DICTAR UNA RESOLUCIÓN COMPLEMENTARIA BAJO DICHO FORMATO”, consultable en </w:t>
      </w:r>
      <w:r w:rsidRPr="007C5912">
        <w:rPr>
          <w:rFonts w:ascii="Century Gothic" w:hAnsi="Century Gothic"/>
          <w:i/>
          <w:sz w:val="16"/>
          <w:szCs w:val="16"/>
        </w:rPr>
        <w:t>Gaceta del Semanario Judicial de la Federación</w:t>
      </w:r>
      <w:r w:rsidRPr="007C5912">
        <w:rPr>
          <w:rFonts w:ascii="Century Gothic" w:hAnsi="Century Gothic"/>
          <w:sz w:val="16"/>
          <w:szCs w:val="16"/>
        </w:rPr>
        <w:t>, Primera Sala, 10ª época, libro 1, diciembre de 2013, tomo I, p. 536.</w:t>
      </w:r>
      <w:r w:rsidRPr="00F25E99">
        <w:rPr>
          <w:rFonts w:ascii="Century Gothic" w:hAnsi="Century Gothic"/>
        </w:rPr>
        <w:t xml:space="preserve"> </w:t>
      </w:r>
    </w:p>
  </w:footnote>
  <w:footnote w:id="8">
    <w:p w14:paraId="40E6EAB2" w14:textId="77777777" w:rsidR="00375FEA" w:rsidRPr="00DA5466" w:rsidRDefault="00375FEA" w:rsidP="00375FEA">
      <w:pPr>
        <w:pStyle w:val="Textonotapie"/>
        <w:jc w:val="both"/>
        <w:rPr>
          <w:rFonts w:ascii="Century Gothic" w:hAnsi="Century Gothic"/>
          <w:sz w:val="16"/>
          <w:szCs w:val="16"/>
        </w:rPr>
      </w:pPr>
      <w:r w:rsidRPr="00DA5466">
        <w:rPr>
          <w:rStyle w:val="Refdenotaalpie"/>
          <w:rFonts w:ascii="Century Gothic" w:hAnsi="Century Gothic"/>
          <w:sz w:val="16"/>
          <w:szCs w:val="16"/>
        </w:rPr>
        <w:footnoteRef/>
      </w:r>
      <w:r w:rsidRPr="00DA5466">
        <w:rPr>
          <w:rFonts w:ascii="Century Gothic" w:hAnsi="Century Gothic"/>
          <w:sz w:val="16"/>
          <w:szCs w:val="16"/>
        </w:rPr>
        <w:t xml:space="preserve"> </w:t>
      </w:r>
      <w:r w:rsidRPr="00DA5466">
        <w:rPr>
          <w:rFonts w:ascii="Century Gothic" w:hAnsi="Century Gothic"/>
          <w:sz w:val="16"/>
          <w:szCs w:val="16"/>
        </w:rPr>
        <w:t xml:space="preserve">Lo anterior, de conformidad con los Lineamientos Generales para la Identificación e Integración de Expedientes del Tribunal Electoral del Poder Judicial de la Federación, aprobados por el entonces Magistrado Presidente de la Sala Superior de este Tribunal, el doce de noviembre de dos mil catorce. </w:t>
      </w:r>
    </w:p>
  </w:footnote>
  <w:footnote w:id="9">
    <w:p w14:paraId="75C672D9" w14:textId="77777777" w:rsidR="00375FEA" w:rsidRPr="00776DC9" w:rsidRDefault="00375FEA" w:rsidP="00375FEA">
      <w:pPr>
        <w:pStyle w:val="Textonotapie"/>
        <w:jc w:val="both"/>
        <w:rPr>
          <w:rFonts w:ascii="Century Gothic" w:hAnsi="Century Gothic"/>
          <w:sz w:val="16"/>
          <w:szCs w:val="16"/>
        </w:rPr>
      </w:pPr>
      <w:r w:rsidRPr="00776DC9">
        <w:rPr>
          <w:rStyle w:val="Refdenotaalpie"/>
          <w:rFonts w:ascii="Century Gothic" w:hAnsi="Century Gothic"/>
          <w:sz w:val="16"/>
          <w:szCs w:val="16"/>
        </w:rPr>
        <w:footnoteRef/>
      </w:r>
      <w:r w:rsidRPr="00776DC9">
        <w:rPr>
          <w:rFonts w:ascii="Century Gothic" w:hAnsi="Century Gothic"/>
          <w:sz w:val="16"/>
          <w:szCs w:val="16"/>
        </w:rPr>
        <w:t xml:space="preserve"> </w:t>
      </w:r>
      <w:r w:rsidRPr="00776DC9">
        <w:rPr>
          <w:rFonts w:ascii="Century Gothic" w:hAnsi="Century Gothic"/>
          <w:sz w:val="16"/>
          <w:szCs w:val="16"/>
        </w:rPr>
        <w:t xml:space="preserve">Véase jurisprudencia 7/2002 de rubro: “INTERÉS JURÍDICO DIRECTO PARA PROMOVER MEDIOS DE IMPUGNACIÓN. REQUISITOS PARA SU SURTIMIENTO”, consultable en </w:t>
      </w:r>
      <w:r w:rsidRPr="00776DC9">
        <w:rPr>
          <w:rFonts w:ascii="Century Gothic" w:hAnsi="Century Gothic"/>
          <w:i/>
          <w:sz w:val="16"/>
          <w:szCs w:val="16"/>
        </w:rPr>
        <w:t>Justicia Electoral</w:t>
      </w:r>
      <w:r w:rsidRPr="00776DC9">
        <w:rPr>
          <w:rFonts w:ascii="Century Gothic" w:hAnsi="Century Gothic"/>
          <w:sz w:val="16"/>
          <w:szCs w:val="16"/>
        </w:rPr>
        <w:t xml:space="preserve">, Revista del Tribunal Electoral del Poder Judicial de la Federación, suplemento 6, año 2003, p. 39. </w:t>
      </w:r>
    </w:p>
  </w:footnote>
  <w:footnote w:id="10">
    <w:p w14:paraId="5930D3E9" w14:textId="77777777" w:rsidR="00375FEA" w:rsidRPr="00776DC9" w:rsidRDefault="00375FEA" w:rsidP="00375FEA">
      <w:pPr>
        <w:pStyle w:val="Textonotapie"/>
        <w:jc w:val="both"/>
        <w:rPr>
          <w:rFonts w:ascii="Century Gothic" w:hAnsi="Century Gothic"/>
          <w:sz w:val="16"/>
          <w:szCs w:val="16"/>
        </w:rPr>
      </w:pPr>
      <w:r w:rsidRPr="00776DC9">
        <w:rPr>
          <w:rStyle w:val="Refdenotaalpie"/>
          <w:rFonts w:ascii="Century Gothic" w:hAnsi="Century Gothic"/>
          <w:sz w:val="16"/>
          <w:szCs w:val="16"/>
        </w:rPr>
        <w:footnoteRef/>
      </w:r>
      <w:r w:rsidRPr="00776DC9">
        <w:rPr>
          <w:rFonts w:ascii="Century Gothic" w:hAnsi="Century Gothic"/>
          <w:sz w:val="16"/>
          <w:szCs w:val="16"/>
        </w:rPr>
        <w:t xml:space="preserve"> </w:t>
      </w:r>
      <w:r w:rsidRPr="00776DC9">
        <w:rPr>
          <w:rFonts w:ascii="Century Gothic" w:hAnsi="Century Gothic"/>
          <w:sz w:val="16"/>
          <w:szCs w:val="16"/>
        </w:rPr>
        <w:t xml:space="preserve">Véase: Jurisprudencia 1a./J. 38/2016 (10a.) de rubro: “INTERÉS LEGÍTIMO EN EL AMPARO. SU DIFERENCIA CON EL INTERÉS SIMPLE”, </w:t>
      </w:r>
      <w:r w:rsidRPr="00776DC9">
        <w:rPr>
          <w:rFonts w:ascii="Century Gothic" w:hAnsi="Century Gothic"/>
          <w:i/>
          <w:sz w:val="16"/>
          <w:szCs w:val="16"/>
        </w:rPr>
        <w:t>Gaceta del Semanario Judicial de la Federación</w:t>
      </w:r>
      <w:r w:rsidRPr="00776DC9">
        <w:rPr>
          <w:rFonts w:ascii="Century Gothic" w:hAnsi="Century Gothic"/>
          <w:sz w:val="16"/>
          <w:szCs w:val="16"/>
        </w:rPr>
        <w:t xml:space="preserve">, Primera Sala, 10a época, libro 33, agosto de 2016, tomo II, p. 690.  </w:t>
      </w:r>
    </w:p>
    <w:p w14:paraId="413E6CD5" w14:textId="77777777" w:rsidR="00375FEA" w:rsidRPr="00A44EE9" w:rsidRDefault="00375FEA" w:rsidP="00375FEA">
      <w:pPr>
        <w:pStyle w:val="Textonotapie"/>
      </w:pPr>
    </w:p>
  </w:footnote>
  <w:footnote w:id="11">
    <w:p w14:paraId="12E20365" w14:textId="77777777" w:rsidR="00375FEA" w:rsidRPr="00776DC9" w:rsidRDefault="00375FEA" w:rsidP="00375FEA">
      <w:pPr>
        <w:pStyle w:val="Textonotapie"/>
        <w:jc w:val="both"/>
        <w:rPr>
          <w:rFonts w:ascii="Century Gothic" w:hAnsi="Century Gothic"/>
          <w:sz w:val="16"/>
          <w:szCs w:val="16"/>
          <w:lang w:val="es-MX"/>
        </w:rPr>
      </w:pPr>
      <w:r w:rsidRPr="00776DC9">
        <w:rPr>
          <w:rStyle w:val="Refdenotaalpie"/>
          <w:rFonts w:ascii="Century Gothic" w:hAnsi="Century Gothic"/>
          <w:sz w:val="16"/>
          <w:szCs w:val="16"/>
        </w:rPr>
        <w:footnoteRef/>
      </w:r>
      <w:r w:rsidRPr="00776DC9">
        <w:rPr>
          <w:rFonts w:ascii="Century Gothic" w:hAnsi="Century Gothic"/>
          <w:sz w:val="16"/>
          <w:szCs w:val="16"/>
        </w:rPr>
        <w:t xml:space="preserve"> </w:t>
      </w:r>
      <w:r w:rsidRPr="00776DC9">
        <w:rPr>
          <w:rFonts w:ascii="Century Gothic" w:hAnsi="Century Gothic"/>
          <w:sz w:val="16"/>
          <w:szCs w:val="16"/>
          <w:lang w:val="es-MX"/>
        </w:rPr>
        <w:t xml:space="preserve">Jurisprudencia 10/2005 de rubro: “ACCIONES TUITIVAS DE INTERESES DIFUSOS. ELEMENTOS NECESARIOS PARA QUE LOS PARTIDOS POLÍTICOS LAS PUEDAN DEDUCIR”, consultable en: </w:t>
      </w:r>
      <w:r w:rsidRPr="00776DC9">
        <w:rPr>
          <w:rFonts w:ascii="Century Gothic" w:hAnsi="Century Gothic"/>
          <w:i/>
          <w:sz w:val="16"/>
          <w:szCs w:val="16"/>
          <w:lang w:val="es-MX"/>
        </w:rPr>
        <w:t>Jurisprudencia y Tesis Relevantes 1997-2005</w:t>
      </w:r>
      <w:r w:rsidRPr="00776DC9">
        <w:rPr>
          <w:rFonts w:ascii="Century Gothic" w:hAnsi="Century Gothic"/>
          <w:sz w:val="16"/>
          <w:szCs w:val="16"/>
          <w:lang w:val="es-MX"/>
        </w:rPr>
        <w:t xml:space="preserve">. Compilación Oficial, Tribunal Electoral del Poder Judicial de la Federación, pp. 6-8. </w:t>
      </w:r>
    </w:p>
  </w:footnote>
  <w:footnote w:id="12">
    <w:p w14:paraId="03A8EF45" w14:textId="77777777" w:rsidR="00375FEA" w:rsidRPr="00776DC9" w:rsidRDefault="00375FEA" w:rsidP="00375FEA">
      <w:pPr>
        <w:pStyle w:val="Textonotapie"/>
        <w:jc w:val="both"/>
        <w:rPr>
          <w:rFonts w:ascii="Century Gothic" w:hAnsi="Century Gothic"/>
          <w:sz w:val="16"/>
          <w:szCs w:val="16"/>
          <w:lang w:val="es-MX"/>
        </w:rPr>
      </w:pPr>
      <w:r w:rsidRPr="00776DC9">
        <w:rPr>
          <w:rStyle w:val="Refdenotaalpie"/>
          <w:rFonts w:ascii="Century Gothic" w:hAnsi="Century Gothic"/>
          <w:sz w:val="16"/>
          <w:szCs w:val="16"/>
        </w:rPr>
        <w:footnoteRef/>
      </w:r>
      <w:r w:rsidRPr="00776DC9">
        <w:rPr>
          <w:rFonts w:ascii="Century Gothic" w:hAnsi="Century Gothic"/>
          <w:sz w:val="16"/>
          <w:szCs w:val="16"/>
        </w:rPr>
        <w:t xml:space="preserve"> </w:t>
      </w:r>
      <w:r w:rsidRPr="00776DC9">
        <w:rPr>
          <w:rFonts w:ascii="Century Gothic" w:hAnsi="Century Gothic"/>
          <w:sz w:val="16"/>
          <w:szCs w:val="16"/>
          <w:lang w:val="es-MX"/>
        </w:rPr>
        <w:t xml:space="preserve">Consultable en: </w:t>
      </w:r>
      <w:r w:rsidRPr="00776DC9">
        <w:rPr>
          <w:rFonts w:ascii="Century Gothic" w:hAnsi="Century Gothic"/>
          <w:i/>
          <w:sz w:val="16"/>
          <w:szCs w:val="16"/>
          <w:lang w:val="es-MX"/>
        </w:rPr>
        <w:t>Gaceta del Semanario Judicial de la Federación</w:t>
      </w:r>
      <w:r w:rsidRPr="00776DC9">
        <w:rPr>
          <w:rFonts w:ascii="Century Gothic" w:hAnsi="Century Gothic"/>
          <w:sz w:val="16"/>
          <w:szCs w:val="16"/>
          <w:lang w:val="es-MX"/>
        </w:rPr>
        <w:t xml:space="preserve">, Primera Sala, 10a época, libro 1, diciembre de 2013, tomo I, p. 536. </w:t>
      </w:r>
    </w:p>
  </w:footnote>
  <w:footnote w:id="13">
    <w:p w14:paraId="3418F375" w14:textId="77777777" w:rsidR="00375FEA" w:rsidRPr="000918A4" w:rsidRDefault="00375FEA" w:rsidP="00375FEA">
      <w:pPr>
        <w:pStyle w:val="Textonotapie"/>
        <w:jc w:val="both"/>
        <w:rPr>
          <w:rFonts w:ascii="Arial" w:hAnsi="Arial" w:cs="Arial"/>
          <w:sz w:val="22"/>
          <w:szCs w:val="22"/>
          <w:lang w:val="es-MX"/>
        </w:rPr>
      </w:pPr>
      <w:r w:rsidRPr="000918A4">
        <w:rPr>
          <w:rStyle w:val="Refdenotaalpie"/>
          <w:rFonts w:ascii="Arial" w:hAnsi="Arial" w:cs="Arial"/>
          <w:sz w:val="22"/>
          <w:szCs w:val="22"/>
        </w:rPr>
        <w:footnoteRef/>
      </w:r>
      <w:r w:rsidRPr="000918A4">
        <w:rPr>
          <w:rFonts w:ascii="Arial" w:hAnsi="Arial" w:cs="Arial"/>
          <w:sz w:val="22"/>
          <w:szCs w:val="22"/>
        </w:rPr>
        <w:t xml:space="preserve"> </w:t>
      </w:r>
      <w:r w:rsidRPr="000918A4">
        <w:rPr>
          <w:rFonts w:ascii="Arial" w:hAnsi="Arial" w:cs="Arial"/>
          <w:sz w:val="22"/>
          <w:szCs w:val="22"/>
          <w:lang w:val="es-MX"/>
        </w:rPr>
        <w:t>Consejo Nacional para Prevenir la Discriminación.</w:t>
      </w:r>
    </w:p>
  </w:footnote>
  <w:footnote w:id="14">
    <w:p w14:paraId="3C40ABD1" w14:textId="77777777" w:rsidR="00375FEA" w:rsidRPr="004876A9" w:rsidRDefault="00375FEA" w:rsidP="00375FEA">
      <w:pPr>
        <w:pStyle w:val="Textonotapie"/>
        <w:jc w:val="both"/>
        <w:rPr>
          <w:rFonts w:ascii="Arial" w:hAnsi="Arial" w:cs="Arial"/>
          <w:sz w:val="16"/>
          <w:szCs w:val="16"/>
          <w:lang w:val="es-MX"/>
        </w:rPr>
      </w:pPr>
      <w:r w:rsidRPr="004876A9">
        <w:rPr>
          <w:rStyle w:val="Refdenotaalpie"/>
          <w:rFonts w:ascii="Arial" w:hAnsi="Arial" w:cs="Arial"/>
          <w:sz w:val="16"/>
          <w:szCs w:val="16"/>
        </w:rPr>
        <w:footnoteRef/>
      </w:r>
      <w:r w:rsidRPr="004876A9">
        <w:rPr>
          <w:rFonts w:ascii="Arial" w:hAnsi="Arial" w:cs="Arial"/>
          <w:sz w:val="16"/>
          <w:szCs w:val="16"/>
        </w:rPr>
        <w:t xml:space="preserve"> </w:t>
      </w:r>
      <w:r w:rsidRPr="004876A9">
        <w:rPr>
          <w:rFonts w:ascii="Arial" w:hAnsi="Arial" w:cs="Arial"/>
          <w:sz w:val="16"/>
          <w:szCs w:val="16"/>
          <w:lang w:val="es-MX"/>
        </w:rPr>
        <w:t>Oficio ORIENTA-133-18.</w:t>
      </w:r>
    </w:p>
  </w:footnote>
  <w:footnote w:id="15">
    <w:p w14:paraId="180C4260" w14:textId="77777777" w:rsidR="00375FEA" w:rsidRPr="000918A4" w:rsidRDefault="00375FEA" w:rsidP="00375FEA">
      <w:pPr>
        <w:pStyle w:val="Textonotapie"/>
        <w:jc w:val="both"/>
        <w:rPr>
          <w:rFonts w:ascii="Arial" w:hAnsi="Arial" w:cs="Arial"/>
          <w:sz w:val="22"/>
          <w:szCs w:val="22"/>
          <w:lang w:val="es-MX"/>
        </w:rPr>
      </w:pPr>
      <w:r w:rsidRPr="004876A9">
        <w:rPr>
          <w:rStyle w:val="Refdenotaalpie"/>
          <w:rFonts w:ascii="Arial" w:hAnsi="Arial" w:cs="Arial"/>
          <w:sz w:val="16"/>
          <w:szCs w:val="16"/>
        </w:rPr>
        <w:footnoteRef/>
      </w:r>
      <w:r w:rsidRPr="004876A9">
        <w:rPr>
          <w:rFonts w:ascii="Arial" w:hAnsi="Arial" w:cs="Arial"/>
          <w:sz w:val="16"/>
          <w:szCs w:val="16"/>
        </w:rPr>
        <w:t xml:space="preserve"> </w:t>
      </w:r>
      <w:r w:rsidRPr="004876A9">
        <w:rPr>
          <w:rFonts w:ascii="Arial" w:hAnsi="Arial" w:cs="Arial"/>
          <w:sz w:val="16"/>
          <w:szCs w:val="16"/>
          <w:lang w:val="es-MX"/>
        </w:rPr>
        <w:t>En adelante Ley de Medios.</w:t>
      </w:r>
    </w:p>
  </w:footnote>
  <w:footnote w:id="16">
    <w:p w14:paraId="295B215C" w14:textId="77777777" w:rsidR="00375FEA" w:rsidRPr="004876A9" w:rsidRDefault="00375FEA" w:rsidP="00375FEA">
      <w:pPr>
        <w:pStyle w:val="Textonotapie"/>
        <w:jc w:val="both"/>
        <w:rPr>
          <w:rFonts w:ascii="Arial" w:hAnsi="Arial" w:cs="Arial"/>
          <w:sz w:val="16"/>
          <w:szCs w:val="16"/>
          <w:lang w:val="es-MX"/>
        </w:rPr>
      </w:pPr>
      <w:r w:rsidRPr="004876A9">
        <w:rPr>
          <w:rStyle w:val="Refdenotaalpie"/>
          <w:rFonts w:ascii="Arial" w:hAnsi="Arial" w:cs="Arial"/>
          <w:sz w:val="16"/>
          <w:szCs w:val="16"/>
        </w:rPr>
        <w:footnoteRef/>
      </w:r>
      <w:r w:rsidRPr="004876A9">
        <w:rPr>
          <w:rFonts w:ascii="Arial" w:hAnsi="Arial" w:cs="Arial"/>
          <w:sz w:val="16"/>
          <w:szCs w:val="16"/>
        </w:rPr>
        <w:t xml:space="preserve"> </w:t>
      </w:r>
      <w:r w:rsidRPr="004876A9">
        <w:rPr>
          <w:rFonts w:ascii="Arial" w:hAnsi="Arial" w:cs="Arial"/>
          <w:sz w:val="16"/>
          <w:szCs w:val="16"/>
          <w:lang w:val="es-MX"/>
        </w:rPr>
        <w:t>Tesis 1a. VI/2013 (10a.), de rubro: “DISCAPACIDAD. SU ANÁLISIS JURÍDICO A LA LUZ DEL MODELO SOCIAL CONSAGRADO EN LA CONVENCIÓN SOBRE LOS DERECHOS DE LAS PERSONAS CON DISCAPACIDAD.”</w:t>
      </w:r>
    </w:p>
  </w:footnote>
  <w:footnote w:id="17">
    <w:p w14:paraId="281BA103" w14:textId="77777777" w:rsidR="00375FEA" w:rsidRPr="004876A9" w:rsidRDefault="00375FEA" w:rsidP="00375FEA">
      <w:pPr>
        <w:pStyle w:val="Textonotapie"/>
        <w:jc w:val="both"/>
        <w:rPr>
          <w:rFonts w:ascii="Arial" w:hAnsi="Arial" w:cs="Arial"/>
          <w:sz w:val="16"/>
          <w:szCs w:val="16"/>
          <w:lang w:val="es-MX"/>
        </w:rPr>
      </w:pPr>
      <w:r w:rsidRPr="004876A9">
        <w:rPr>
          <w:rStyle w:val="Refdenotaalpie"/>
          <w:rFonts w:ascii="Arial" w:hAnsi="Arial" w:cs="Arial"/>
          <w:sz w:val="16"/>
          <w:szCs w:val="16"/>
        </w:rPr>
        <w:footnoteRef/>
      </w:r>
      <w:r w:rsidRPr="004876A9">
        <w:rPr>
          <w:rFonts w:ascii="Arial" w:hAnsi="Arial" w:cs="Arial"/>
          <w:sz w:val="16"/>
          <w:szCs w:val="16"/>
        </w:rPr>
        <w:t xml:space="preserve"> </w:t>
      </w:r>
      <w:r w:rsidRPr="004876A9">
        <w:rPr>
          <w:rFonts w:ascii="Arial" w:hAnsi="Arial" w:cs="Arial"/>
          <w:sz w:val="16"/>
          <w:szCs w:val="16"/>
          <w:lang w:val="es-MX"/>
        </w:rPr>
        <w:t>Tesis 1a. XII/2013 (10a.), de rubro: “DISCAPACIDAD. EL CONTENIDO DEL ARTÍCULO 9 DE LA LEY GENERAL PARA LA INCLUSIÓN DE LAS PERSONAS CON DISCAPACIDAD, IMPLICA LA ADOPCIÓN DE AJUSTES RAZONABLES QUE PROPICIEN LA IGUALDAD.”.</w:t>
      </w:r>
    </w:p>
  </w:footnote>
  <w:footnote w:id="18">
    <w:p w14:paraId="46FCBAB8" w14:textId="77777777" w:rsidR="00375FEA" w:rsidRPr="000918A4" w:rsidRDefault="00375FEA" w:rsidP="00375FEA">
      <w:pPr>
        <w:pStyle w:val="Textonotapie"/>
        <w:jc w:val="both"/>
        <w:rPr>
          <w:rFonts w:ascii="Arial" w:hAnsi="Arial" w:cs="Arial"/>
          <w:sz w:val="22"/>
          <w:szCs w:val="22"/>
          <w:lang w:val="es-MX"/>
        </w:rPr>
      </w:pPr>
      <w:r w:rsidRPr="004876A9">
        <w:rPr>
          <w:rStyle w:val="Refdenotaalpie"/>
          <w:rFonts w:ascii="Arial" w:hAnsi="Arial" w:cs="Arial"/>
          <w:sz w:val="16"/>
          <w:szCs w:val="16"/>
        </w:rPr>
        <w:footnoteRef/>
      </w:r>
      <w:r w:rsidRPr="004876A9">
        <w:rPr>
          <w:rFonts w:ascii="Arial" w:hAnsi="Arial" w:cs="Arial"/>
          <w:sz w:val="16"/>
          <w:szCs w:val="16"/>
        </w:rPr>
        <w:t xml:space="preserve"> </w:t>
      </w:r>
      <w:r w:rsidRPr="004876A9">
        <w:rPr>
          <w:rFonts w:ascii="Arial" w:hAnsi="Arial" w:cs="Arial"/>
          <w:b/>
          <w:sz w:val="16"/>
          <w:szCs w:val="16"/>
          <w:lang w:val="es-MX"/>
        </w:rPr>
        <w:t>Artículo 5.3. Igualdad y no discriminación.</w:t>
      </w:r>
      <w:r w:rsidRPr="004876A9">
        <w:rPr>
          <w:rFonts w:ascii="Arial" w:hAnsi="Arial" w:cs="Arial"/>
          <w:sz w:val="16"/>
          <w:szCs w:val="16"/>
          <w:lang w:val="es-MX"/>
        </w:rPr>
        <w:t xml:space="preserve"> </w:t>
      </w:r>
      <w:r w:rsidRPr="004876A9">
        <w:rPr>
          <w:rFonts w:ascii="Arial" w:hAnsi="Arial" w:cs="Arial"/>
          <w:sz w:val="16"/>
          <w:szCs w:val="16"/>
        </w:rPr>
        <w:t>A fin de promover la igualdad y eliminar la discriminación, los Estados</w:t>
      </w:r>
      <w:r w:rsidRPr="004876A9">
        <w:rPr>
          <w:rFonts w:ascii="Arial" w:hAnsi="Arial" w:cs="Arial"/>
          <w:sz w:val="16"/>
          <w:szCs w:val="16"/>
          <w:lang w:val="es-MX"/>
        </w:rPr>
        <w:t xml:space="preserve"> </w:t>
      </w:r>
      <w:r w:rsidRPr="004876A9">
        <w:rPr>
          <w:rFonts w:ascii="Arial" w:hAnsi="Arial" w:cs="Arial"/>
          <w:sz w:val="16"/>
          <w:szCs w:val="16"/>
        </w:rPr>
        <w:t>Partes adoptarán todas las medidas pertinentes para asegurar la realización de</w:t>
      </w:r>
      <w:r w:rsidRPr="004876A9">
        <w:rPr>
          <w:rFonts w:ascii="Arial" w:hAnsi="Arial" w:cs="Arial"/>
          <w:sz w:val="16"/>
          <w:szCs w:val="16"/>
          <w:lang w:val="es-MX"/>
        </w:rPr>
        <w:t xml:space="preserve"> </w:t>
      </w:r>
      <w:r w:rsidRPr="004876A9">
        <w:rPr>
          <w:rFonts w:ascii="Arial" w:hAnsi="Arial" w:cs="Arial"/>
          <w:sz w:val="16"/>
          <w:szCs w:val="16"/>
        </w:rPr>
        <w:t>ajustes razonables.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142A"/>
    <w:multiLevelType w:val="hybridMultilevel"/>
    <w:tmpl w:val="DEEC8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D05B4"/>
    <w:multiLevelType w:val="hybridMultilevel"/>
    <w:tmpl w:val="AE28E1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031EFB"/>
    <w:multiLevelType w:val="hybridMultilevel"/>
    <w:tmpl w:val="9026AA2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750E2"/>
    <w:multiLevelType w:val="hybridMultilevel"/>
    <w:tmpl w:val="DEEC8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11511D"/>
    <w:multiLevelType w:val="hybridMultilevel"/>
    <w:tmpl w:val="0F06DB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924E02"/>
    <w:multiLevelType w:val="hybridMultilevel"/>
    <w:tmpl w:val="CA969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7D40D4"/>
    <w:multiLevelType w:val="hybridMultilevel"/>
    <w:tmpl w:val="CC3EEB9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528282C"/>
    <w:multiLevelType w:val="hybridMultilevel"/>
    <w:tmpl w:val="426CA84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F8445A"/>
    <w:multiLevelType w:val="hybridMultilevel"/>
    <w:tmpl w:val="D2E070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5"/>
  </w:num>
  <w:num w:numId="5">
    <w:abstractNumId w:val="8"/>
  </w:num>
  <w:num w:numId="6">
    <w:abstractNumId w:val="0"/>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8"/>
    <w:rsid w:val="000C26D4"/>
    <w:rsid w:val="000E6388"/>
    <w:rsid w:val="00263E21"/>
    <w:rsid w:val="00375FEA"/>
    <w:rsid w:val="003837FD"/>
    <w:rsid w:val="004876A9"/>
    <w:rsid w:val="00574A21"/>
    <w:rsid w:val="006E6715"/>
    <w:rsid w:val="00776DC9"/>
    <w:rsid w:val="007C5912"/>
    <w:rsid w:val="00AA6F8E"/>
    <w:rsid w:val="00C84245"/>
    <w:rsid w:val="00DA5466"/>
    <w:rsid w:val="00DD66E3"/>
    <w:rsid w:val="00DF5BD2"/>
    <w:rsid w:val="00EA6E20"/>
    <w:rsid w:val="00F3260C"/>
    <w:rsid w:val="00F41F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30E5"/>
  <w15:chartTrackingRefBased/>
  <w15:docId w15:val="{D5179032-BE8F-4889-9B99-73141514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88"/>
  </w:style>
  <w:style w:type="paragraph" w:styleId="Ttulo1">
    <w:name w:val="heading 1"/>
    <w:basedOn w:val="Normal"/>
    <w:next w:val="Normal"/>
    <w:link w:val="Ttulo1Car"/>
    <w:uiPriority w:val="9"/>
    <w:qFormat/>
    <w:rsid w:val="00F326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326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A6E20"/>
    <w:rPr>
      <w:b/>
      <w:bCs/>
    </w:rPr>
  </w:style>
  <w:style w:type="character" w:styleId="Hipervnculo">
    <w:name w:val="Hyperlink"/>
    <w:basedOn w:val="Fuentedeprrafopredeter"/>
    <w:uiPriority w:val="99"/>
    <w:semiHidden/>
    <w:unhideWhenUsed/>
    <w:rsid w:val="00EA6E20"/>
    <w:rPr>
      <w:color w:val="0000FF"/>
      <w:u w:val="single"/>
    </w:rPr>
  </w:style>
  <w:style w:type="paragraph" w:styleId="Prrafodelista">
    <w:name w:val="List Paragraph"/>
    <w:aliases w:val="CNBV Parrafo1,Parrafo 1,Lista multicolor - Énfasis 11,Lista vistosa - Énfasis 11,Cuadrícula media 1 - Énfasis 21,Cita texto"/>
    <w:basedOn w:val="Normal"/>
    <w:link w:val="PrrafodelistaCar"/>
    <w:uiPriority w:val="34"/>
    <w:qFormat/>
    <w:rsid w:val="00EA6E20"/>
    <w:pPr>
      <w:ind w:left="720"/>
      <w:contextualSpacing/>
    </w:pPr>
  </w:style>
  <w:style w:type="character" w:customStyle="1" w:styleId="Ttulo1Car">
    <w:name w:val="Título 1 Car"/>
    <w:basedOn w:val="Fuentedeprrafopredeter"/>
    <w:link w:val="Ttulo1"/>
    <w:uiPriority w:val="9"/>
    <w:rsid w:val="00F3260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3260C"/>
    <w:rPr>
      <w:rFonts w:asciiTheme="majorHAnsi" w:eastAsiaTheme="majorEastAsia" w:hAnsiTheme="majorHAnsi" w:cstheme="majorBidi"/>
      <w:color w:val="2F5496" w:themeColor="accent1" w:themeShade="BF"/>
      <w:sz w:val="26"/>
      <w:szCs w:val="26"/>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375FE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unhideWhenUsed/>
    <w:qFormat/>
    <w:rsid w:val="00375FEA"/>
    <w:pPr>
      <w:spacing w:after="0" w:line="240" w:lineRule="auto"/>
    </w:pPr>
    <w:rPr>
      <w:rFonts w:ascii="Calibri" w:eastAsia="Calibri" w:hAnsi="Calibri" w:cs="Times New Roman"/>
      <w:sz w:val="20"/>
      <w:szCs w:val="20"/>
      <w:lang w:val="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75FEA"/>
    <w:rPr>
      <w:rFonts w:ascii="Calibri" w:eastAsia="Calibri" w:hAnsi="Calibri" w:cs="Times New Roman"/>
      <w:sz w:val="20"/>
      <w:szCs w:val="20"/>
      <w:lang w:val="x-none"/>
    </w:rPr>
  </w:style>
  <w:style w:type="table" w:styleId="Tablaconcuadrcula">
    <w:name w:val="Table Grid"/>
    <w:basedOn w:val="Tablanormal"/>
    <w:uiPriority w:val="59"/>
    <w:rsid w:val="0037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375FEA"/>
    <w:rPr>
      <w:lang w:val="es-ES_tradnl"/>
    </w:rPr>
  </w:style>
  <w:style w:type="paragraph" w:customStyle="1" w:styleId="Cuerpo">
    <w:name w:val="Cuerpo"/>
    <w:rsid w:val="00375FE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375FEA"/>
    <w:pPr>
      <w:spacing w:after="0" w:line="240" w:lineRule="auto"/>
      <w:jc w:val="both"/>
    </w:pPr>
    <w:rPr>
      <w:vertAlign w:val="superscript"/>
    </w:rPr>
  </w:style>
  <w:style w:type="paragraph" w:styleId="NormalWeb">
    <w:name w:val="Normal (Web)"/>
    <w:aliases w:val="Normal (Web) Car Car Car Car Car,Normal (Web) Car1,Normal (Web) Car Car,Normal (Web) Car1 Car Car,Normal (Web) Car Car Car Car,Normal (Web) Car Car Car Car Car Car,Normal (Web) Car Car Car Car Car Car Car Car Car Car,Car Car Car Car,Car Car"/>
    <w:basedOn w:val="Normal"/>
    <w:link w:val="NormalWebCar"/>
    <w:uiPriority w:val="99"/>
    <w:unhideWhenUsed/>
    <w:qFormat/>
    <w:rsid w:val="00375F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WebCar">
    <w:name w:val="Normal (Web) Car"/>
    <w:aliases w:val="Normal (Web) Car Car Car Car Car Car1,Normal (Web) Car1 Car,Normal (Web) Car Car Car,Normal (Web) Car1 Car Car Car,Normal (Web) Car Car Car Car Car1,Normal (Web) Car Car Car Car Car Car Car,Car Car Car Car Car,Car Car Car"/>
    <w:link w:val="NormalWeb"/>
    <w:uiPriority w:val="99"/>
    <w:locked/>
    <w:rsid w:val="00375FEA"/>
    <w:rPr>
      <w:rFonts w:ascii="Times New Roman" w:eastAsia="Times New Roman" w:hAnsi="Times New Roman" w:cs="Times New Roman"/>
      <w:sz w:val="24"/>
      <w:szCs w:val="24"/>
      <w:lang w:eastAsia="es-MX"/>
    </w:rPr>
  </w:style>
  <w:style w:type="paragraph" w:styleId="Sinespaciado">
    <w:name w:val="No Spacing"/>
    <w:uiPriority w:val="1"/>
    <w:qFormat/>
    <w:rsid w:val="00375FEA"/>
    <w:pPr>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CNBV Parrafo1 Car,Parrafo 1 Car,Lista multicolor - Énfasis 11 Car,Lista vistosa - Énfasis 11 Car,Cuadrícula media 1 - Énfasis 21 Car,Cita texto Car"/>
    <w:link w:val="Prrafodelista"/>
    <w:uiPriority w:val="34"/>
    <w:locked/>
    <w:rsid w:val="0037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184926">
      <w:bodyDiv w:val="1"/>
      <w:marLeft w:val="0"/>
      <w:marRight w:val="0"/>
      <w:marTop w:val="0"/>
      <w:marBottom w:val="0"/>
      <w:divBdr>
        <w:top w:val="none" w:sz="0" w:space="0" w:color="auto"/>
        <w:left w:val="none" w:sz="0" w:space="0" w:color="auto"/>
        <w:bottom w:val="none" w:sz="0" w:space="0" w:color="auto"/>
        <w:right w:val="none" w:sz="0" w:space="0" w:color="auto"/>
      </w:divBdr>
      <w:divsChild>
        <w:div w:id="725226544">
          <w:marLeft w:val="0"/>
          <w:marRight w:val="0"/>
          <w:marTop w:val="0"/>
          <w:marBottom w:val="0"/>
          <w:divBdr>
            <w:top w:val="none" w:sz="0" w:space="0" w:color="auto"/>
            <w:left w:val="none" w:sz="0" w:space="0" w:color="auto"/>
            <w:bottom w:val="none" w:sz="0" w:space="0" w:color="auto"/>
            <w:right w:val="none" w:sz="0" w:space="0" w:color="auto"/>
          </w:divBdr>
        </w:div>
        <w:div w:id="2107576155">
          <w:marLeft w:val="0"/>
          <w:marRight w:val="0"/>
          <w:marTop w:val="0"/>
          <w:marBottom w:val="0"/>
          <w:divBdr>
            <w:top w:val="none" w:sz="0" w:space="0" w:color="auto"/>
            <w:left w:val="none" w:sz="0" w:space="0" w:color="auto"/>
            <w:bottom w:val="none" w:sz="0" w:space="0" w:color="auto"/>
            <w:right w:val="none" w:sz="0" w:space="0" w:color="auto"/>
          </w:divBdr>
        </w:div>
        <w:div w:id="290668916">
          <w:marLeft w:val="0"/>
          <w:marRight w:val="0"/>
          <w:marTop w:val="0"/>
          <w:marBottom w:val="0"/>
          <w:divBdr>
            <w:top w:val="none" w:sz="0" w:space="0" w:color="auto"/>
            <w:left w:val="none" w:sz="0" w:space="0" w:color="auto"/>
            <w:bottom w:val="none" w:sz="0" w:space="0" w:color="auto"/>
            <w:right w:val="none" w:sz="0" w:space="0" w:color="auto"/>
          </w:divBdr>
        </w:div>
        <w:div w:id="195240829">
          <w:marLeft w:val="0"/>
          <w:marRight w:val="0"/>
          <w:marTop w:val="0"/>
          <w:marBottom w:val="0"/>
          <w:divBdr>
            <w:top w:val="none" w:sz="0" w:space="0" w:color="auto"/>
            <w:left w:val="none" w:sz="0" w:space="0" w:color="auto"/>
            <w:bottom w:val="none" w:sz="0" w:space="0" w:color="auto"/>
            <w:right w:val="none" w:sz="0" w:space="0" w:color="auto"/>
          </w:divBdr>
        </w:div>
        <w:div w:id="32343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VIII/2018&amp;tpoBusqueda=S&amp;sWord=TESIS,XXVIII/2018" TargetMode="External"/><Relationship Id="rId13" Type="http://schemas.openxmlformats.org/officeDocument/2006/relationships/hyperlink" Target="http://portal.te.gob.mx/colecciones/sentencias/html/SUP/2017/AG/SUP-AG-00092-2017.htm" TargetMode="External"/><Relationship Id="rId3" Type="http://schemas.openxmlformats.org/officeDocument/2006/relationships/settings" Target="settings.xml"/><Relationship Id="rId7" Type="http://schemas.openxmlformats.org/officeDocument/2006/relationships/hyperlink" Target="https://www.te.gob.mx/IUSEapp/tesisjur.aspx?idtesis=XXVIII/2018&amp;tpoBusqueda=S&amp;sWord=TESIS,XXVIII/2018" TargetMode="External"/><Relationship Id="rId12" Type="http://schemas.openxmlformats.org/officeDocument/2006/relationships/hyperlink" Target="http://portal.te.gob.mx/colecciones/sentencias/html/SUP/2018/AG/SUP-AG-00040-2018-Acuerdo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7/AG/SUP-AG-00092-2017.htm" TargetMode="External"/><Relationship Id="rId5" Type="http://schemas.openxmlformats.org/officeDocument/2006/relationships/footnotes" Target="footnotes.xml"/><Relationship Id="rId15" Type="http://schemas.openxmlformats.org/officeDocument/2006/relationships/hyperlink" Target="http://portal.te.gob.mx/colecciones/sentencias/html/SUP/2018/AG/SUP-AG-00040-2018-Acuerdo1.htm" TargetMode="External"/><Relationship Id="rId10" Type="http://schemas.openxmlformats.org/officeDocument/2006/relationships/hyperlink" Target="https://www.te.gob.mx/IUSEapp/tesisjur.aspx?idtesis=XXVIII/2018&amp;tpoBusqueda=S&amp;sWord=TESIS,XXVIII/2018" TargetMode="External"/><Relationship Id="rId4" Type="http://schemas.openxmlformats.org/officeDocument/2006/relationships/webSettings" Target="webSettings.xml"/><Relationship Id="rId9" Type="http://schemas.openxmlformats.org/officeDocument/2006/relationships/hyperlink" Target="https://www.te.gob.mx/IUSEapp/tesisjur.aspx?idtesis=XXVIII/2018&amp;tpoBusqueda=S&amp;sWord=TESIS,XXVIII/2018"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6971</Words>
  <Characters>38345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15</cp:revision>
  <dcterms:created xsi:type="dcterms:W3CDTF">2020-11-22T17:46:00Z</dcterms:created>
  <dcterms:modified xsi:type="dcterms:W3CDTF">2020-11-22T18:21:00Z</dcterms:modified>
</cp:coreProperties>
</file>