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76915A" w14:textId="64CAED3A" w:rsidR="003837FD" w:rsidRDefault="00A202AB" w:rsidP="009036BA">
      <w:pPr>
        <w:pStyle w:val="Ttulo1"/>
        <w:jc w:val="center"/>
        <w:rPr>
          <w:rFonts w:ascii="Gadugi" w:eastAsia="Times New Roman" w:hAnsi="Gadugi" w:cs="Times New Roman"/>
          <w:b/>
          <w:color w:val="C00000"/>
          <w:sz w:val="24"/>
          <w:szCs w:val="24"/>
          <w:lang w:eastAsia="es-MX"/>
        </w:rPr>
      </w:pPr>
      <w:r w:rsidRPr="00A202AB">
        <w:rPr>
          <w:rFonts w:ascii="Gadugi" w:eastAsia="Times New Roman" w:hAnsi="Gadugi" w:cs="Times New Roman"/>
          <w:b/>
          <w:color w:val="C00000"/>
          <w:sz w:val="24"/>
          <w:szCs w:val="24"/>
          <w:lang w:eastAsia="es-MX"/>
        </w:rPr>
        <w:t>TESIS XXVII/2016</w:t>
      </w:r>
    </w:p>
    <w:p w14:paraId="57FBAC9A" w14:textId="77777777" w:rsidR="009036BA" w:rsidRPr="009036BA" w:rsidRDefault="009036BA" w:rsidP="009036BA">
      <w:pPr>
        <w:rPr>
          <w:lang w:eastAsia="es-MX"/>
        </w:rPr>
      </w:pPr>
    </w:p>
    <w:tbl>
      <w:tblPr>
        <w:tblW w:w="15360" w:type="dxa"/>
        <w:tblCellSpacing w:w="15" w:type="dxa"/>
        <w:tblCellMar>
          <w:top w:w="15" w:type="dxa"/>
          <w:left w:w="15" w:type="dxa"/>
          <w:bottom w:w="15" w:type="dxa"/>
          <w:right w:w="15" w:type="dxa"/>
        </w:tblCellMar>
        <w:tblLook w:val="04A0" w:firstRow="1" w:lastRow="0" w:firstColumn="1" w:lastColumn="0" w:noHBand="0" w:noVBand="1"/>
      </w:tblPr>
      <w:tblGrid>
        <w:gridCol w:w="15360"/>
      </w:tblGrid>
      <w:tr w:rsidR="009036BA" w:rsidRPr="009036BA" w14:paraId="4B2625E2" w14:textId="77777777" w:rsidTr="009036BA">
        <w:trPr>
          <w:tblCellSpacing w:w="15" w:type="dxa"/>
        </w:trPr>
        <w:tc>
          <w:tcPr>
            <w:tcW w:w="7500" w:type="dxa"/>
            <w:vAlign w:val="center"/>
            <w:hideMark/>
          </w:tcPr>
          <w:p w14:paraId="40E92466" w14:textId="3484C6C9" w:rsidR="009036BA" w:rsidRPr="009036BA" w:rsidRDefault="009036BA" w:rsidP="009036BA">
            <w:pPr>
              <w:spacing w:after="0" w:line="240" w:lineRule="auto"/>
              <w:rPr>
                <w:rFonts w:ascii="Times New Roman" w:eastAsia="Times New Roman" w:hAnsi="Times New Roman" w:cs="Times New Roman"/>
                <w:sz w:val="24"/>
                <w:szCs w:val="24"/>
                <w:lang w:eastAsia="es-MX"/>
              </w:rPr>
            </w:pPr>
            <w:r w:rsidRPr="009036BA">
              <w:rPr>
                <w:rFonts w:ascii="Times New Roman" w:eastAsia="Times New Roman" w:hAnsi="Times New Roman" w:cs="Times New Roman"/>
                <w:b/>
                <w:bCs/>
                <w:sz w:val="24"/>
                <w:szCs w:val="24"/>
                <w:lang w:eastAsia="es-MX"/>
              </w:rPr>
              <w:t>Ana Teresa Aranda Orozco y otra</w:t>
            </w:r>
            <w:r w:rsidRPr="009036BA">
              <w:rPr>
                <w:rFonts w:ascii="Times New Roman" w:eastAsia="Times New Roman" w:hAnsi="Times New Roman" w:cs="Times New Roman"/>
                <w:sz w:val="24"/>
                <w:szCs w:val="24"/>
                <w:lang w:eastAsia="es-MX"/>
              </w:rPr>
              <w:br/>
            </w:r>
            <w:r w:rsidRPr="009036BA">
              <w:rPr>
                <w:rFonts w:ascii="Times New Roman" w:eastAsia="Times New Roman" w:hAnsi="Times New Roman" w:cs="Times New Roman"/>
                <w:b/>
                <w:bCs/>
                <w:sz w:val="24"/>
                <w:szCs w:val="24"/>
                <w:lang w:eastAsia="es-MX"/>
              </w:rPr>
              <w:t>vs.</w:t>
            </w:r>
            <w:r w:rsidRPr="009036BA">
              <w:rPr>
                <w:rFonts w:ascii="Times New Roman" w:eastAsia="Times New Roman" w:hAnsi="Times New Roman" w:cs="Times New Roman"/>
                <w:sz w:val="24"/>
                <w:szCs w:val="24"/>
                <w:lang w:eastAsia="es-MX"/>
              </w:rPr>
              <w:br/>
            </w:r>
            <w:r w:rsidRPr="009036BA">
              <w:rPr>
                <w:rFonts w:ascii="Times New Roman" w:eastAsia="Times New Roman" w:hAnsi="Times New Roman" w:cs="Times New Roman"/>
                <w:b/>
                <w:bCs/>
                <w:sz w:val="24"/>
                <w:szCs w:val="24"/>
                <w:lang w:eastAsia="es-MX"/>
              </w:rPr>
              <w:t>Consejo General del Instituto Electoral del Estado de Puebla</w:t>
            </w:r>
            <w:r w:rsidRPr="009036BA">
              <w:rPr>
                <w:rFonts w:ascii="Times New Roman" w:eastAsia="Times New Roman" w:hAnsi="Times New Roman" w:cs="Times New Roman"/>
                <w:sz w:val="24"/>
                <w:szCs w:val="24"/>
                <w:lang w:eastAsia="es-MX"/>
              </w:rPr>
              <w:br/>
            </w:r>
            <w:r w:rsidRPr="009036BA">
              <w:rPr>
                <w:rFonts w:ascii="Times New Roman" w:eastAsia="Times New Roman" w:hAnsi="Times New Roman" w:cs="Times New Roman"/>
                <w:sz w:val="24"/>
                <w:szCs w:val="24"/>
                <w:lang w:eastAsia="es-MX"/>
              </w:rPr>
              <w:br/>
            </w:r>
            <w:r w:rsidRPr="009036BA">
              <w:rPr>
                <w:rFonts w:ascii="Times New Roman" w:eastAsia="Times New Roman" w:hAnsi="Times New Roman" w:cs="Times New Roman"/>
                <w:b/>
                <w:bCs/>
                <w:color w:val="990000"/>
                <w:sz w:val="24"/>
                <w:szCs w:val="24"/>
                <w:lang w:eastAsia="es-MX"/>
              </w:rPr>
              <w:t>Tesis</w:t>
            </w:r>
            <w:r w:rsidRPr="009036BA">
              <w:rPr>
                <w:rFonts w:ascii="Times New Roman" w:eastAsia="Times New Roman" w:hAnsi="Times New Roman" w:cs="Times New Roman"/>
                <w:b/>
                <w:bCs/>
                <w:sz w:val="24"/>
                <w:szCs w:val="24"/>
                <w:lang w:eastAsia="es-MX"/>
              </w:rPr>
              <w:t> </w:t>
            </w:r>
            <w:r w:rsidRPr="009036BA">
              <w:rPr>
                <w:rFonts w:ascii="Times New Roman" w:eastAsia="Times New Roman" w:hAnsi="Times New Roman" w:cs="Times New Roman"/>
                <w:b/>
                <w:bCs/>
                <w:color w:val="990000"/>
                <w:sz w:val="24"/>
                <w:szCs w:val="24"/>
                <w:lang w:eastAsia="es-MX"/>
              </w:rPr>
              <w:t>XXVII/2016</w:t>
            </w:r>
            <w:r w:rsidRPr="009036BA">
              <w:rPr>
                <w:rFonts w:ascii="Times New Roman" w:eastAsia="Times New Roman" w:hAnsi="Times New Roman" w:cs="Times New Roman"/>
                <w:sz w:val="24"/>
                <w:szCs w:val="24"/>
                <w:lang w:eastAsia="es-MX"/>
              </w:rPr>
              <w:br/>
            </w:r>
          </w:p>
        </w:tc>
      </w:tr>
    </w:tbl>
    <w:p w14:paraId="11883E39" w14:textId="77777777" w:rsidR="009036BA" w:rsidRPr="009036BA" w:rsidRDefault="009036BA" w:rsidP="009036BA">
      <w:pPr>
        <w:shd w:val="clear" w:color="auto" w:fill="FFFFFF"/>
        <w:spacing w:after="0" w:line="240" w:lineRule="auto"/>
        <w:jc w:val="both"/>
        <w:rPr>
          <w:rFonts w:ascii="Arial" w:eastAsia="Times New Roman" w:hAnsi="Arial" w:cs="Arial"/>
          <w:color w:val="000000"/>
          <w:sz w:val="24"/>
          <w:szCs w:val="24"/>
          <w:lang w:eastAsia="es-MX"/>
        </w:rPr>
      </w:pPr>
      <w:r w:rsidRPr="009036BA">
        <w:rPr>
          <w:rFonts w:ascii="Arial" w:eastAsia="Times New Roman" w:hAnsi="Arial" w:cs="Arial"/>
          <w:b/>
          <w:bCs/>
          <w:color w:val="000000"/>
          <w:sz w:val="24"/>
          <w:szCs w:val="24"/>
          <w:lang w:eastAsia="es-MX"/>
        </w:rPr>
        <w:t>AUTORIDADES ELECTORALES. LA PROPAGANDA INSTITUCIONAL DIRIGIDA A PROMOVER LA PARTICIPACIÓN POLÍTICA DE LA CIUDADANÍA DEBE EMPLEAR LENGUAJE INCLUYENTE EN ARAS DE GARANTIZAR EL PRINCIPIO DE IGUALDAD.- </w:t>
      </w:r>
      <w:r w:rsidRPr="009036BA">
        <w:rPr>
          <w:rFonts w:ascii="Arial" w:eastAsia="Times New Roman" w:hAnsi="Arial" w:cs="Arial"/>
          <w:color w:val="000000"/>
          <w:sz w:val="24"/>
          <w:szCs w:val="24"/>
          <w:lang w:eastAsia="es-MX"/>
        </w:rPr>
        <w:t>De la interpretación sistemática y funcional de los artículos 1°, 4°, 35 y 41, de la Constitución Política de los Estados Unidos Mexicanos; </w:t>
      </w:r>
      <w:hyperlink r:id="rId7" w:history="1">
        <w:r w:rsidRPr="009036BA">
          <w:rPr>
            <w:rFonts w:ascii="Arial" w:eastAsia="Times New Roman" w:hAnsi="Arial" w:cs="Arial"/>
            <w:color w:val="006633"/>
            <w:sz w:val="24"/>
            <w:szCs w:val="24"/>
            <w:u w:val="single"/>
            <w:lang w:eastAsia="es-MX"/>
          </w:rPr>
          <w:t>2, 3 y 26, del Pacto Internacional de Derechos Civiles y Políticos</w:t>
        </w:r>
      </w:hyperlink>
      <w:r w:rsidRPr="009036BA">
        <w:rPr>
          <w:rFonts w:ascii="Arial" w:eastAsia="Times New Roman" w:hAnsi="Arial" w:cs="Arial"/>
          <w:color w:val="000000"/>
          <w:sz w:val="24"/>
          <w:szCs w:val="24"/>
          <w:lang w:eastAsia="es-MX"/>
        </w:rPr>
        <w:t>; </w:t>
      </w:r>
      <w:hyperlink r:id="rId8" w:history="1">
        <w:r w:rsidRPr="009036BA">
          <w:rPr>
            <w:rFonts w:ascii="Arial" w:eastAsia="Times New Roman" w:hAnsi="Arial" w:cs="Arial"/>
            <w:color w:val="006633"/>
            <w:sz w:val="24"/>
            <w:szCs w:val="24"/>
            <w:u w:val="single"/>
            <w:lang w:eastAsia="es-MX"/>
          </w:rPr>
          <w:t>1 y 24, de la Convención Americana sobre Derechos Humanos</w:t>
        </w:r>
      </w:hyperlink>
      <w:r w:rsidRPr="009036BA">
        <w:rPr>
          <w:rFonts w:ascii="Arial" w:eastAsia="Times New Roman" w:hAnsi="Arial" w:cs="Arial"/>
          <w:color w:val="000000"/>
          <w:sz w:val="24"/>
          <w:szCs w:val="24"/>
          <w:lang w:eastAsia="es-MX"/>
        </w:rPr>
        <w:t>; </w:t>
      </w:r>
      <w:hyperlink r:id="rId9" w:history="1">
        <w:r w:rsidRPr="009036BA">
          <w:rPr>
            <w:rFonts w:ascii="Arial" w:eastAsia="Times New Roman" w:hAnsi="Arial" w:cs="Arial"/>
            <w:color w:val="006633"/>
            <w:sz w:val="24"/>
            <w:szCs w:val="24"/>
            <w:u w:val="single"/>
            <w:lang w:eastAsia="es-MX"/>
          </w:rPr>
          <w:t>1, 2, 3, 5, inciso a) y 7, de la Convención sobre la Eliminación de Todas las Formas de Discriminación contra la Mujer</w:t>
        </w:r>
      </w:hyperlink>
      <w:r w:rsidRPr="009036BA">
        <w:rPr>
          <w:rFonts w:ascii="Arial" w:eastAsia="Times New Roman" w:hAnsi="Arial" w:cs="Arial"/>
          <w:color w:val="000000"/>
          <w:sz w:val="24"/>
          <w:szCs w:val="24"/>
          <w:lang w:eastAsia="es-MX"/>
        </w:rPr>
        <w:t>; </w:t>
      </w:r>
      <w:hyperlink r:id="rId10" w:history="1">
        <w:r w:rsidRPr="009036BA">
          <w:rPr>
            <w:rFonts w:ascii="Arial" w:eastAsia="Times New Roman" w:hAnsi="Arial" w:cs="Arial"/>
            <w:color w:val="006633"/>
            <w:sz w:val="24"/>
            <w:szCs w:val="24"/>
            <w:u w:val="single"/>
            <w:lang w:eastAsia="es-MX"/>
          </w:rPr>
          <w:t>4, inciso j) y 6, inciso b), de la Convención Interamericana para Prevenir, Sancionar y Erradicar la Violencia contra la Mujer</w:t>
        </w:r>
      </w:hyperlink>
      <w:r w:rsidRPr="009036BA">
        <w:rPr>
          <w:rFonts w:ascii="Arial" w:eastAsia="Times New Roman" w:hAnsi="Arial" w:cs="Arial"/>
          <w:color w:val="000000"/>
          <w:sz w:val="24"/>
          <w:szCs w:val="24"/>
          <w:lang w:eastAsia="es-MX"/>
        </w:rPr>
        <w:t>; </w:t>
      </w:r>
      <w:hyperlink r:id="rId11" w:history="1">
        <w:r w:rsidRPr="009036BA">
          <w:rPr>
            <w:rFonts w:ascii="Arial" w:eastAsia="Times New Roman" w:hAnsi="Arial" w:cs="Arial"/>
            <w:color w:val="006633"/>
            <w:sz w:val="24"/>
            <w:szCs w:val="24"/>
            <w:u w:val="single"/>
            <w:lang w:eastAsia="es-MX"/>
          </w:rPr>
          <w:t>1, párrafo 2, y 6, de la Convención Interamericana contra toda forma de Discriminación e Intolerancia</w:t>
        </w:r>
      </w:hyperlink>
      <w:r w:rsidRPr="009036BA">
        <w:rPr>
          <w:rFonts w:ascii="Arial" w:eastAsia="Times New Roman" w:hAnsi="Arial" w:cs="Arial"/>
          <w:color w:val="000000"/>
          <w:sz w:val="24"/>
          <w:szCs w:val="24"/>
          <w:lang w:eastAsia="es-MX"/>
        </w:rPr>
        <w:t>; 36, fracción VI, de la Ley General para la Igualdad entre Mujeres y Hombres; y, 2, 9, fracciones VIII y XIII, 15 bis y 15 ter, fracción I, de la Ley Federal para Prevenir y Eliminar la Discriminación, se obtiene que el principio de igualdad entre mujeres y hombres se configura como un valor superior del sistema jurídico nacional; su cumplimiento por parte de todas las autoridades es precondición para el ejercicio pleno de los derechos de la ciudadanía, lo que implica que ha de servir de criterio básico para la interpretación y aplicación de las normas electorales; de esa forma, resulta inadmisible crear desigualdades de tratamiento por razón de género. En ese contexto, las autoridades electorales tienen el deber reforzado de hacer efectiva la participación política de todas las personas en igualdad real de oportunidades, evitando patrones socioculturales, prejuicios, estereotipos y prácticas consuetudinarias de cualquier otra índole basadas en la idea de prevalencia de uno de los sexos sobre el otro. Por ello, las autoridades electorales deben utilizar un lenguaje incluyente, como elemento consustancial del principio de igualdad, en su propaganda institucional dirigida a la ciudadanía para promover su participación política por medio del voto, tanto en los conceptos que utilicen, como en los propios contenidos de la propaganda.</w:t>
      </w:r>
    </w:p>
    <w:p w14:paraId="32C7D27F" w14:textId="77777777" w:rsidR="009036BA" w:rsidRPr="009036BA" w:rsidRDefault="009036BA" w:rsidP="009036BA">
      <w:pPr>
        <w:shd w:val="clear" w:color="auto" w:fill="FFFFFF"/>
        <w:spacing w:after="0" w:line="240" w:lineRule="auto"/>
        <w:jc w:val="both"/>
        <w:rPr>
          <w:rFonts w:ascii="Arial" w:eastAsia="Times New Roman" w:hAnsi="Arial" w:cs="Arial"/>
          <w:color w:val="000000"/>
          <w:sz w:val="24"/>
          <w:szCs w:val="24"/>
          <w:lang w:eastAsia="es-MX"/>
        </w:rPr>
      </w:pPr>
      <w:r w:rsidRPr="009036BA">
        <w:rPr>
          <w:rFonts w:ascii="Arial" w:eastAsia="Times New Roman" w:hAnsi="Arial" w:cs="Arial"/>
          <w:color w:val="000000"/>
          <w:sz w:val="24"/>
          <w:szCs w:val="24"/>
          <w:lang w:eastAsia="es-MX"/>
        </w:rPr>
        <w:br/>
      </w:r>
      <w:r w:rsidRPr="009036BA">
        <w:rPr>
          <w:rFonts w:ascii="Arial" w:eastAsia="Times New Roman" w:hAnsi="Arial" w:cs="Arial"/>
          <w:color w:val="000000"/>
          <w:sz w:val="24"/>
          <w:szCs w:val="24"/>
          <w:lang w:eastAsia="es-MX"/>
        </w:rPr>
        <w:br/>
      </w:r>
      <w:r w:rsidRPr="009036BA">
        <w:rPr>
          <w:rFonts w:ascii="Arial" w:eastAsia="Times New Roman" w:hAnsi="Arial" w:cs="Arial"/>
          <w:b/>
          <w:bCs/>
          <w:color w:val="000000"/>
          <w:sz w:val="24"/>
          <w:szCs w:val="24"/>
          <w:lang w:eastAsia="es-MX"/>
        </w:rPr>
        <w:t>Quinta Época:</w:t>
      </w:r>
    </w:p>
    <w:p w14:paraId="022A3F23" w14:textId="77777777" w:rsidR="009036BA" w:rsidRDefault="009036BA" w:rsidP="009036BA">
      <w:pPr>
        <w:shd w:val="clear" w:color="auto" w:fill="FFFFFF"/>
        <w:spacing w:after="0" w:line="240" w:lineRule="auto"/>
        <w:jc w:val="both"/>
        <w:rPr>
          <w:rFonts w:ascii="Arial" w:eastAsia="Times New Roman" w:hAnsi="Arial" w:cs="Arial"/>
          <w:i/>
          <w:iCs/>
          <w:color w:val="000000"/>
          <w:sz w:val="24"/>
          <w:szCs w:val="24"/>
          <w:lang w:eastAsia="es-MX"/>
        </w:rPr>
      </w:pPr>
      <w:r w:rsidRPr="009036BA">
        <w:rPr>
          <w:rFonts w:ascii="Arial" w:eastAsia="Times New Roman" w:hAnsi="Arial" w:cs="Arial"/>
          <w:i/>
          <w:iCs/>
          <w:color w:val="000000"/>
          <w:sz w:val="24"/>
          <w:szCs w:val="24"/>
          <w:lang w:eastAsia="es-MX"/>
        </w:rPr>
        <w:br/>
      </w:r>
      <w:r w:rsidRPr="009036BA">
        <w:rPr>
          <w:rFonts w:ascii="Arial" w:eastAsia="Times New Roman" w:hAnsi="Arial" w:cs="Arial"/>
          <w:i/>
          <w:iCs/>
          <w:color w:val="000000"/>
          <w:sz w:val="24"/>
          <w:szCs w:val="24"/>
          <w:lang w:eastAsia="es-MX"/>
        </w:rPr>
        <w:br/>
        <w:t>Juicio para la protección de los derechos político-electorales del ciudadano. </w:t>
      </w:r>
      <w:hyperlink r:id="rId12" w:tgtFrame="_blank" w:history="1">
        <w:r w:rsidRPr="009036BA">
          <w:rPr>
            <w:rFonts w:ascii="Arial" w:eastAsia="Times New Roman" w:hAnsi="Arial" w:cs="Arial"/>
            <w:i/>
            <w:iCs/>
            <w:color w:val="006633"/>
            <w:sz w:val="24"/>
            <w:szCs w:val="24"/>
            <w:u w:val="single"/>
            <w:lang w:eastAsia="es-MX"/>
          </w:rPr>
          <w:t>SUP-JDC-1619/2016</w:t>
        </w:r>
      </w:hyperlink>
      <w:r w:rsidRPr="009036BA">
        <w:rPr>
          <w:rFonts w:ascii="Arial" w:eastAsia="Times New Roman" w:hAnsi="Arial" w:cs="Arial"/>
          <w:i/>
          <w:iCs/>
          <w:color w:val="000000"/>
          <w:sz w:val="24"/>
          <w:szCs w:val="24"/>
          <w:lang w:eastAsia="es-MX"/>
        </w:rPr>
        <w:t xml:space="preserve"> y </w:t>
      </w:r>
      <w:proofErr w:type="gramStart"/>
      <w:r w:rsidRPr="009036BA">
        <w:rPr>
          <w:rFonts w:ascii="Arial" w:eastAsia="Times New Roman" w:hAnsi="Arial" w:cs="Arial"/>
          <w:i/>
          <w:iCs/>
          <w:color w:val="000000"/>
          <w:sz w:val="24"/>
          <w:szCs w:val="24"/>
          <w:lang w:eastAsia="es-MX"/>
        </w:rPr>
        <w:t>acumulado.—</w:t>
      </w:r>
      <w:proofErr w:type="gramEnd"/>
      <w:r w:rsidRPr="009036BA">
        <w:rPr>
          <w:rFonts w:ascii="Arial" w:eastAsia="Times New Roman" w:hAnsi="Arial" w:cs="Arial"/>
          <w:i/>
          <w:iCs/>
          <w:color w:val="000000"/>
          <w:sz w:val="24"/>
          <w:szCs w:val="24"/>
          <w:lang w:eastAsia="es-MX"/>
        </w:rPr>
        <w:t xml:space="preserve">Actoras: Ana Teresa Aranda Orozco y otra.—Autoridad responsable: Consejo General del Instituto Electoral del Estado de Puebla.—23 de mayo de 2016.—Unanimidad de votos, con la precisión de que el Magistrado Flavio Galván Rivera vota a favor de los resolutivos, sin compartir las </w:t>
      </w:r>
      <w:r w:rsidRPr="009036BA">
        <w:rPr>
          <w:rFonts w:ascii="Arial" w:eastAsia="Times New Roman" w:hAnsi="Arial" w:cs="Arial"/>
          <w:i/>
          <w:iCs/>
          <w:color w:val="000000"/>
          <w:sz w:val="24"/>
          <w:szCs w:val="24"/>
          <w:lang w:eastAsia="es-MX"/>
        </w:rPr>
        <w:lastRenderedPageBreak/>
        <w:t xml:space="preserve">consideraciones.—Ponente: Constancio Carrasco Daza.—Ausente: Pedro Esteban Penagos López.—Secretario: Hugo Balderas </w:t>
      </w:r>
      <w:proofErr w:type="spellStart"/>
      <w:r w:rsidRPr="009036BA">
        <w:rPr>
          <w:rFonts w:ascii="Arial" w:eastAsia="Times New Roman" w:hAnsi="Arial" w:cs="Arial"/>
          <w:i/>
          <w:iCs/>
          <w:color w:val="000000"/>
          <w:sz w:val="24"/>
          <w:szCs w:val="24"/>
          <w:lang w:eastAsia="es-MX"/>
        </w:rPr>
        <w:t>Alfonseca</w:t>
      </w:r>
      <w:proofErr w:type="spellEnd"/>
      <w:r w:rsidRPr="009036BA">
        <w:rPr>
          <w:rFonts w:ascii="Arial" w:eastAsia="Times New Roman" w:hAnsi="Arial" w:cs="Arial"/>
          <w:i/>
          <w:iCs/>
          <w:color w:val="000000"/>
          <w:sz w:val="24"/>
          <w:szCs w:val="24"/>
          <w:lang w:eastAsia="es-MX"/>
        </w:rPr>
        <w:t>.</w:t>
      </w:r>
    </w:p>
    <w:p w14:paraId="36E3180C" w14:textId="29C4CEC0" w:rsidR="009036BA" w:rsidRPr="009036BA" w:rsidRDefault="009036BA" w:rsidP="009036BA">
      <w:pPr>
        <w:shd w:val="clear" w:color="auto" w:fill="FFFFFF"/>
        <w:spacing w:after="0" w:line="240" w:lineRule="auto"/>
        <w:jc w:val="both"/>
        <w:rPr>
          <w:rFonts w:ascii="Arial" w:eastAsia="Times New Roman" w:hAnsi="Arial" w:cs="Arial"/>
          <w:color w:val="000000"/>
          <w:sz w:val="24"/>
          <w:szCs w:val="24"/>
          <w:lang w:eastAsia="es-MX"/>
        </w:rPr>
      </w:pPr>
      <w:r w:rsidRPr="009036BA">
        <w:rPr>
          <w:rFonts w:ascii="Arial" w:eastAsia="Times New Roman" w:hAnsi="Arial" w:cs="Arial"/>
          <w:i/>
          <w:iCs/>
          <w:color w:val="000000"/>
          <w:sz w:val="24"/>
          <w:szCs w:val="24"/>
          <w:lang w:eastAsia="es-MX"/>
        </w:rPr>
        <w:br/>
      </w:r>
      <w:hyperlink r:id="rId13" w:history="1">
        <w:r w:rsidRPr="009036BA">
          <w:rPr>
            <w:rFonts w:ascii="Arial" w:eastAsia="Times New Roman" w:hAnsi="Arial" w:cs="Arial"/>
            <w:i/>
            <w:iCs/>
            <w:color w:val="0000FF"/>
            <w:sz w:val="24"/>
            <w:szCs w:val="24"/>
            <w:u w:val="single"/>
            <w:lang w:eastAsia="es-MX"/>
          </w:rPr>
          <w:t>Ver casos relacionados</w:t>
        </w:r>
      </w:hyperlink>
    </w:p>
    <w:p w14:paraId="6BACA1C0" w14:textId="77777777" w:rsidR="009036BA" w:rsidRDefault="009036BA" w:rsidP="009036BA">
      <w:pPr>
        <w:shd w:val="clear" w:color="auto" w:fill="FFFFFF"/>
        <w:spacing w:after="0" w:line="240" w:lineRule="auto"/>
        <w:jc w:val="both"/>
        <w:rPr>
          <w:rFonts w:ascii="Arial" w:eastAsia="Times New Roman" w:hAnsi="Arial" w:cs="Arial"/>
          <w:b/>
          <w:bCs/>
          <w:color w:val="000000"/>
          <w:sz w:val="24"/>
          <w:szCs w:val="24"/>
          <w:lang w:eastAsia="es-MX"/>
        </w:rPr>
      </w:pPr>
      <w:r w:rsidRPr="009036BA">
        <w:rPr>
          <w:rFonts w:ascii="Arial" w:eastAsia="Times New Roman" w:hAnsi="Arial" w:cs="Arial"/>
          <w:color w:val="000000"/>
          <w:sz w:val="24"/>
          <w:szCs w:val="24"/>
          <w:lang w:eastAsia="es-MX"/>
        </w:rPr>
        <w:br/>
      </w:r>
      <w:r w:rsidRPr="009036BA">
        <w:rPr>
          <w:rFonts w:ascii="Arial" w:eastAsia="Times New Roman" w:hAnsi="Arial" w:cs="Arial"/>
          <w:color w:val="000000"/>
          <w:sz w:val="24"/>
          <w:szCs w:val="24"/>
          <w:lang w:eastAsia="es-MX"/>
        </w:rPr>
        <w:br/>
      </w:r>
      <w:r w:rsidRPr="009036BA">
        <w:rPr>
          <w:rFonts w:ascii="Arial" w:eastAsia="Times New Roman" w:hAnsi="Arial" w:cs="Arial"/>
          <w:b/>
          <w:bCs/>
          <w:color w:val="000000"/>
          <w:sz w:val="24"/>
          <w:szCs w:val="24"/>
          <w:lang w:eastAsia="es-MX"/>
        </w:rPr>
        <w:t xml:space="preserve">La Sala Superior en sesión pública celebrada el primero de junio de dos mil dieciséis, aprobó por unanimidad de votos, con la ausencia de la Magistrada María del Carmen </w:t>
      </w:r>
      <w:proofErr w:type="spellStart"/>
      <w:r w:rsidRPr="009036BA">
        <w:rPr>
          <w:rFonts w:ascii="Arial" w:eastAsia="Times New Roman" w:hAnsi="Arial" w:cs="Arial"/>
          <w:b/>
          <w:bCs/>
          <w:color w:val="000000"/>
          <w:sz w:val="24"/>
          <w:szCs w:val="24"/>
          <w:lang w:eastAsia="es-MX"/>
        </w:rPr>
        <w:t>Alanis</w:t>
      </w:r>
      <w:proofErr w:type="spellEnd"/>
      <w:r w:rsidRPr="009036BA">
        <w:rPr>
          <w:rFonts w:ascii="Arial" w:eastAsia="Times New Roman" w:hAnsi="Arial" w:cs="Arial"/>
          <w:b/>
          <w:bCs/>
          <w:color w:val="000000"/>
          <w:sz w:val="24"/>
          <w:szCs w:val="24"/>
          <w:lang w:eastAsia="es-MX"/>
        </w:rPr>
        <w:t xml:space="preserve"> Figueroa y del Magistrado Salvador Olimpo Nava </w:t>
      </w:r>
      <w:proofErr w:type="spellStart"/>
      <w:r w:rsidRPr="009036BA">
        <w:rPr>
          <w:rFonts w:ascii="Arial" w:eastAsia="Times New Roman" w:hAnsi="Arial" w:cs="Arial"/>
          <w:b/>
          <w:bCs/>
          <w:color w:val="000000"/>
          <w:sz w:val="24"/>
          <w:szCs w:val="24"/>
          <w:lang w:eastAsia="es-MX"/>
        </w:rPr>
        <w:t>Gomar</w:t>
      </w:r>
      <w:proofErr w:type="spellEnd"/>
      <w:r w:rsidRPr="009036BA">
        <w:rPr>
          <w:rFonts w:ascii="Arial" w:eastAsia="Times New Roman" w:hAnsi="Arial" w:cs="Arial"/>
          <w:b/>
          <w:bCs/>
          <w:color w:val="000000"/>
          <w:sz w:val="24"/>
          <w:szCs w:val="24"/>
          <w:lang w:eastAsia="es-MX"/>
        </w:rPr>
        <w:t>, la </w:t>
      </w:r>
      <w:r w:rsidRPr="009036BA">
        <w:rPr>
          <w:rFonts w:ascii="Arial" w:eastAsia="Times New Roman" w:hAnsi="Arial" w:cs="Arial"/>
          <w:b/>
          <w:bCs/>
          <w:color w:val="990000"/>
          <w:sz w:val="24"/>
          <w:szCs w:val="24"/>
          <w:lang w:eastAsia="es-MX"/>
        </w:rPr>
        <w:t>tesis</w:t>
      </w:r>
      <w:r w:rsidRPr="009036BA">
        <w:rPr>
          <w:rFonts w:ascii="Arial" w:eastAsia="Times New Roman" w:hAnsi="Arial" w:cs="Arial"/>
          <w:b/>
          <w:bCs/>
          <w:color w:val="000000"/>
          <w:sz w:val="24"/>
          <w:szCs w:val="24"/>
          <w:lang w:eastAsia="es-MX"/>
        </w:rPr>
        <w:t> que antecede.</w:t>
      </w:r>
    </w:p>
    <w:p w14:paraId="411E49E5" w14:textId="58C63491" w:rsidR="009036BA" w:rsidRPr="009036BA" w:rsidRDefault="009036BA" w:rsidP="009036BA">
      <w:pPr>
        <w:shd w:val="clear" w:color="auto" w:fill="FFFFFF"/>
        <w:spacing w:after="0" w:line="240" w:lineRule="auto"/>
        <w:jc w:val="both"/>
        <w:rPr>
          <w:rFonts w:ascii="Arial" w:eastAsia="Times New Roman" w:hAnsi="Arial" w:cs="Arial"/>
          <w:color w:val="000000"/>
          <w:sz w:val="24"/>
          <w:szCs w:val="24"/>
          <w:lang w:eastAsia="es-MX"/>
        </w:rPr>
      </w:pPr>
      <w:r w:rsidRPr="009036BA">
        <w:rPr>
          <w:rFonts w:ascii="Arial" w:eastAsia="Times New Roman" w:hAnsi="Arial" w:cs="Arial"/>
          <w:color w:val="000000"/>
          <w:sz w:val="24"/>
          <w:szCs w:val="24"/>
          <w:lang w:eastAsia="es-MX"/>
        </w:rPr>
        <w:br/>
      </w:r>
      <w:r w:rsidRPr="009036BA">
        <w:rPr>
          <w:rFonts w:ascii="Arial" w:eastAsia="Times New Roman" w:hAnsi="Arial" w:cs="Arial"/>
          <w:color w:val="000000"/>
          <w:sz w:val="24"/>
          <w:szCs w:val="24"/>
          <w:lang w:eastAsia="es-MX"/>
        </w:rPr>
        <w:br/>
      </w:r>
      <w:r w:rsidRPr="009036BA">
        <w:rPr>
          <w:rFonts w:ascii="Arial" w:eastAsia="Times New Roman" w:hAnsi="Arial" w:cs="Arial"/>
          <w:b/>
          <w:bCs/>
          <w:color w:val="000000"/>
          <w:sz w:val="24"/>
          <w:szCs w:val="24"/>
          <w:lang w:eastAsia="es-MX"/>
        </w:rPr>
        <w:t>Gaceta de Jurisprudencia y </w:t>
      </w:r>
      <w:r w:rsidRPr="009036BA">
        <w:rPr>
          <w:rFonts w:ascii="Arial" w:eastAsia="Times New Roman" w:hAnsi="Arial" w:cs="Arial"/>
          <w:b/>
          <w:bCs/>
          <w:color w:val="990000"/>
          <w:sz w:val="24"/>
          <w:szCs w:val="24"/>
          <w:lang w:eastAsia="es-MX"/>
        </w:rPr>
        <w:t>Tesis</w:t>
      </w:r>
      <w:r w:rsidRPr="009036BA">
        <w:rPr>
          <w:rFonts w:ascii="Arial" w:eastAsia="Times New Roman" w:hAnsi="Arial" w:cs="Arial"/>
          <w:b/>
          <w:bCs/>
          <w:color w:val="000000"/>
          <w:sz w:val="24"/>
          <w:szCs w:val="24"/>
          <w:lang w:eastAsia="es-MX"/>
        </w:rPr>
        <w:t> en materia electoral, Tribunal Electoral del Poder Judicial de la Federación, Año 9, Número 18, 2016, páginas 58, 59 y 60.</w:t>
      </w:r>
      <w:r w:rsidRPr="009036BA">
        <w:rPr>
          <w:rFonts w:ascii="Arial" w:eastAsia="Times New Roman" w:hAnsi="Arial" w:cs="Arial"/>
          <w:color w:val="000000"/>
          <w:sz w:val="24"/>
          <w:szCs w:val="24"/>
          <w:lang w:eastAsia="es-MX"/>
        </w:rPr>
        <w:br/>
      </w:r>
    </w:p>
    <w:p w14:paraId="79E46028" w14:textId="77777777" w:rsidR="009036BA" w:rsidRPr="009036BA" w:rsidRDefault="009036BA" w:rsidP="009036BA">
      <w:pPr>
        <w:spacing w:after="0" w:line="240" w:lineRule="auto"/>
        <w:rPr>
          <w:lang w:eastAsia="es-MX"/>
        </w:rPr>
      </w:pPr>
    </w:p>
    <w:p w14:paraId="043BE03E" w14:textId="081660ED" w:rsidR="00F91905" w:rsidRDefault="00F91905" w:rsidP="009036BA">
      <w:pPr>
        <w:spacing w:after="0" w:line="240" w:lineRule="auto"/>
        <w:rPr>
          <w:lang w:eastAsia="es-MX"/>
        </w:rPr>
      </w:pPr>
    </w:p>
    <w:p w14:paraId="5D9112A0" w14:textId="77777777" w:rsidR="00F91905" w:rsidRPr="00F91905" w:rsidRDefault="00F91905" w:rsidP="00F91905">
      <w:pPr>
        <w:rPr>
          <w:lang w:eastAsia="es-MX"/>
        </w:rPr>
      </w:pPr>
    </w:p>
    <w:p w14:paraId="264126E8" w14:textId="3AF64B16" w:rsidR="00A202AB" w:rsidRPr="00F91905" w:rsidRDefault="0043401E" w:rsidP="00F91905">
      <w:pPr>
        <w:pStyle w:val="Ttulo2"/>
        <w:numPr>
          <w:ilvl w:val="0"/>
          <w:numId w:val="1"/>
        </w:numPr>
        <w:rPr>
          <w:rFonts w:ascii="Gadugi" w:eastAsia="Times New Roman" w:hAnsi="Gadugi" w:cs="Times New Roman"/>
          <w:b/>
          <w:color w:val="000000" w:themeColor="text1"/>
          <w:sz w:val="24"/>
          <w:szCs w:val="24"/>
          <w:lang w:eastAsia="es-MX"/>
        </w:rPr>
      </w:pPr>
      <w:r w:rsidRPr="0043401E">
        <w:rPr>
          <w:rFonts w:ascii="Gadugi" w:eastAsia="Times New Roman" w:hAnsi="Gadugi" w:cs="Times New Roman"/>
          <w:b/>
          <w:color w:val="000000" w:themeColor="text1"/>
          <w:sz w:val="24"/>
          <w:szCs w:val="24"/>
          <w:lang w:eastAsia="es-MX"/>
        </w:rPr>
        <w:t xml:space="preserve">SENTENCIA </w:t>
      </w:r>
      <w:hyperlink r:id="rId14" w:tgtFrame="_blank" w:history="1">
        <w:r w:rsidRPr="0043401E">
          <w:rPr>
            <w:rFonts w:ascii="Gadugi" w:eastAsia="Times New Roman" w:hAnsi="Gadugi" w:cs="Times New Roman"/>
            <w:b/>
            <w:color w:val="C00000"/>
            <w:sz w:val="24"/>
            <w:szCs w:val="24"/>
            <w:lang w:eastAsia="es-MX"/>
          </w:rPr>
          <w:t>SUP-JDC-1619/2016</w:t>
        </w:r>
      </w:hyperlink>
    </w:p>
    <w:p w14:paraId="04C0E3A5" w14:textId="77777777" w:rsidR="00991189" w:rsidRDefault="00991189" w:rsidP="00991189">
      <w:pPr>
        <w:rPr>
          <w:lang w:eastAsia="es-MX"/>
        </w:rPr>
      </w:pPr>
    </w:p>
    <w:p w14:paraId="76E9DAE6" w14:textId="77777777" w:rsidR="00991189" w:rsidRDefault="00991189" w:rsidP="00991189">
      <w:pPr>
        <w:pStyle w:val="Cuerpo"/>
        <w:widowControl w:val="0"/>
        <w:shd w:val="clear" w:color="auto" w:fill="FFFFFF"/>
        <w:ind w:left="3969"/>
        <w:jc w:val="both"/>
        <w:rPr>
          <w:rFonts w:ascii="Arial" w:hAnsi="Arial" w:cs="Arial"/>
          <w:b/>
          <w:bCs/>
          <w:sz w:val="27"/>
          <w:szCs w:val="27"/>
          <w:lang w:val="es-MX"/>
        </w:rPr>
      </w:pPr>
    </w:p>
    <w:p w14:paraId="047F9EF9" w14:textId="77777777" w:rsidR="00991189" w:rsidRPr="004C3E8F" w:rsidRDefault="00991189" w:rsidP="00991189">
      <w:pPr>
        <w:pStyle w:val="Cuerpo"/>
        <w:widowControl w:val="0"/>
        <w:shd w:val="clear" w:color="auto" w:fill="FFFFFF"/>
        <w:ind w:left="3969"/>
        <w:jc w:val="both"/>
        <w:rPr>
          <w:rFonts w:ascii="Arial" w:hAnsi="Arial" w:cs="Arial"/>
          <w:b/>
          <w:bCs/>
          <w:lang w:val="es-MX"/>
        </w:rPr>
      </w:pPr>
      <w:r w:rsidRPr="004C3E8F">
        <w:rPr>
          <w:rFonts w:ascii="Arial" w:hAnsi="Arial" w:cs="Arial"/>
          <w:b/>
          <w:bCs/>
          <w:lang w:val="es-MX"/>
        </w:rPr>
        <w:t>JUICIOS PARA LA PROTECCIÓN DE LOS DERECHOS POLÍTICO-ELECTORALES DEL CIUDADANO</w:t>
      </w:r>
    </w:p>
    <w:p w14:paraId="2F025BD9" w14:textId="77777777" w:rsidR="00991189" w:rsidRPr="004C3E8F" w:rsidRDefault="00991189" w:rsidP="00991189">
      <w:pPr>
        <w:pStyle w:val="Cuerpo"/>
        <w:widowControl w:val="0"/>
        <w:shd w:val="clear" w:color="auto" w:fill="FFFFFF"/>
        <w:ind w:left="3969"/>
        <w:jc w:val="both"/>
        <w:rPr>
          <w:rFonts w:ascii="Arial" w:hAnsi="Arial" w:cs="Arial"/>
          <w:b/>
          <w:bCs/>
          <w:lang w:val="es-MX"/>
        </w:rPr>
      </w:pPr>
    </w:p>
    <w:p w14:paraId="088A5FD0" w14:textId="77777777" w:rsidR="00991189" w:rsidRPr="004C3E8F" w:rsidRDefault="00991189" w:rsidP="00991189">
      <w:pPr>
        <w:pStyle w:val="Cuerpo"/>
        <w:widowControl w:val="0"/>
        <w:shd w:val="clear" w:color="auto" w:fill="FFFFFF"/>
        <w:ind w:left="3969"/>
        <w:jc w:val="both"/>
        <w:rPr>
          <w:rFonts w:ascii="Arial" w:hAnsi="Arial" w:cs="Arial"/>
          <w:lang w:val="es-MX"/>
        </w:rPr>
      </w:pPr>
      <w:r w:rsidRPr="004C3E8F">
        <w:rPr>
          <w:rFonts w:ascii="Arial" w:hAnsi="Arial" w:cs="Arial"/>
          <w:b/>
          <w:bCs/>
          <w:lang w:val="es-MX"/>
        </w:rPr>
        <w:t xml:space="preserve">EXPEDIENTES: </w:t>
      </w:r>
      <w:r w:rsidRPr="004C3E8F">
        <w:rPr>
          <w:rFonts w:ascii="Arial" w:hAnsi="Arial" w:cs="Arial"/>
          <w:lang w:val="es-MX"/>
        </w:rPr>
        <w:t>SUP-JDC-1619/2016 Y SUP-JDC-1621/2016 ACUMULADOS</w:t>
      </w:r>
    </w:p>
    <w:p w14:paraId="3F8A6915" w14:textId="77777777" w:rsidR="00991189" w:rsidRPr="004C3E8F" w:rsidRDefault="00991189" w:rsidP="00991189">
      <w:pPr>
        <w:pStyle w:val="Cuerpo"/>
        <w:widowControl w:val="0"/>
        <w:shd w:val="clear" w:color="auto" w:fill="FFFFFF"/>
        <w:ind w:left="3969"/>
        <w:jc w:val="both"/>
        <w:rPr>
          <w:rFonts w:ascii="Arial" w:eastAsia="Times New Roman" w:hAnsi="Arial" w:cs="Arial"/>
          <w:b/>
          <w:bCs/>
          <w:lang w:val="es-MX"/>
        </w:rPr>
      </w:pPr>
    </w:p>
    <w:p w14:paraId="3BEE1F26" w14:textId="77777777" w:rsidR="00991189" w:rsidRPr="004C3E8F" w:rsidRDefault="00991189" w:rsidP="00991189">
      <w:pPr>
        <w:pStyle w:val="Cuerpo"/>
        <w:widowControl w:val="0"/>
        <w:shd w:val="clear" w:color="auto" w:fill="FFFFFF"/>
        <w:ind w:left="3969"/>
        <w:jc w:val="both"/>
        <w:rPr>
          <w:rFonts w:ascii="Arial" w:hAnsi="Arial" w:cs="Arial"/>
          <w:lang w:val="es-MX"/>
        </w:rPr>
      </w:pPr>
      <w:r w:rsidRPr="004C3E8F">
        <w:rPr>
          <w:rFonts w:ascii="Arial" w:eastAsia="Times New Roman" w:hAnsi="Arial" w:cs="Arial"/>
          <w:b/>
          <w:bCs/>
          <w:lang w:val="es-MX"/>
        </w:rPr>
        <w:t>ACTORAS</w:t>
      </w:r>
      <w:r w:rsidRPr="004C3E8F">
        <w:rPr>
          <w:rFonts w:ascii="Arial" w:hAnsi="Arial" w:cs="Arial"/>
          <w:b/>
          <w:bCs/>
          <w:lang w:val="es-MX"/>
        </w:rPr>
        <w:t xml:space="preserve">: </w:t>
      </w:r>
      <w:r w:rsidRPr="004C3E8F">
        <w:rPr>
          <w:rFonts w:ascii="Arial" w:hAnsi="Arial" w:cs="Arial"/>
          <w:bCs/>
          <w:lang w:val="es-MX"/>
        </w:rPr>
        <w:t>ANA TERESA ARANDA OROZCO Y OTRA</w:t>
      </w:r>
    </w:p>
    <w:p w14:paraId="392DCA73" w14:textId="77777777" w:rsidR="00991189" w:rsidRPr="004C3E8F" w:rsidRDefault="00991189" w:rsidP="00991189">
      <w:pPr>
        <w:pStyle w:val="Cuerpo"/>
        <w:widowControl w:val="0"/>
        <w:shd w:val="clear" w:color="auto" w:fill="FFFFFF"/>
        <w:ind w:left="3969"/>
        <w:jc w:val="both"/>
        <w:rPr>
          <w:rFonts w:ascii="Arial" w:hAnsi="Arial" w:cs="Arial"/>
          <w:b/>
          <w:bCs/>
          <w:lang w:val="es-MX"/>
        </w:rPr>
      </w:pPr>
    </w:p>
    <w:p w14:paraId="2CBC68DB" w14:textId="77777777" w:rsidR="00991189" w:rsidRPr="004C3E8F" w:rsidRDefault="00991189" w:rsidP="00991189">
      <w:pPr>
        <w:pStyle w:val="Cuerpo"/>
        <w:widowControl w:val="0"/>
        <w:shd w:val="clear" w:color="auto" w:fill="FFFFFF"/>
        <w:ind w:left="3969"/>
        <w:jc w:val="both"/>
        <w:rPr>
          <w:rFonts w:ascii="Arial" w:eastAsia="Arial" w:hAnsi="Arial" w:cs="Arial"/>
          <w:b/>
          <w:bCs/>
          <w:lang w:val="es-MX"/>
        </w:rPr>
      </w:pPr>
      <w:r w:rsidRPr="004C3E8F">
        <w:rPr>
          <w:rFonts w:ascii="Arial" w:hAnsi="Arial" w:cs="Arial"/>
          <w:b/>
          <w:bCs/>
          <w:lang w:val="es-MX"/>
        </w:rPr>
        <w:t xml:space="preserve">AUTORIDAD RESPONSABLE: </w:t>
      </w:r>
      <w:r w:rsidRPr="004C3E8F">
        <w:rPr>
          <w:rFonts w:ascii="Arial" w:hAnsi="Arial" w:cs="Arial"/>
          <w:lang w:val="es-MX"/>
        </w:rPr>
        <w:t>CONSEJO GENERAL DEL INSTITUTO ELECTORAL DEL ESTADO DE PUEBLA</w:t>
      </w:r>
    </w:p>
    <w:p w14:paraId="530F738C" w14:textId="77777777" w:rsidR="00991189" w:rsidRPr="004C3E8F" w:rsidRDefault="00991189" w:rsidP="00991189">
      <w:pPr>
        <w:pStyle w:val="Cuerpo"/>
        <w:widowControl w:val="0"/>
        <w:shd w:val="clear" w:color="auto" w:fill="FFFFFF"/>
        <w:ind w:left="3969"/>
        <w:jc w:val="both"/>
        <w:rPr>
          <w:rFonts w:ascii="Arial" w:hAnsi="Arial" w:cs="Arial"/>
          <w:b/>
          <w:bCs/>
          <w:lang w:val="es-MX"/>
        </w:rPr>
      </w:pPr>
    </w:p>
    <w:p w14:paraId="12D0A179" w14:textId="77777777" w:rsidR="00991189" w:rsidRPr="004C3E8F" w:rsidRDefault="00991189" w:rsidP="00991189">
      <w:pPr>
        <w:pStyle w:val="Cuerpo"/>
        <w:widowControl w:val="0"/>
        <w:shd w:val="clear" w:color="auto" w:fill="FFFFFF"/>
        <w:ind w:left="3969"/>
        <w:jc w:val="both"/>
        <w:rPr>
          <w:rFonts w:ascii="Arial" w:eastAsia="Arial" w:hAnsi="Arial" w:cs="Arial"/>
          <w:lang w:val="es-MX"/>
        </w:rPr>
      </w:pPr>
      <w:r w:rsidRPr="004C3E8F">
        <w:rPr>
          <w:rFonts w:ascii="Arial" w:hAnsi="Arial" w:cs="Arial"/>
          <w:b/>
          <w:bCs/>
          <w:lang w:val="es-MX"/>
        </w:rPr>
        <w:t xml:space="preserve">MAGISTRADO PONENTE: </w:t>
      </w:r>
      <w:r w:rsidRPr="004C3E8F">
        <w:rPr>
          <w:rFonts w:ascii="Arial" w:hAnsi="Arial" w:cs="Arial"/>
          <w:lang w:val="es-MX"/>
        </w:rPr>
        <w:t>CONSTANCIO CARRASCO DAZA</w:t>
      </w:r>
    </w:p>
    <w:p w14:paraId="68CF49BD" w14:textId="77777777" w:rsidR="00991189" w:rsidRPr="004C3E8F" w:rsidRDefault="00991189" w:rsidP="00991189">
      <w:pPr>
        <w:pStyle w:val="Cuerpo"/>
        <w:widowControl w:val="0"/>
        <w:shd w:val="clear" w:color="auto" w:fill="FFFFFF"/>
        <w:ind w:left="3969"/>
        <w:jc w:val="both"/>
        <w:rPr>
          <w:rFonts w:ascii="Arial" w:hAnsi="Arial" w:cs="Arial"/>
          <w:b/>
          <w:bCs/>
          <w:lang w:val="es-MX"/>
        </w:rPr>
      </w:pPr>
    </w:p>
    <w:p w14:paraId="734CCCFF" w14:textId="77777777" w:rsidR="00991189" w:rsidRPr="004C3E8F" w:rsidRDefault="00991189" w:rsidP="00991189">
      <w:pPr>
        <w:pStyle w:val="Cuerpo"/>
        <w:widowControl w:val="0"/>
        <w:shd w:val="clear" w:color="auto" w:fill="FFFFFF"/>
        <w:ind w:left="3969"/>
        <w:jc w:val="both"/>
        <w:rPr>
          <w:rFonts w:ascii="Arial" w:hAnsi="Arial" w:cs="Arial"/>
          <w:lang w:val="es-MX"/>
        </w:rPr>
      </w:pPr>
      <w:r w:rsidRPr="004C3E8F">
        <w:rPr>
          <w:rFonts w:ascii="Arial" w:hAnsi="Arial" w:cs="Arial"/>
          <w:b/>
          <w:bCs/>
          <w:lang w:val="es-MX"/>
        </w:rPr>
        <w:t xml:space="preserve">SECRETARIO: </w:t>
      </w:r>
      <w:r w:rsidRPr="004C3E8F">
        <w:rPr>
          <w:rFonts w:ascii="Arial" w:hAnsi="Arial" w:cs="Arial"/>
          <w:lang w:val="es-MX"/>
        </w:rPr>
        <w:t xml:space="preserve">HUGO BALDERAS ALFONSECA </w:t>
      </w:r>
    </w:p>
    <w:p w14:paraId="64613DB5" w14:textId="77777777" w:rsidR="00991189" w:rsidRPr="004C3E8F" w:rsidRDefault="00991189" w:rsidP="00991189">
      <w:pPr>
        <w:shd w:val="clear" w:color="auto" w:fill="FFFFFF"/>
        <w:spacing w:line="360" w:lineRule="auto"/>
        <w:jc w:val="both"/>
        <w:rPr>
          <w:rFonts w:ascii="Arial" w:eastAsia="Arial" w:hAnsi="Arial" w:cs="Arial"/>
          <w:b/>
          <w:bCs/>
          <w:color w:val="000000"/>
          <w:sz w:val="24"/>
          <w:szCs w:val="24"/>
          <w:u w:color="000000"/>
          <w:lang w:eastAsia="es-MX"/>
        </w:rPr>
      </w:pPr>
    </w:p>
    <w:p w14:paraId="01893854" w14:textId="77777777" w:rsidR="00991189" w:rsidRPr="004C3E8F" w:rsidRDefault="00991189" w:rsidP="00991189">
      <w:pPr>
        <w:shd w:val="clear" w:color="auto" w:fill="FFFFFF"/>
        <w:spacing w:after="0" w:line="240" w:lineRule="auto"/>
        <w:jc w:val="both"/>
        <w:rPr>
          <w:rFonts w:ascii="Arial" w:hAnsi="Arial" w:cs="Arial"/>
          <w:sz w:val="24"/>
          <w:szCs w:val="24"/>
        </w:rPr>
      </w:pPr>
      <w:r w:rsidRPr="004C3E8F">
        <w:rPr>
          <w:rFonts w:ascii="Arial" w:hAnsi="Arial" w:cs="Arial"/>
          <w:sz w:val="24"/>
          <w:szCs w:val="24"/>
        </w:rPr>
        <w:t>Ciudad de México, a veintitrés de mayo de dos mil dieciséis.</w:t>
      </w:r>
    </w:p>
    <w:p w14:paraId="08428D64" w14:textId="77777777" w:rsidR="00991189" w:rsidRPr="004C3E8F" w:rsidRDefault="00991189" w:rsidP="00991189">
      <w:pPr>
        <w:shd w:val="clear" w:color="auto" w:fill="FFFFFF"/>
        <w:spacing w:after="0" w:line="240" w:lineRule="auto"/>
        <w:ind w:firstLine="709"/>
        <w:jc w:val="both"/>
        <w:rPr>
          <w:rFonts w:ascii="Arial" w:hAnsi="Arial" w:cs="Arial"/>
          <w:b/>
          <w:sz w:val="24"/>
          <w:szCs w:val="24"/>
        </w:rPr>
      </w:pPr>
    </w:p>
    <w:p w14:paraId="7C36E282" w14:textId="77777777" w:rsidR="00991189" w:rsidRPr="004C3E8F" w:rsidRDefault="00991189" w:rsidP="00991189">
      <w:pPr>
        <w:shd w:val="clear" w:color="auto" w:fill="FFFFFF"/>
        <w:spacing w:after="0" w:line="240" w:lineRule="auto"/>
        <w:ind w:firstLine="709"/>
        <w:jc w:val="both"/>
        <w:rPr>
          <w:rFonts w:ascii="Arial" w:eastAsia="Times New Roman" w:hAnsi="Arial" w:cs="Arial"/>
          <w:sz w:val="24"/>
          <w:szCs w:val="24"/>
          <w:lang w:eastAsia="es-MX"/>
        </w:rPr>
      </w:pPr>
      <w:r w:rsidRPr="004C3E8F">
        <w:rPr>
          <w:rFonts w:ascii="Arial" w:hAnsi="Arial" w:cs="Arial"/>
          <w:b/>
          <w:sz w:val="24"/>
          <w:szCs w:val="24"/>
        </w:rPr>
        <w:lastRenderedPageBreak/>
        <w:t>VISTOS</w:t>
      </w:r>
      <w:r w:rsidRPr="004C3E8F">
        <w:rPr>
          <w:rFonts w:ascii="Arial" w:hAnsi="Arial" w:cs="Arial"/>
          <w:sz w:val="24"/>
          <w:szCs w:val="24"/>
        </w:rPr>
        <w:t xml:space="preserve">, para resolver los autos de los juicios para la protección de los derechos político-electorales del ciudadano, identificados con las claves SUP-JDC-1619/2016 y SUP-JDC-1621/2016, promovidos por Ana Teresa Aranda Orozco y Blanca María del Socorro Alcalá Ruiz respectivamente, a fin de impugnar la publicidad dirigida a la promoción del voto por parte del Instituto Electoral del Estado de Puebla contenida en </w:t>
      </w:r>
      <w:r w:rsidRPr="004C3E8F">
        <w:rPr>
          <w:rFonts w:ascii="Arial" w:eastAsia="Times New Roman" w:hAnsi="Arial" w:cs="Arial"/>
          <w:sz w:val="24"/>
          <w:szCs w:val="24"/>
          <w:lang w:eastAsia="es-MX"/>
        </w:rPr>
        <w:t xml:space="preserve">doce espectaculares, cuatro pantallas </w:t>
      </w:r>
      <w:r w:rsidRPr="004C3E8F">
        <w:rPr>
          <w:rFonts w:ascii="Arial" w:eastAsia="Times New Roman" w:hAnsi="Arial" w:cs="Arial"/>
          <w:i/>
          <w:sz w:val="24"/>
          <w:szCs w:val="24"/>
          <w:lang w:eastAsia="es-MX"/>
        </w:rPr>
        <w:t>led</w:t>
      </w:r>
      <w:r w:rsidRPr="004C3E8F">
        <w:rPr>
          <w:rFonts w:ascii="Arial" w:eastAsia="Times New Roman" w:hAnsi="Arial" w:cs="Arial"/>
          <w:sz w:val="24"/>
          <w:szCs w:val="24"/>
          <w:lang w:eastAsia="es-MX"/>
        </w:rPr>
        <w:t xml:space="preserve"> ubicadas en la zona metropolitana de la citada entidad federativa, y en el sitio </w:t>
      </w:r>
      <w:r w:rsidRPr="004C3E8F">
        <w:rPr>
          <w:rFonts w:ascii="Arial" w:eastAsia="Times New Roman" w:hAnsi="Arial" w:cs="Arial"/>
          <w:i/>
          <w:sz w:val="24"/>
          <w:szCs w:val="24"/>
          <w:lang w:eastAsia="es-MX"/>
        </w:rPr>
        <w:t xml:space="preserve">web </w:t>
      </w:r>
    </w:p>
    <w:p w14:paraId="609C8EDF" w14:textId="77777777" w:rsidR="00991189" w:rsidRPr="004C3E8F" w:rsidRDefault="00991189" w:rsidP="00991189">
      <w:pPr>
        <w:shd w:val="clear" w:color="auto" w:fill="FFFFFF"/>
        <w:spacing w:after="0" w:line="240" w:lineRule="auto"/>
        <w:jc w:val="both"/>
        <w:rPr>
          <w:rFonts w:ascii="Arial" w:hAnsi="Arial" w:cs="Arial"/>
          <w:sz w:val="24"/>
          <w:szCs w:val="24"/>
        </w:rPr>
      </w:pPr>
      <w:r w:rsidRPr="004C3E8F">
        <w:rPr>
          <w:rFonts w:ascii="Arial" w:eastAsia="Times New Roman" w:hAnsi="Arial" w:cs="Arial"/>
          <w:sz w:val="24"/>
          <w:szCs w:val="24"/>
          <w:lang w:eastAsia="es-MX"/>
        </w:rPr>
        <w:t xml:space="preserve">de la autoridad responsable, cuya </w:t>
      </w:r>
      <w:r w:rsidRPr="004C3E8F">
        <w:rPr>
          <w:rFonts w:ascii="Arial" w:eastAsia="Times New Roman" w:hAnsi="Arial" w:cs="Arial"/>
          <w:i/>
          <w:sz w:val="24"/>
          <w:szCs w:val="24"/>
          <w:lang w:eastAsia="es-MX"/>
        </w:rPr>
        <w:t xml:space="preserve">identidad gráfica </w:t>
      </w:r>
      <w:r w:rsidRPr="004C3E8F">
        <w:rPr>
          <w:rFonts w:ascii="Arial" w:eastAsia="Times New Roman" w:hAnsi="Arial" w:cs="Arial"/>
          <w:sz w:val="24"/>
          <w:szCs w:val="24"/>
          <w:lang w:eastAsia="es-MX"/>
        </w:rPr>
        <w:t xml:space="preserve">se aprobó en el </w:t>
      </w:r>
      <w:r w:rsidRPr="004C3E8F">
        <w:rPr>
          <w:rFonts w:ascii="Arial" w:hAnsi="Arial" w:cs="Arial"/>
          <w:sz w:val="24"/>
          <w:szCs w:val="24"/>
        </w:rPr>
        <w:t>Acuerdo CG/AC/028/15, emitido por el Consejo General del referido organismo electoral el</w:t>
      </w:r>
      <w:r w:rsidRPr="004C3E8F">
        <w:rPr>
          <w:rFonts w:ascii="Arial" w:eastAsia="Times New Roman" w:hAnsi="Arial" w:cs="Arial"/>
          <w:sz w:val="24"/>
          <w:szCs w:val="24"/>
          <w:lang w:eastAsia="es-MX"/>
        </w:rPr>
        <w:t xml:space="preserve"> veintitrés de noviembre de dos mil quince</w:t>
      </w:r>
      <w:r w:rsidRPr="004C3E8F">
        <w:rPr>
          <w:rFonts w:ascii="Arial" w:hAnsi="Arial" w:cs="Arial"/>
          <w:sz w:val="24"/>
          <w:szCs w:val="24"/>
        </w:rPr>
        <w:t xml:space="preserve">, y </w:t>
      </w:r>
    </w:p>
    <w:p w14:paraId="7121E9FC" w14:textId="77777777" w:rsidR="00991189" w:rsidRDefault="00991189" w:rsidP="00991189">
      <w:pPr>
        <w:shd w:val="clear" w:color="auto" w:fill="FFFFFF"/>
        <w:spacing w:after="0" w:line="240" w:lineRule="auto"/>
        <w:jc w:val="center"/>
        <w:rPr>
          <w:rFonts w:ascii="Arial" w:hAnsi="Arial" w:cs="Arial"/>
          <w:b/>
          <w:bCs/>
          <w:sz w:val="24"/>
          <w:szCs w:val="24"/>
        </w:rPr>
      </w:pPr>
    </w:p>
    <w:p w14:paraId="3D1A54BE" w14:textId="77777777" w:rsidR="00991189" w:rsidRPr="004C3E8F" w:rsidRDefault="00991189" w:rsidP="00991189">
      <w:pPr>
        <w:shd w:val="clear" w:color="auto" w:fill="FFFFFF"/>
        <w:spacing w:after="0" w:line="240" w:lineRule="auto"/>
        <w:jc w:val="center"/>
        <w:rPr>
          <w:rFonts w:ascii="Arial" w:hAnsi="Arial" w:cs="Arial"/>
          <w:b/>
          <w:bCs/>
          <w:sz w:val="24"/>
          <w:szCs w:val="24"/>
        </w:rPr>
      </w:pPr>
    </w:p>
    <w:p w14:paraId="3631E1F4" w14:textId="77777777" w:rsidR="00991189" w:rsidRPr="004C3E8F" w:rsidRDefault="00991189" w:rsidP="00991189">
      <w:pPr>
        <w:shd w:val="clear" w:color="auto" w:fill="FFFFFF"/>
        <w:spacing w:after="0" w:line="240" w:lineRule="auto"/>
        <w:jc w:val="center"/>
        <w:rPr>
          <w:rFonts w:ascii="Arial" w:eastAsia="Arial" w:hAnsi="Arial" w:cs="Arial"/>
          <w:b/>
          <w:bCs/>
          <w:sz w:val="24"/>
          <w:szCs w:val="24"/>
        </w:rPr>
      </w:pPr>
      <w:r w:rsidRPr="004C3E8F">
        <w:rPr>
          <w:rFonts w:ascii="Arial" w:hAnsi="Arial" w:cs="Arial"/>
          <w:b/>
          <w:bCs/>
          <w:sz w:val="24"/>
          <w:szCs w:val="24"/>
        </w:rPr>
        <w:t>A N T E C E D E N T E S:</w:t>
      </w:r>
    </w:p>
    <w:p w14:paraId="32B61AD1" w14:textId="77777777" w:rsidR="00991189" w:rsidRPr="004C3E8F" w:rsidRDefault="00991189" w:rsidP="00991189">
      <w:pPr>
        <w:shd w:val="clear" w:color="auto" w:fill="FFFFFF"/>
        <w:spacing w:after="0" w:line="240" w:lineRule="auto"/>
        <w:ind w:firstLine="709"/>
        <w:jc w:val="both"/>
        <w:rPr>
          <w:rFonts w:ascii="Arial" w:hAnsi="Arial" w:cs="Arial"/>
          <w:b/>
          <w:sz w:val="24"/>
          <w:szCs w:val="24"/>
        </w:rPr>
      </w:pPr>
    </w:p>
    <w:p w14:paraId="0F2FA137" w14:textId="77777777" w:rsidR="00991189" w:rsidRPr="004C3E8F" w:rsidRDefault="00991189" w:rsidP="00991189">
      <w:pPr>
        <w:shd w:val="clear" w:color="auto" w:fill="FFFFFF"/>
        <w:spacing w:after="0" w:line="240" w:lineRule="auto"/>
        <w:ind w:firstLine="709"/>
        <w:jc w:val="both"/>
        <w:rPr>
          <w:rFonts w:ascii="Arial" w:hAnsi="Arial" w:cs="Arial"/>
          <w:sz w:val="24"/>
          <w:szCs w:val="24"/>
        </w:rPr>
      </w:pPr>
      <w:r w:rsidRPr="004C3E8F">
        <w:rPr>
          <w:rFonts w:ascii="Arial" w:hAnsi="Arial" w:cs="Arial"/>
          <w:b/>
          <w:sz w:val="24"/>
          <w:szCs w:val="24"/>
        </w:rPr>
        <w:t>PRIMERO.</w:t>
      </w:r>
      <w:r w:rsidRPr="004C3E8F">
        <w:rPr>
          <w:rFonts w:ascii="Arial" w:hAnsi="Arial" w:cs="Arial"/>
          <w:sz w:val="24"/>
          <w:szCs w:val="24"/>
        </w:rPr>
        <w:t xml:space="preserve"> De la narración de hechos que las actoras hacen en su escrito de demanda, así como de las constancias que obran en autos, se advierte lo siguiente:</w:t>
      </w:r>
    </w:p>
    <w:p w14:paraId="314873ED" w14:textId="77777777" w:rsidR="00991189" w:rsidRPr="004C3E8F" w:rsidRDefault="00991189" w:rsidP="00991189">
      <w:pPr>
        <w:shd w:val="clear" w:color="auto" w:fill="FFFFFF"/>
        <w:spacing w:after="0" w:line="240" w:lineRule="auto"/>
        <w:ind w:firstLine="709"/>
        <w:jc w:val="both"/>
        <w:rPr>
          <w:rFonts w:ascii="Arial" w:hAnsi="Arial" w:cs="Arial"/>
          <w:sz w:val="24"/>
          <w:szCs w:val="24"/>
        </w:rPr>
      </w:pPr>
    </w:p>
    <w:p w14:paraId="439426BC" w14:textId="77777777" w:rsidR="00991189" w:rsidRPr="004C3E8F" w:rsidRDefault="00991189" w:rsidP="00991189">
      <w:pPr>
        <w:shd w:val="clear" w:color="auto" w:fill="FFFFFF"/>
        <w:spacing w:after="0" w:line="240" w:lineRule="auto"/>
        <w:ind w:firstLine="709"/>
        <w:jc w:val="both"/>
        <w:rPr>
          <w:rFonts w:ascii="Arial" w:hAnsi="Arial" w:cs="Arial"/>
          <w:sz w:val="24"/>
          <w:szCs w:val="24"/>
        </w:rPr>
      </w:pPr>
      <w:r w:rsidRPr="004C3E8F">
        <w:rPr>
          <w:rFonts w:ascii="Arial" w:hAnsi="Arial" w:cs="Arial"/>
          <w:b/>
          <w:sz w:val="24"/>
          <w:szCs w:val="24"/>
        </w:rPr>
        <w:t xml:space="preserve">I. Inicio del proceso electoral local. </w:t>
      </w:r>
      <w:r w:rsidRPr="004C3E8F">
        <w:rPr>
          <w:rFonts w:ascii="Arial" w:hAnsi="Arial" w:cs="Arial"/>
          <w:sz w:val="24"/>
          <w:szCs w:val="24"/>
        </w:rPr>
        <w:t>El veintitrés de noviembre de dos mil quince, inició el proceso electoral en el Estado de Puebla, en el que se elegirá a la persona Titular del Poder Ejecutivo del Estado.</w:t>
      </w:r>
    </w:p>
    <w:p w14:paraId="259ED9C2" w14:textId="77777777" w:rsidR="00991189" w:rsidRPr="004C3E8F" w:rsidRDefault="00991189" w:rsidP="00991189">
      <w:pPr>
        <w:shd w:val="clear" w:color="auto" w:fill="FFFFFF"/>
        <w:spacing w:after="0" w:line="240" w:lineRule="auto"/>
        <w:ind w:firstLine="709"/>
        <w:jc w:val="both"/>
        <w:rPr>
          <w:rFonts w:ascii="Arial" w:hAnsi="Arial" w:cs="Arial"/>
          <w:sz w:val="24"/>
          <w:szCs w:val="24"/>
        </w:rPr>
      </w:pPr>
    </w:p>
    <w:p w14:paraId="5A14AAB0" w14:textId="77777777" w:rsidR="00991189" w:rsidRPr="004C3E8F" w:rsidRDefault="00991189" w:rsidP="00991189">
      <w:pPr>
        <w:shd w:val="clear" w:color="auto" w:fill="FFFFFF"/>
        <w:spacing w:after="0" w:line="240" w:lineRule="auto"/>
        <w:ind w:firstLine="709"/>
        <w:jc w:val="both"/>
        <w:rPr>
          <w:rFonts w:ascii="Arial" w:eastAsia="Times New Roman" w:hAnsi="Arial" w:cs="Arial"/>
          <w:sz w:val="24"/>
          <w:szCs w:val="24"/>
          <w:lang w:eastAsia="es-MX"/>
        </w:rPr>
      </w:pPr>
      <w:r w:rsidRPr="004C3E8F">
        <w:rPr>
          <w:rFonts w:ascii="Arial" w:hAnsi="Arial" w:cs="Arial"/>
          <w:sz w:val="24"/>
          <w:szCs w:val="24"/>
        </w:rPr>
        <w:t>En la propia fecha</w:t>
      </w:r>
      <w:r w:rsidRPr="004C3E8F">
        <w:rPr>
          <w:rFonts w:ascii="Arial" w:eastAsia="Times New Roman" w:hAnsi="Arial" w:cs="Arial"/>
          <w:sz w:val="24"/>
          <w:szCs w:val="24"/>
          <w:lang w:eastAsia="es-MX"/>
        </w:rPr>
        <w:t xml:space="preserve">, </w:t>
      </w:r>
      <w:r w:rsidRPr="004C3E8F">
        <w:rPr>
          <w:rFonts w:ascii="Arial" w:hAnsi="Arial" w:cs="Arial"/>
          <w:sz w:val="24"/>
          <w:szCs w:val="24"/>
        </w:rPr>
        <w:t xml:space="preserve">el Consejo General del Instituto Electoral del Estado de Puebla, emitió el Acuerdo CG/AC/028/15, </w:t>
      </w:r>
      <w:r w:rsidRPr="004C3E8F">
        <w:rPr>
          <w:rFonts w:ascii="Arial" w:eastAsia="Times New Roman" w:hAnsi="Arial" w:cs="Arial"/>
          <w:sz w:val="24"/>
          <w:szCs w:val="24"/>
          <w:lang w:eastAsia="es-MX"/>
        </w:rPr>
        <w:t>por el que se aprobaron las políticas de comunicación social y la identidad gráfica para el proceso electoral estatal ordinario 2015-2016.</w:t>
      </w:r>
    </w:p>
    <w:p w14:paraId="65E4F927" w14:textId="77777777" w:rsidR="00991189" w:rsidRPr="004C3E8F" w:rsidRDefault="00991189" w:rsidP="00991189">
      <w:pPr>
        <w:shd w:val="clear" w:color="auto" w:fill="FFFFFF"/>
        <w:spacing w:after="0" w:line="240" w:lineRule="auto"/>
        <w:ind w:firstLine="709"/>
        <w:jc w:val="both"/>
        <w:rPr>
          <w:rFonts w:ascii="Arial" w:eastAsia="Times New Roman" w:hAnsi="Arial" w:cs="Arial"/>
          <w:sz w:val="24"/>
          <w:szCs w:val="24"/>
          <w:lang w:eastAsia="es-MX"/>
        </w:rPr>
      </w:pPr>
    </w:p>
    <w:p w14:paraId="1C37377E" w14:textId="77777777" w:rsidR="00991189" w:rsidRPr="004C3E8F" w:rsidRDefault="00991189" w:rsidP="00991189">
      <w:pPr>
        <w:shd w:val="clear" w:color="auto" w:fill="FFFFFF"/>
        <w:spacing w:after="0" w:line="240" w:lineRule="auto"/>
        <w:ind w:firstLine="709"/>
        <w:jc w:val="both"/>
        <w:rPr>
          <w:rFonts w:ascii="Arial" w:hAnsi="Arial" w:cs="Arial"/>
          <w:sz w:val="24"/>
          <w:szCs w:val="24"/>
        </w:rPr>
      </w:pPr>
      <w:r w:rsidRPr="004C3E8F">
        <w:rPr>
          <w:rFonts w:ascii="Arial" w:hAnsi="Arial" w:cs="Arial"/>
          <w:b/>
          <w:sz w:val="24"/>
          <w:szCs w:val="24"/>
        </w:rPr>
        <w:t>II. Acuerdos de lineamientos y convocatoria para candidaturas independientes</w:t>
      </w:r>
      <w:r w:rsidRPr="004C3E8F">
        <w:rPr>
          <w:rFonts w:ascii="Arial" w:hAnsi="Arial" w:cs="Arial"/>
          <w:sz w:val="24"/>
          <w:szCs w:val="24"/>
        </w:rPr>
        <w:t xml:space="preserve">. El trece de enero de dos mil dieciséis, el Consejo General local emitió el acuerdo CG/AC-003/16, por el que se aprueban los </w:t>
      </w:r>
      <w:r w:rsidRPr="004C3E8F">
        <w:rPr>
          <w:rFonts w:ascii="Arial" w:hAnsi="Arial" w:cs="Arial"/>
          <w:i/>
          <w:sz w:val="24"/>
          <w:szCs w:val="24"/>
        </w:rPr>
        <w:t>lineamientos para los aspirantes y candidatos independientes</w:t>
      </w:r>
      <w:r w:rsidRPr="004C3E8F">
        <w:rPr>
          <w:rFonts w:ascii="Arial" w:hAnsi="Arial" w:cs="Arial"/>
          <w:sz w:val="24"/>
          <w:szCs w:val="24"/>
        </w:rPr>
        <w:t xml:space="preserve"> para elegir a la persona Titular el Poder Ejecutivo del Estado de Puebla, y emitió la convocatoria dirigida a la ciudadanía interesada en postularse a una candidatura independiente para ese cargo de elección popular.</w:t>
      </w:r>
    </w:p>
    <w:p w14:paraId="0D58ACF3" w14:textId="77777777" w:rsidR="00991189" w:rsidRPr="004C3E8F" w:rsidRDefault="00991189" w:rsidP="00991189">
      <w:pPr>
        <w:shd w:val="clear" w:color="auto" w:fill="FFFFFF"/>
        <w:spacing w:after="0" w:line="240" w:lineRule="auto"/>
        <w:ind w:firstLine="709"/>
        <w:jc w:val="both"/>
        <w:rPr>
          <w:rFonts w:ascii="Arial" w:hAnsi="Arial" w:cs="Arial"/>
          <w:sz w:val="24"/>
          <w:szCs w:val="24"/>
        </w:rPr>
      </w:pPr>
    </w:p>
    <w:p w14:paraId="1DEFA764" w14:textId="77777777" w:rsidR="00991189" w:rsidRPr="004C3E8F" w:rsidRDefault="00991189" w:rsidP="00991189">
      <w:pPr>
        <w:shd w:val="clear" w:color="auto" w:fill="FFFFFF"/>
        <w:spacing w:after="0" w:line="240" w:lineRule="auto"/>
        <w:ind w:firstLine="709"/>
        <w:jc w:val="both"/>
        <w:rPr>
          <w:rFonts w:ascii="Arial" w:hAnsi="Arial" w:cs="Arial"/>
          <w:sz w:val="24"/>
          <w:szCs w:val="24"/>
        </w:rPr>
      </w:pPr>
      <w:r w:rsidRPr="004C3E8F">
        <w:rPr>
          <w:rFonts w:ascii="Arial" w:hAnsi="Arial" w:cs="Arial"/>
          <w:b/>
          <w:sz w:val="24"/>
          <w:szCs w:val="24"/>
        </w:rPr>
        <w:t>III. Manifestación de intención y reconocimiento como aspirante</w:t>
      </w:r>
      <w:r w:rsidRPr="004C3E8F">
        <w:rPr>
          <w:rFonts w:ascii="Arial" w:hAnsi="Arial" w:cs="Arial"/>
          <w:sz w:val="24"/>
          <w:szCs w:val="24"/>
        </w:rPr>
        <w:t>. El tres de febrero de dos mil dieciséis, Ana Teresa Aranda Orozco presentó ante el Instituto Electoral local su manifestación de intención de contender como candidata independiente a Gobernadora del Estado de Puebla.</w:t>
      </w:r>
    </w:p>
    <w:p w14:paraId="0DF57B40" w14:textId="77777777" w:rsidR="00991189" w:rsidRPr="004C3E8F" w:rsidRDefault="00991189" w:rsidP="00991189">
      <w:pPr>
        <w:shd w:val="clear" w:color="auto" w:fill="FFFFFF"/>
        <w:spacing w:after="0" w:line="240" w:lineRule="auto"/>
        <w:ind w:firstLine="709"/>
        <w:jc w:val="both"/>
        <w:rPr>
          <w:rFonts w:ascii="Arial" w:hAnsi="Arial" w:cs="Arial"/>
          <w:sz w:val="24"/>
          <w:szCs w:val="24"/>
        </w:rPr>
      </w:pPr>
    </w:p>
    <w:p w14:paraId="1D860A83" w14:textId="77777777" w:rsidR="00991189" w:rsidRPr="004C3E8F" w:rsidRDefault="00991189" w:rsidP="00991189">
      <w:pPr>
        <w:shd w:val="clear" w:color="auto" w:fill="FFFFFF"/>
        <w:spacing w:after="0" w:line="240" w:lineRule="auto"/>
        <w:ind w:firstLine="709"/>
        <w:jc w:val="both"/>
        <w:rPr>
          <w:rFonts w:ascii="Arial" w:hAnsi="Arial" w:cs="Arial"/>
          <w:sz w:val="24"/>
          <w:szCs w:val="24"/>
        </w:rPr>
      </w:pPr>
      <w:r w:rsidRPr="004C3E8F">
        <w:rPr>
          <w:rFonts w:ascii="Arial" w:hAnsi="Arial" w:cs="Arial"/>
          <w:sz w:val="24"/>
          <w:szCs w:val="24"/>
        </w:rPr>
        <w:t>El doce de febrero siguiente, el Consejo General local, mediante acuerdo CG/AC-014/16, le reconoció la calidad de aspirante a candidata independiente.</w:t>
      </w:r>
    </w:p>
    <w:p w14:paraId="3A4E0946" w14:textId="77777777" w:rsidR="00991189" w:rsidRPr="004C3E8F" w:rsidRDefault="00991189" w:rsidP="00991189">
      <w:pPr>
        <w:shd w:val="clear" w:color="auto" w:fill="FFFFFF"/>
        <w:spacing w:after="0" w:line="240" w:lineRule="auto"/>
        <w:ind w:firstLine="709"/>
        <w:jc w:val="both"/>
        <w:rPr>
          <w:rFonts w:ascii="Arial" w:hAnsi="Arial" w:cs="Arial"/>
          <w:sz w:val="24"/>
          <w:szCs w:val="24"/>
        </w:rPr>
      </w:pPr>
    </w:p>
    <w:p w14:paraId="5EC6996B" w14:textId="77777777" w:rsidR="00991189" w:rsidRPr="004C3E8F" w:rsidRDefault="00991189" w:rsidP="00991189">
      <w:pPr>
        <w:shd w:val="clear" w:color="auto" w:fill="FFFFFF"/>
        <w:spacing w:after="0" w:line="240" w:lineRule="auto"/>
        <w:ind w:firstLine="709"/>
        <w:jc w:val="both"/>
        <w:rPr>
          <w:rFonts w:ascii="Arial" w:hAnsi="Arial" w:cs="Arial"/>
          <w:sz w:val="24"/>
          <w:szCs w:val="24"/>
        </w:rPr>
      </w:pPr>
      <w:r w:rsidRPr="004C3E8F">
        <w:rPr>
          <w:rFonts w:ascii="Arial" w:hAnsi="Arial" w:cs="Arial"/>
          <w:b/>
          <w:sz w:val="24"/>
          <w:szCs w:val="24"/>
        </w:rPr>
        <w:t>IV. Solicitudes de registro</w:t>
      </w:r>
      <w:r w:rsidRPr="004C3E8F">
        <w:rPr>
          <w:rFonts w:ascii="Arial" w:hAnsi="Arial" w:cs="Arial"/>
          <w:sz w:val="24"/>
          <w:szCs w:val="24"/>
        </w:rPr>
        <w:t>. El veinte de marzo del año en curso, Ana Teresa Aranda Orozco presentó ante el Instituto Electoral local, solicitud de su registro como candidata independiente a Gobernadora del Estado de Puebla, anexando los documentos que consideró pertinentes para cumplir con los requisitos legales exigidos.</w:t>
      </w:r>
    </w:p>
    <w:p w14:paraId="03F899A8" w14:textId="77777777" w:rsidR="00991189" w:rsidRPr="004C3E8F" w:rsidRDefault="00991189" w:rsidP="00991189">
      <w:pPr>
        <w:shd w:val="clear" w:color="auto" w:fill="FFFFFF"/>
        <w:spacing w:after="0" w:line="240" w:lineRule="auto"/>
        <w:ind w:firstLine="709"/>
        <w:jc w:val="both"/>
        <w:rPr>
          <w:rFonts w:ascii="Arial" w:hAnsi="Arial" w:cs="Arial"/>
          <w:sz w:val="24"/>
          <w:szCs w:val="24"/>
        </w:rPr>
      </w:pPr>
    </w:p>
    <w:p w14:paraId="732B7834" w14:textId="77777777" w:rsidR="00991189" w:rsidRPr="004C3E8F" w:rsidRDefault="00991189" w:rsidP="00991189">
      <w:pPr>
        <w:shd w:val="clear" w:color="auto" w:fill="FFFFFF"/>
        <w:spacing w:after="0" w:line="240" w:lineRule="auto"/>
        <w:ind w:firstLine="709"/>
        <w:jc w:val="both"/>
        <w:rPr>
          <w:rFonts w:ascii="Arial" w:hAnsi="Arial" w:cs="Arial"/>
          <w:sz w:val="24"/>
          <w:szCs w:val="24"/>
        </w:rPr>
      </w:pPr>
      <w:r w:rsidRPr="004C3E8F">
        <w:rPr>
          <w:rFonts w:ascii="Arial" w:hAnsi="Arial" w:cs="Arial"/>
          <w:sz w:val="24"/>
          <w:szCs w:val="24"/>
        </w:rPr>
        <w:t>Asimismo, Blanca María del Socorro Alcalá Ruiz solicitó su registro de candidata a Gobernadora de la coalición integrada por los partidos Revolucionario Institucional y Verde Ecologista de México y en candidatura común con el Partido Encuentro Social.</w:t>
      </w:r>
    </w:p>
    <w:p w14:paraId="65AF493E" w14:textId="77777777" w:rsidR="00991189" w:rsidRPr="004C3E8F" w:rsidRDefault="00991189" w:rsidP="00991189">
      <w:pPr>
        <w:shd w:val="clear" w:color="auto" w:fill="FFFFFF"/>
        <w:spacing w:after="0" w:line="240" w:lineRule="auto"/>
        <w:ind w:firstLine="709"/>
        <w:jc w:val="both"/>
        <w:rPr>
          <w:rFonts w:ascii="Arial" w:hAnsi="Arial" w:cs="Arial"/>
          <w:sz w:val="24"/>
          <w:szCs w:val="24"/>
        </w:rPr>
      </w:pPr>
    </w:p>
    <w:p w14:paraId="1099AE29" w14:textId="77777777" w:rsidR="00991189" w:rsidRPr="004C3E8F" w:rsidRDefault="00991189" w:rsidP="00991189">
      <w:pPr>
        <w:shd w:val="clear" w:color="auto" w:fill="FFFFFF"/>
        <w:spacing w:after="0" w:line="240" w:lineRule="auto"/>
        <w:ind w:firstLine="709"/>
        <w:jc w:val="both"/>
        <w:rPr>
          <w:rFonts w:ascii="Arial" w:hAnsi="Arial" w:cs="Arial"/>
          <w:sz w:val="24"/>
          <w:szCs w:val="24"/>
        </w:rPr>
      </w:pPr>
      <w:r w:rsidRPr="004C3E8F">
        <w:rPr>
          <w:rFonts w:ascii="Arial" w:hAnsi="Arial" w:cs="Arial"/>
          <w:b/>
          <w:sz w:val="24"/>
          <w:szCs w:val="24"/>
        </w:rPr>
        <w:t>V. Registro como candidata</w:t>
      </w:r>
      <w:r w:rsidRPr="004C3E8F">
        <w:rPr>
          <w:rFonts w:ascii="Arial" w:hAnsi="Arial" w:cs="Arial"/>
          <w:sz w:val="24"/>
          <w:szCs w:val="24"/>
        </w:rPr>
        <w:t>. Mediante acuerdo CG/AC-041/2016 de dos de abril de dos mil dieciséis, el Consejo General del Instituto Electoral del Estado de Puebla resolvió sobre diversas solicitudes de registro presentadas por los partidos políticos y coaliciones para el actual proceso electoral estatal ordinario, en el cual determinó, entre otras cuestiones, registrar a Blanca María del Socorro Alcalá Ruiz como candidata a la Gubernatura de dicha entidad federativa, postulada por la Coalición integrada por los partidos Revolucionario Institucional y Verde Ecologista de México, así como en candidatura común con el Partido Encuentro Social.</w:t>
      </w:r>
    </w:p>
    <w:p w14:paraId="72BB1E2D" w14:textId="77777777" w:rsidR="00991189" w:rsidRPr="004C3E8F" w:rsidRDefault="00991189" w:rsidP="00991189">
      <w:pPr>
        <w:shd w:val="clear" w:color="auto" w:fill="FFFFFF"/>
        <w:spacing w:after="0" w:line="240" w:lineRule="auto"/>
        <w:ind w:firstLine="709"/>
        <w:jc w:val="both"/>
        <w:rPr>
          <w:rFonts w:ascii="Arial" w:hAnsi="Arial" w:cs="Arial"/>
          <w:b/>
          <w:sz w:val="24"/>
          <w:szCs w:val="24"/>
        </w:rPr>
      </w:pPr>
    </w:p>
    <w:p w14:paraId="0F81A8E6" w14:textId="77777777" w:rsidR="00991189" w:rsidRPr="004C3E8F" w:rsidRDefault="00991189" w:rsidP="00991189">
      <w:pPr>
        <w:shd w:val="clear" w:color="auto" w:fill="FFFFFF"/>
        <w:spacing w:after="0" w:line="240" w:lineRule="auto"/>
        <w:ind w:firstLine="709"/>
        <w:jc w:val="both"/>
        <w:rPr>
          <w:rFonts w:ascii="Arial" w:hAnsi="Arial" w:cs="Arial"/>
          <w:sz w:val="24"/>
          <w:szCs w:val="24"/>
        </w:rPr>
      </w:pPr>
      <w:r w:rsidRPr="004C3E8F">
        <w:rPr>
          <w:rFonts w:ascii="Arial" w:hAnsi="Arial" w:cs="Arial"/>
          <w:b/>
          <w:sz w:val="24"/>
          <w:szCs w:val="24"/>
        </w:rPr>
        <w:t>VI</w:t>
      </w:r>
      <w:r w:rsidRPr="004C3E8F">
        <w:rPr>
          <w:rFonts w:ascii="Arial" w:hAnsi="Arial" w:cs="Arial"/>
          <w:sz w:val="24"/>
          <w:szCs w:val="24"/>
        </w:rPr>
        <w:t xml:space="preserve">. </w:t>
      </w:r>
      <w:r w:rsidRPr="004C3E8F">
        <w:rPr>
          <w:rFonts w:ascii="Arial" w:hAnsi="Arial" w:cs="Arial"/>
          <w:b/>
          <w:sz w:val="24"/>
          <w:szCs w:val="24"/>
        </w:rPr>
        <w:t>Inicio de las campañas electorales</w:t>
      </w:r>
      <w:r w:rsidRPr="004C3E8F">
        <w:rPr>
          <w:rFonts w:ascii="Arial" w:hAnsi="Arial" w:cs="Arial"/>
          <w:sz w:val="24"/>
          <w:szCs w:val="24"/>
        </w:rPr>
        <w:t>. El tres de abril de dos mil dieciséis iniciaron las campañas electorales.</w:t>
      </w:r>
    </w:p>
    <w:p w14:paraId="7C393F77" w14:textId="77777777" w:rsidR="00991189" w:rsidRPr="004C3E8F" w:rsidRDefault="00991189" w:rsidP="00991189">
      <w:pPr>
        <w:shd w:val="clear" w:color="auto" w:fill="FFFFFF"/>
        <w:spacing w:after="0" w:line="240" w:lineRule="auto"/>
        <w:ind w:firstLine="709"/>
        <w:jc w:val="both"/>
        <w:rPr>
          <w:rFonts w:ascii="Arial" w:hAnsi="Arial" w:cs="Arial"/>
          <w:sz w:val="24"/>
          <w:szCs w:val="24"/>
        </w:rPr>
      </w:pPr>
    </w:p>
    <w:p w14:paraId="3B44B61C" w14:textId="77777777" w:rsidR="00991189" w:rsidRPr="004C3E8F" w:rsidRDefault="00991189" w:rsidP="00991189">
      <w:pPr>
        <w:shd w:val="clear" w:color="auto" w:fill="FFFFFF"/>
        <w:spacing w:after="0" w:line="240" w:lineRule="auto"/>
        <w:ind w:firstLine="709"/>
        <w:jc w:val="both"/>
        <w:rPr>
          <w:rFonts w:ascii="Arial" w:hAnsi="Arial" w:cs="Arial"/>
          <w:sz w:val="24"/>
          <w:szCs w:val="24"/>
        </w:rPr>
      </w:pPr>
      <w:r w:rsidRPr="004C3E8F">
        <w:rPr>
          <w:rFonts w:ascii="Arial" w:hAnsi="Arial" w:cs="Arial"/>
          <w:b/>
          <w:sz w:val="24"/>
          <w:szCs w:val="24"/>
        </w:rPr>
        <w:t>VII. Negativa de registro</w:t>
      </w:r>
      <w:r w:rsidRPr="004C3E8F">
        <w:rPr>
          <w:rFonts w:ascii="Arial" w:hAnsi="Arial" w:cs="Arial"/>
          <w:sz w:val="24"/>
          <w:szCs w:val="24"/>
        </w:rPr>
        <w:t>. El ocho de abril de dos mil dieciséis, el Consejo General del Instituto Electoral del Estado de Puebla emitió el acuerdo CG/AC-044/16, por el que declaró improcedente el registro de Ana Teresa Arando Orozco como candidata independiente a Gobernadora del Estado de Puebla, para el proceso electoral estatal ordinario 2015-2016.</w:t>
      </w:r>
    </w:p>
    <w:p w14:paraId="560B3001" w14:textId="77777777" w:rsidR="00991189" w:rsidRPr="004C3E8F" w:rsidRDefault="00991189" w:rsidP="00991189">
      <w:pPr>
        <w:shd w:val="clear" w:color="auto" w:fill="FFFFFF"/>
        <w:spacing w:after="0" w:line="240" w:lineRule="auto"/>
        <w:ind w:firstLine="709"/>
        <w:jc w:val="both"/>
        <w:rPr>
          <w:rFonts w:ascii="Arial" w:hAnsi="Arial" w:cs="Arial"/>
          <w:sz w:val="24"/>
          <w:szCs w:val="24"/>
        </w:rPr>
      </w:pPr>
    </w:p>
    <w:p w14:paraId="063D7C6B" w14:textId="77777777" w:rsidR="00991189" w:rsidRPr="004C3E8F" w:rsidRDefault="00991189" w:rsidP="00991189">
      <w:pPr>
        <w:shd w:val="clear" w:color="auto" w:fill="FFFFFF"/>
        <w:spacing w:after="0" w:line="240" w:lineRule="auto"/>
        <w:ind w:firstLine="709"/>
        <w:jc w:val="both"/>
        <w:rPr>
          <w:rFonts w:ascii="Arial" w:hAnsi="Arial" w:cs="Arial"/>
          <w:sz w:val="24"/>
          <w:szCs w:val="24"/>
        </w:rPr>
      </w:pPr>
      <w:r w:rsidRPr="004C3E8F">
        <w:rPr>
          <w:rFonts w:ascii="Arial" w:hAnsi="Arial" w:cs="Arial"/>
          <w:b/>
          <w:sz w:val="24"/>
          <w:szCs w:val="24"/>
        </w:rPr>
        <w:t>VIII. Juicio para la protección de los derechos político-electorales del ciudadano</w:t>
      </w:r>
      <w:r w:rsidRPr="004C3E8F">
        <w:rPr>
          <w:rFonts w:ascii="Arial" w:hAnsi="Arial" w:cs="Arial"/>
          <w:sz w:val="24"/>
          <w:szCs w:val="24"/>
        </w:rPr>
        <w:t xml:space="preserve">. El once de abril de dos mil dieciséis, Ana Teresa Aranda Orozco promovió </w:t>
      </w:r>
      <w:r w:rsidRPr="004C3E8F">
        <w:rPr>
          <w:rFonts w:ascii="Arial" w:hAnsi="Arial" w:cs="Arial"/>
          <w:i/>
          <w:sz w:val="24"/>
          <w:szCs w:val="24"/>
        </w:rPr>
        <w:t xml:space="preserve">per </w:t>
      </w:r>
      <w:proofErr w:type="spellStart"/>
      <w:r w:rsidRPr="004C3E8F">
        <w:rPr>
          <w:rFonts w:ascii="Arial" w:hAnsi="Arial" w:cs="Arial"/>
          <w:i/>
          <w:sz w:val="24"/>
          <w:szCs w:val="24"/>
        </w:rPr>
        <w:t>saltum</w:t>
      </w:r>
      <w:proofErr w:type="spellEnd"/>
      <w:r w:rsidRPr="004C3E8F">
        <w:rPr>
          <w:rFonts w:ascii="Arial" w:hAnsi="Arial" w:cs="Arial"/>
          <w:sz w:val="24"/>
          <w:szCs w:val="24"/>
        </w:rPr>
        <w:t xml:space="preserve"> juicio para la protección de los derechos político-electorales del ciudadano, en contra del acuerdo señalado en el punto inmediato anterior. </w:t>
      </w:r>
    </w:p>
    <w:p w14:paraId="7FDAD77B" w14:textId="77777777" w:rsidR="00991189" w:rsidRPr="004C3E8F" w:rsidRDefault="00991189" w:rsidP="00991189">
      <w:pPr>
        <w:shd w:val="clear" w:color="auto" w:fill="FFFFFF"/>
        <w:spacing w:after="0" w:line="240" w:lineRule="auto"/>
        <w:ind w:firstLine="709"/>
        <w:jc w:val="both"/>
        <w:rPr>
          <w:rFonts w:ascii="Arial" w:hAnsi="Arial" w:cs="Arial"/>
          <w:sz w:val="24"/>
          <w:szCs w:val="24"/>
        </w:rPr>
      </w:pPr>
    </w:p>
    <w:p w14:paraId="098975E2" w14:textId="77777777" w:rsidR="00991189" w:rsidRPr="004C3E8F" w:rsidRDefault="00991189" w:rsidP="00991189">
      <w:pPr>
        <w:shd w:val="clear" w:color="auto" w:fill="FFFFFF"/>
        <w:spacing w:after="0" w:line="240" w:lineRule="auto"/>
        <w:ind w:firstLine="709"/>
        <w:jc w:val="both"/>
        <w:rPr>
          <w:rFonts w:ascii="Arial" w:hAnsi="Arial" w:cs="Arial"/>
          <w:sz w:val="24"/>
          <w:szCs w:val="24"/>
        </w:rPr>
      </w:pPr>
      <w:r w:rsidRPr="004C3E8F">
        <w:rPr>
          <w:rFonts w:ascii="Arial" w:hAnsi="Arial" w:cs="Arial"/>
          <w:sz w:val="24"/>
          <w:szCs w:val="24"/>
        </w:rPr>
        <w:t xml:space="preserve">El medio de impugnación se radicó en este órgano jurisdiccional, en el expediente SUP-JDC-1505/2016, y se resolvió el quince de abril del presente año, en el sentido de revocar el acuerdo impugnado y otorgar a Ana Teresa Aranda Orozco, el registro como candidata independiente al cargo de Gobernadora del Estado de Puebla, para lo cual, se ordenó al </w:t>
      </w:r>
    </w:p>
    <w:p w14:paraId="797C1DAA" w14:textId="77777777" w:rsidR="00991189" w:rsidRPr="004C3E8F" w:rsidRDefault="00991189" w:rsidP="00991189">
      <w:pPr>
        <w:shd w:val="clear" w:color="auto" w:fill="FFFFFF"/>
        <w:spacing w:after="0" w:line="240" w:lineRule="auto"/>
        <w:jc w:val="both"/>
        <w:rPr>
          <w:rFonts w:ascii="Arial" w:hAnsi="Arial" w:cs="Arial"/>
          <w:sz w:val="24"/>
          <w:szCs w:val="24"/>
        </w:rPr>
      </w:pPr>
    </w:p>
    <w:p w14:paraId="298AF64D" w14:textId="77777777" w:rsidR="00991189" w:rsidRPr="004C3E8F" w:rsidRDefault="00991189" w:rsidP="00991189">
      <w:pPr>
        <w:shd w:val="clear" w:color="auto" w:fill="FFFFFF"/>
        <w:spacing w:after="0" w:line="240" w:lineRule="auto"/>
        <w:jc w:val="both"/>
        <w:rPr>
          <w:rFonts w:ascii="Arial" w:hAnsi="Arial" w:cs="Arial"/>
          <w:sz w:val="24"/>
          <w:szCs w:val="24"/>
        </w:rPr>
      </w:pPr>
      <w:r w:rsidRPr="004C3E8F">
        <w:rPr>
          <w:rFonts w:ascii="Arial" w:hAnsi="Arial" w:cs="Arial"/>
          <w:sz w:val="24"/>
          <w:szCs w:val="24"/>
        </w:rPr>
        <w:t xml:space="preserve">Consejo General del Instituto Electoral del Estado de Puebla otorgarle la constancia respectiva. </w:t>
      </w:r>
    </w:p>
    <w:p w14:paraId="53179F0B" w14:textId="77777777" w:rsidR="00991189" w:rsidRPr="004C3E8F" w:rsidRDefault="00991189" w:rsidP="00991189">
      <w:pPr>
        <w:shd w:val="clear" w:color="auto" w:fill="FFFFFF"/>
        <w:spacing w:after="0" w:line="240" w:lineRule="auto"/>
        <w:ind w:firstLine="709"/>
        <w:jc w:val="both"/>
        <w:rPr>
          <w:rFonts w:ascii="Arial" w:hAnsi="Arial" w:cs="Arial"/>
          <w:sz w:val="24"/>
          <w:szCs w:val="24"/>
        </w:rPr>
      </w:pPr>
    </w:p>
    <w:p w14:paraId="4C3D563E" w14:textId="77777777" w:rsidR="00991189" w:rsidRPr="004C3E8F" w:rsidRDefault="00991189" w:rsidP="00991189">
      <w:pPr>
        <w:shd w:val="clear" w:color="auto" w:fill="FFFFFF"/>
        <w:spacing w:after="0" w:line="240" w:lineRule="auto"/>
        <w:ind w:firstLine="709"/>
        <w:jc w:val="both"/>
        <w:rPr>
          <w:rFonts w:ascii="Arial" w:hAnsi="Arial" w:cs="Arial"/>
          <w:sz w:val="24"/>
          <w:szCs w:val="24"/>
        </w:rPr>
      </w:pPr>
      <w:r w:rsidRPr="004C3E8F">
        <w:rPr>
          <w:rFonts w:ascii="Arial" w:hAnsi="Arial" w:cs="Arial"/>
          <w:sz w:val="24"/>
          <w:szCs w:val="24"/>
        </w:rPr>
        <w:t>La señalada autoridad administrativa electoral cumplimentó la sentencia de referencia el propio quince de abril del referido año.</w:t>
      </w:r>
    </w:p>
    <w:p w14:paraId="68225BEB" w14:textId="77777777" w:rsidR="00991189" w:rsidRPr="004C3E8F" w:rsidRDefault="00991189" w:rsidP="00991189">
      <w:pPr>
        <w:shd w:val="clear" w:color="auto" w:fill="FFFFFF"/>
        <w:spacing w:after="0" w:line="240" w:lineRule="auto"/>
        <w:ind w:firstLine="709"/>
        <w:jc w:val="both"/>
        <w:rPr>
          <w:rFonts w:ascii="Arial" w:hAnsi="Arial" w:cs="Arial"/>
          <w:sz w:val="24"/>
          <w:szCs w:val="24"/>
        </w:rPr>
      </w:pPr>
    </w:p>
    <w:p w14:paraId="092D2695" w14:textId="77777777" w:rsidR="00991189" w:rsidRPr="004C3E8F" w:rsidRDefault="00991189" w:rsidP="00991189">
      <w:pPr>
        <w:spacing w:after="0" w:line="240" w:lineRule="auto"/>
        <w:ind w:firstLine="709"/>
        <w:jc w:val="both"/>
        <w:rPr>
          <w:rFonts w:ascii="Arial" w:hAnsi="Arial" w:cs="Arial"/>
          <w:sz w:val="24"/>
          <w:szCs w:val="24"/>
        </w:rPr>
      </w:pPr>
      <w:r w:rsidRPr="004C3E8F">
        <w:rPr>
          <w:rFonts w:ascii="Arial" w:hAnsi="Arial" w:cs="Arial"/>
          <w:b/>
          <w:sz w:val="24"/>
          <w:szCs w:val="24"/>
        </w:rPr>
        <w:t>IX. Actos impugnados</w:t>
      </w:r>
      <w:r w:rsidRPr="004C3E8F">
        <w:rPr>
          <w:rFonts w:ascii="Arial" w:hAnsi="Arial" w:cs="Arial"/>
          <w:sz w:val="24"/>
          <w:szCs w:val="24"/>
        </w:rPr>
        <w:t xml:space="preserve">. Ana Teresa Aranda Orozco aduce que el dieciséis de abril del presente año, se percató de la publicidad de doce espectaculares y cuatro pantallas </w:t>
      </w:r>
      <w:r w:rsidRPr="004C3E8F">
        <w:rPr>
          <w:rFonts w:ascii="Arial" w:hAnsi="Arial" w:cs="Arial"/>
          <w:i/>
          <w:sz w:val="24"/>
          <w:szCs w:val="24"/>
        </w:rPr>
        <w:t>led</w:t>
      </w:r>
      <w:r w:rsidRPr="004C3E8F">
        <w:rPr>
          <w:rFonts w:ascii="Arial" w:hAnsi="Arial" w:cs="Arial"/>
          <w:sz w:val="24"/>
          <w:szCs w:val="24"/>
        </w:rPr>
        <w:t xml:space="preserve"> ubicadas en la zona metropolitana Puebla, en las que se difunde </w:t>
      </w:r>
      <w:r w:rsidRPr="004C3E8F">
        <w:rPr>
          <w:rFonts w:ascii="Arial" w:hAnsi="Arial" w:cs="Arial"/>
          <w:i/>
          <w:sz w:val="24"/>
          <w:szCs w:val="24"/>
        </w:rPr>
        <w:t>la identidad gráfica institucional</w:t>
      </w:r>
      <w:r w:rsidRPr="004C3E8F">
        <w:rPr>
          <w:rFonts w:ascii="Arial" w:hAnsi="Arial" w:cs="Arial"/>
          <w:sz w:val="24"/>
          <w:szCs w:val="24"/>
        </w:rPr>
        <w:t xml:space="preserve"> aprobada por el Instituto Electoral de Puebla en el Acuerdo CG/AC/028/15 de noviembre del año pasado, así como el mensaje siguiente:</w:t>
      </w:r>
    </w:p>
    <w:p w14:paraId="242DDE4C" w14:textId="77777777" w:rsidR="00991189" w:rsidRPr="00431C0A" w:rsidRDefault="00991189" w:rsidP="00991189">
      <w:pPr>
        <w:pStyle w:val="Sinespaciado"/>
        <w:jc w:val="center"/>
        <w:rPr>
          <w:rFonts w:ascii="Arial" w:hAnsi="Arial" w:cs="Arial"/>
          <w:sz w:val="28"/>
          <w:bdr w:val="none" w:sz="0" w:space="0" w:color="auto"/>
          <w:lang w:eastAsia="es-MX"/>
        </w:rPr>
      </w:pPr>
    </w:p>
    <w:p w14:paraId="0EB5DDFB" w14:textId="77777777" w:rsidR="00991189" w:rsidRPr="004C3E8F" w:rsidRDefault="00991189" w:rsidP="00991189">
      <w:pPr>
        <w:pStyle w:val="Sinespaciado"/>
        <w:jc w:val="center"/>
        <w:rPr>
          <w:rFonts w:ascii="Arial" w:hAnsi="Arial" w:cs="Arial"/>
          <w:bdr w:val="none" w:sz="0" w:space="0" w:color="auto"/>
          <w:lang w:eastAsia="es-MX"/>
        </w:rPr>
      </w:pPr>
      <w:r w:rsidRPr="004C3E8F">
        <w:rPr>
          <w:rFonts w:ascii="Arial" w:hAnsi="Arial" w:cs="Arial"/>
          <w:bdr w:val="none" w:sz="0" w:space="0" w:color="auto"/>
          <w:lang w:eastAsia="es-MX"/>
        </w:rPr>
        <w:t>#5deJunioEsElDía</w:t>
      </w:r>
    </w:p>
    <w:p w14:paraId="7211ADE3" w14:textId="77777777" w:rsidR="00991189" w:rsidRPr="004C3E8F" w:rsidRDefault="00991189" w:rsidP="00991189">
      <w:pPr>
        <w:pStyle w:val="Sinespaciado"/>
        <w:jc w:val="center"/>
        <w:rPr>
          <w:rFonts w:ascii="Arial" w:hAnsi="Arial" w:cs="Arial"/>
          <w:bdr w:val="none" w:sz="0" w:space="0" w:color="auto"/>
          <w:lang w:eastAsia="es-MX"/>
        </w:rPr>
      </w:pPr>
      <w:r w:rsidRPr="004C3E8F">
        <w:rPr>
          <w:rFonts w:ascii="Arial" w:hAnsi="Arial" w:cs="Arial"/>
          <w:bdr w:val="none" w:sz="0" w:space="0" w:color="auto"/>
          <w:lang w:eastAsia="es-MX"/>
        </w:rPr>
        <w:t>Elige a TU próximo</w:t>
      </w:r>
    </w:p>
    <w:p w14:paraId="2B48D726" w14:textId="77777777" w:rsidR="00991189" w:rsidRPr="004C3E8F" w:rsidRDefault="00991189" w:rsidP="00991189">
      <w:pPr>
        <w:pStyle w:val="Sinespaciado"/>
        <w:jc w:val="center"/>
        <w:rPr>
          <w:rFonts w:ascii="Arial" w:hAnsi="Arial" w:cs="Arial"/>
          <w:bdr w:val="none" w:sz="0" w:space="0" w:color="auto"/>
          <w:lang w:eastAsia="es-MX"/>
        </w:rPr>
      </w:pPr>
      <w:r w:rsidRPr="004C3E8F">
        <w:rPr>
          <w:rFonts w:ascii="Arial" w:hAnsi="Arial" w:cs="Arial"/>
          <w:bdr w:val="none" w:sz="0" w:space="0" w:color="auto"/>
          <w:lang w:eastAsia="es-MX"/>
        </w:rPr>
        <w:t>GOBERNADOR</w:t>
      </w:r>
    </w:p>
    <w:p w14:paraId="2472A60C" w14:textId="77777777" w:rsidR="00991189" w:rsidRPr="00431C0A" w:rsidRDefault="00991189" w:rsidP="00991189">
      <w:pPr>
        <w:pStyle w:val="Sinespaciado"/>
        <w:jc w:val="center"/>
        <w:rPr>
          <w:rFonts w:ascii="Arial" w:hAnsi="Arial" w:cs="Arial"/>
          <w:sz w:val="28"/>
          <w:bdr w:val="none" w:sz="0" w:space="0" w:color="auto"/>
          <w:lang w:eastAsia="es-MX"/>
        </w:rPr>
      </w:pPr>
    </w:p>
    <w:p w14:paraId="5D58DAA5" w14:textId="77777777" w:rsidR="00991189" w:rsidRPr="004C3E8F" w:rsidRDefault="00991189" w:rsidP="00991189">
      <w:pPr>
        <w:spacing w:after="0" w:line="240" w:lineRule="auto"/>
        <w:ind w:firstLine="709"/>
        <w:jc w:val="both"/>
        <w:rPr>
          <w:rFonts w:ascii="Arial" w:hAnsi="Arial" w:cs="Arial"/>
          <w:sz w:val="24"/>
          <w:szCs w:val="24"/>
        </w:rPr>
      </w:pPr>
      <w:r w:rsidRPr="004C3E8F">
        <w:rPr>
          <w:rFonts w:ascii="Arial" w:hAnsi="Arial" w:cs="Arial"/>
          <w:sz w:val="24"/>
          <w:szCs w:val="24"/>
        </w:rPr>
        <w:t xml:space="preserve">En el escrito de demanda, la accionante afirma que, hasta el diecisiete de mayo del año en curso, conoció el acuerdo por el que se aprobó la </w:t>
      </w:r>
      <w:r w:rsidRPr="004C3E8F">
        <w:rPr>
          <w:rFonts w:ascii="Arial" w:hAnsi="Arial" w:cs="Arial"/>
          <w:i/>
          <w:sz w:val="24"/>
          <w:szCs w:val="24"/>
        </w:rPr>
        <w:t xml:space="preserve">identidad gráfica institucional </w:t>
      </w:r>
      <w:r w:rsidRPr="004C3E8F">
        <w:rPr>
          <w:rFonts w:ascii="Arial" w:hAnsi="Arial" w:cs="Arial"/>
          <w:sz w:val="24"/>
          <w:szCs w:val="24"/>
        </w:rPr>
        <w:t>–logotipo-</w:t>
      </w:r>
      <w:r w:rsidRPr="004C3E8F">
        <w:rPr>
          <w:rFonts w:ascii="Arial" w:hAnsi="Arial" w:cs="Arial"/>
          <w:i/>
          <w:sz w:val="24"/>
          <w:szCs w:val="24"/>
        </w:rPr>
        <w:t xml:space="preserve">, </w:t>
      </w:r>
      <w:r w:rsidRPr="004C3E8F">
        <w:rPr>
          <w:rFonts w:ascii="Arial" w:hAnsi="Arial" w:cs="Arial"/>
          <w:sz w:val="24"/>
          <w:szCs w:val="24"/>
        </w:rPr>
        <w:t xml:space="preserve">contenida en los espectaculares y pantallas controvertidos. </w:t>
      </w:r>
    </w:p>
    <w:p w14:paraId="34C8E64D" w14:textId="77777777" w:rsidR="00991189" w:rsidRPr="004C3E8F" w:rsidRDefault="00991189" w:rsidP="00991189">
      <w:pPr>
        <w:spacing w:after="0" w:line="240" w:lineRule="auto"/>
        <w:ind w:firstLine="709"/>
        <w:jc w:val="both"/>
        <w:rPr>
          <w:rFonts w:ascii="Arial" w:hAnsi="Arial" w:cs="Arial"/>
          <w:sz w:val="24"/>
          <w:szCs w:val="24"/>
        </w:rPr>
      </w:pPr>
    </w:p>
    <w:p w14:paraId="1A37E334" w14:textId="77777777" w:rsidR="00991189" w:rsidRPr="004C3E8F" w:rsidRDefault="00991189" w:rsidP="00991189">
      <w:pPr>
        <w:spacing w:after="0" w:line="240" w:lineRule="auto"/>
        <w:ind w:firstLine="709"/>
        <w:jc w:val="both"/>
        <w:rPr>
          <w:rFonts w:ascii="Arial" w:hAnsi="Arial" w:cs="Arial"/>
          <w:sz w:val="24"/>
          <w:szCs w:val="24"/>
        </w:rPr>
      </w:pPr>
      <w:r w:rsidRPr="004C3E8F">
        <w:rPr>
          <w:rFonts w:ascii="Arial" w:hAnsi="Arial" w:cs="Arial"/>
          <w:sz w:val="24"/>
          <w:szCs w:val="24"/>
        </w:rPr>
        <w:t>Por su parte, Blanca María del Socorro Alcalá Ruiz señala que tanto en la página de internet del Instituto Electoral del Estado de Puebla como en diversos espectaculares se difunde propaganda institucional de ese organismo, por la cual se invita a la ciudadanía a votar en la próxima jornada electoral del proceso comicial ordinario que se desarrolla actualmente.</w:t>
      </w:r>
    </w:p>
    <w:p w14:paraId="6D140373" w14:textId="77777777" w:rsidR="00991189" w:rsidRPr="004C3E8F" w:rsidRDefault="00991189" w:rsidP="00991189">
      <w:pPr>
        <w:spacing w:after="0" w:line="240" w:lineRule="auto"/>
        <w:ind w:firstLine="709"/>
        <w:jc w:val="both"/>
        <w:rPr>
          <w:rFonts w:ascii="Arial" w:hAnsi="Arial" w:cs="Arial"/>
          <w:b/>
          <w:sz w:val="24"/>
          <w:szCs w:val="24"/>
        </w:rPr>
      </w:pPr>
    </w:p>
    <w:p w14:paraId="33D55082" w14:textId="77777777" w:rsidR="00991189" w:rsidRPr="004C3E8F" w:rsidRDefault="00991189" w:rsidP="00991189">
      <w:pPr>
        <w:spacing w:after="0" w:line="240" w:lineRule="auto"/>
        <w:ind w:firstLine="709"/>
        <w:jc w:val="both"/>
        <w:rPr>
          <w:rFonts w:ascii="Arial" w:hAnsi="Arial" w:cs="Arial"/>
          <w:sz w:val="24"/>
          <w:szCs w:val="24"/>
        </w:rPr>
      </w:pPr>
      <w:r w:rsidRPr="004C3E8F">
        <w:rPr>
          <w:rFonts w:ascii="Arial" w:hAnsi="Arial" w:cs="Arial"/>
          <w:b/>
          <w:sz w:val="24"/>
          <w:szCs w:val="24"/>
        </w:rPr>
        <w:t>SEGUNDO. Juicios ciudadanos federales</w:t>
      </w:r>
      <w:r w:rsidRPr="004C3E8F">
        <w:rPr>
          <w:rFonts w:ascii="Arial" w:hAnsi="Arial" w:cs="Arial"/>
          <w:sz w:val="24"/>
          <w:szCs w:val="24"/>
        </w:rPr>
        <w:t>. El dieciséis de mayo del presente año, Blanca María del Socorro Alcalá Ruiz, por conducto de Jesús Gerardo Saravia Rivera, en su carácter de apoderado legal, presentó juicio para la protección de los derecho político-electorales del ciudadano ante el Instituto Electoral del Estado de Puebla en contra de los actos relacionados con la colocación y utilización de propaganda institucional en la cual se promueve al voto en el proceso electoral local.</w:t>
      </w:r>
    </w:p>
    <w:p w14:paraId="197E5D47" w14:textId="77777777" w:rsidR="00991189" w:rsidRPr="004C3E8F" w:rsidRDefault="00991189" w:rsidP="00991189">
      <w:pPr>
        <w:spacing w:after="0" w:line="240" w:lineRule="auto"/>
        <w:ind w:firstLine="709"/>
        <w:jc w:val="both"/>
        <w:rPr>
          <w:rFonts w:ascii="Arial" w:hAnsi="Arial" w:cs="Arial"/>
          <w:sz w:val="24"/>
          <w:szCs w:val="24"/>
        </w:rPr>
      </w:pPr>
    </w:p>
    <w:p w14:paraId="1FCD1C4D" w14:textId="77777777" w:rsidR="00991189" w:rsidRPr="004C3E8F" w:rsidRDefault="00991189" w:rsidP="00991189">
      <w:pPr>
        <w:spacing w:after="0" w:line="240" w:lineRule="auto"/>
        <w:ind w:firstLine="709"/>
        <w:jc w:val="both"/>
        <w:rPr>
          <w:rFonts w:ascii="Arial" w:hAnsi="Arial" w:cs="Arial"/>
          <w:sz w:val="24"/>
          <w:szCs w:val="24"/>
        </w:rPr>
      </w:pPr>
      <w:r w:rsidRPr="004C3E8F">
        <w:rPr>
          <w:rFonts w:ascii="Arial" w:hAnsi="Arial" w:cs="Arial"/>
          <w:sz w:val="24"/>
          <w:szCs w:val="24"/>
        </w:rPr>
        <w:t xml:space="preserve">El dieciocho de mayo de dos mil dieciséis, Ana Teresa Aranda Orozco promovió </w:t>
      </w:r>
      <w:r w:rsidRPr="004C3E8F">
        <w:rPr>
          <w:rFonts w:ascii="Arial" w:hAnsi="Arial" w:cs="Arial"/>
          <w:i/>
          <w:sz w:val="24"/>
          <w:szCs w:val="24"/>
        </w:rPr>
        <w:t xml:space="preserve">per </w:t>
      </w:r>
      <w:proofErr w:type="spellStart"/>
      <w:r w:rsidRPr="004C3E8F">
        <w:rPr>
          <w:rFonts w:ascii="Arial" w:hAnsi="Arial" w:cs="Arial"/>
          <w:i/>
          <w:sz w:val="24"/>
          <w:szCs w:val="24"/>
        </w:rPr>
        <w:t>saltum</w:t>
      </w:r>
      <w:proofErr w:type="spellEnd"/>
      <w:r w:rsidRPr="004C3E8F">
        <w:rPr>
          <w:rFonts w:ascii="Arial" w:hAnsi="Arial" w:cs="Arial"/>
          <w:sz w:val="24"/>
          <w:szCs w:val="24"/>
        </w:rPr>
        <w:t xml:space="preserve"> juicio para la protección de los derechos político-electorales del ciudadano ante este órgano jurisdiccional, a fin de impugnar la publicidad dirigida a la promoción del voto por parte del Instituto Electoral del Estado de Puebla contenida en doce espectaculares y cuatro pantallas led ubicadas en la zona metropolitana de la citada entidad federativa, cuya identidad gráfica se aprobó en el Acuerdo CG/AC/028/15, emitido por el Consejo General del referido organismo electoral el veintitrés de noviembre de dos mil quince. </w:t>
      </w:r>
    </w:p>
    <w:p w14:paraId="1AC36F98" w14:textId="77777777" w:rsidR="00991189" w:rsidRPr="004C3E8F" w:rsidRDefault="00991189" w:rsidP="00991189">
      <w:pPr>
        <w:spacing w:after="0" w:line="240" w:lineRule="auto"/>
        <w:ind w:firstLine="709"/>
        <w:jc w:val="both"/>
        <w:rPr>
          <w:rFonts w:ascii="Arial" w:hAnsi="Arial" w:cs="Arial"/>
          <w:b/>
          <w:sz w:val="24"/>
          <w:szCs w:val="24"/>
        </w:rPr>
      </w:pPr>
    </w:p>
    <w:p w14:paraId="569CE7D8" w14:textId="77777777" w:rsidR="00991189" w:rsidRPr="004C3E8F" w:rsidRDefault="00991189" w:rsidP="00991189">
      <w:pPr>
        <w:spacing w:after="0" w:line="240" w:lineRule="auto"/>
        <w:ind w:firstLine="709"/>
        <w:jc w:val="both"/>
        <w:rPr>
          <w:rFonts w:ascii="Arial" w:hAnsi="Arial" w:cs="Arial"/>
          <w:sz w:val="24"/>
          <w:szCs w:val="24"/>
        </w:rPr>
      </w:pPr>
      <w:r w:rsidRPr="004C3E8F">
        <w:rPr>
          <w:rFonts w:ascii="Arial" w:hAnsi="Arial" w:cs="Arial"/>
          <w:b/>
          <w:sz w:val="24"/>
          <w:szCs w:val="24"/>
        </w:rPr>
        <w:t xml:space="preserve"> I. Turno a Ponencia del expediente SUP- JDC-1619/2016</w:t>
      </w:r>
      <w:r w:rsidRPr="004C3E8F">
        <w:rPr>
          <w:rFonts w:ascii="Arial" w:hAnsi="Arial" w:cs="Arial"/>
          <w:sz w:val="24"/>
          <w:szCs w:val="24"/>
        </w:rPr>
        <w:t>. Mediante proveído de dieciocho de mayo de dos mil dieciséis, el Magistrado Presidente de la Sala Superior acordó integrar el expediente SUP- JDC-1619/2016, y turnarlo a la Ponencia a su cargo, para los efectos previstos en el artículo 19, de la Ley General del Sistema de Medios de Impugnación en Materia Electoral.</w:t>
      </w:r>
    </w:p>
    <w:p w14:paraId="5C772A33" w14:textId="77777777" w:rsidR="00991189" w:rsidRPr="004C3E8F" w:rsidRDefault="00991189" w:rsidP="00991189">
      <w:pPr>
        <w:spacing w:after="0" w:line="240" w:lineRule="auto"/>
        <w:jc w:val="both"/>
        <w:rPr>
          <w:rFonts w:ascii="Arial" w:hAnsi="Arial" w:cs="Arial"/>
          <w:b/>
          <w:sz w:val="24"/>
          <w:szCs w:val="24"/>
        </w:rPr>
      </w:pPr>
    </w:p>
    <w:p w14:paraId="629AD379" w14:textId="77777777" w:rsidR="00991189" w:rsidRPr="004C3E8F" w:rsidRDefault="00991189" w:rsidP="00991189">
      <w:pPr>
        <w:spacing w:after="0" w:line="240" w:lineRule="auto"/>
        <w:ind w:firstLine="709"/>
        <w:jc w:val="both"/>
        <w:rPr>
          <w:rFonts w:ascii="Arial" w:hAnsi="Arial" w:cs="Arial"/>
          <w:sz w:val="24"/>
          <w:szCs w:val="24"/>
        </w:rPr>
      </w:pPr>
      <w:r w:rsidRPr="004C3E8F">
        <w:rPr>
          <w:rFonts w:ascii="Arial" w:hAnsi="Arial" w:cs="Arial"/>
          <w:b/>
          <w:sz w:val="24"/>
          <w:szCs w:val="24"/>
        </w:rPr>
        <w:t>II. Requerimiento a la autoridad responsable</w:t>
      </w:r>
      <w:r w:rsidRPr="004C3E8F">
        <w:rPr>
          <w:rFonts w:ascii="Arial" w:hAnsi="Arial" w:cs="Arial"/>
          <w:sz w:val="24"/>
          <w:szCs w:val="24"/>
        </w:rPr>
        <w:t>. El dieciocho de mayo de dos mil dieciséis, la Secretaria General de Acuerdos de la Sala Superior requirió al Consejo General del Instituto Electoral del Estado de Puebla para dar trámite a la demanda conforme a los artículos 17 y 18, de la Ley General del Sistema de Medios de Impugnación en Materia Electoral, y para que remitiera las constancias respectivas y, en su caso, los escritos de terceros interesados, respecto del expediente SUP-JDC-1619/2016.</w:t>
      </w:r>
    </w:p>
    <w:p w14:paraId="68AFA6D7" w14:textId="77777777" w:rsidR="00991189" w:rsidRPr="004C3E8F" w:rsidRDefault="00991189" w:rsidP="00991189">
      <w:pPr>
        <w:spacing w:after="0" w:line="240" w:lineRule="auto"/>
        <w:ind w:firstLine="709"/>
        <w:jc w:val="both"/>
        <w:rPr>
          <w:rFonts w:ascii="Arial" w:hAnsi="Arial" w:cs="Arial"/>
          <w:b/>
          <w:sz w:val="24"/>
          <w:szCs w:val="24"/>
        </w:rPr>
      </w:pPr>
    </w:p>
    <w:p w14:paraId="35A076CC" w14:textId="77777777" w:rsidR="00991189" w:rsidRPr="004C3E8F" w:rsidRDefault="00991189" w:rsidP="00991189">
      <w:pPr>
        <w:spacing w:after="0" w:line="240" w:lineRule="auto"/>
        <w:ind w:firstLine="709"/>
        <w:jc w:val="both"/>
        <w:rPr>
          <w:rFonts w:ascii="Arial" w:hAnsi="Arial" w:cs="Arial"/>
          <w:sz w:val="24"/>
          <w:szCs w:val="24"/>
        </w:rPr>
      </w:pPr>
      <w:r w:rsidRPr="004C3E8F">
        <w:rPr>
          <w:rFonts w:ascii="Arial" w:hAnsi="Arial" w:cs="Arial"/>
          <w:b/>
          <w:sz w:val="24"/>
          <w:szCs w:val="24"/>
        </w:rPr>
        <w:lastRenderedPageBreak/>
        <w:t xml:space="preserve">III. Recepción del expediente SUP- JDC-1621/2016. </w:t>
      </w:r>
      <w:r w:rsidRPr="004C3E8F">
        <w:rPr>
          <w:rFonts w:ascii="Arial" w:hAnsi="Arial" w:cs="Arial"/>
          <w:sz w:val="24"/>
          <w:szCs w:val="24"/>
        </w:rPr>
        <w:t>Mediante oficio IEE/PRE/2685/16 de diecinueve de mayo de dos mil dieciséis, recibido en la Oficialía de Partes de esta Sala Superior el veinte siguiente, suscrito por el Consejero Presidente del Instituto Electoral del Estado de Puebla, se remitió la demanda y la documentación atinente al trámite del juicio SUP-JDC-1621/2016.</w:t>
      </w:r>
    </w:p>
    <w:p w14:paraId="67FA5124" w14:textId="77777777" w:rsidR="00991189" w:rsidRPr="004C3E8F" w:rsidRDefault="00991189" w:rsidP="00991189">
      <w:pPr>
        <w:spacing w:after="0" w:line="240" w:lineRule="auto"/>
        <w:ind w:firstLine="709"/>
        <w:jc w:val="both"/>
        <w:rPr>
          <w:rFonts w:ascii="Arial" w:hAnsi="Arial" w:cs="Arial"/>
          <w:b/>
          <w:sz w:val="24"/>
          <w:szCs w:val="24"/>
        </w:rPr>
      </w:pPr>
    </w:p>
    <w:p w14:paraId="0907B48A" w14:textId="77777777" w:rsidR="00991189" w:rsidRPr="004C3E8F" w:rsidRDefault="00991189" w:rsidP="00991189">
      <w:pPr>
        <w:spacing w:after="0" w:line="240" w:lineRule="auto"/>
        <w:ind w:firstLine="709"/>
        <w:jc w:val="both"/>
        <w:rPr>
          <w:rFonts w:ascii="Arial" w:hAnsi="Arial" w:cs="Arial"/>
          <w:sz w:val="24"/>
          <w:szCs w:val="24"/>
        </w:rPr>
      </w:pPr>
      <w:r w:rsidRPr="004C3E8F">
        <w:rPr>
          <w:rFonts w:ascii="Arial" w:hAnsi="Arial" w:cs="Arial"/>
          <w:b/>
          <w:sz w:val="24"/>
          <w:szCs w:val="24"/>
        </w:rPr>
        <w:t>IV. Desahogo del requerimiento</w:t>
      </w:r>
      <w:r w:rsidRPr="004C3E8F">
        <w:rPr>
          <w:rFonts w:ascii="Arial" w:hAnsi="Arial" w:cs="Arial"/>
          <w:sz w:val="24"/>
          <w:szCs w:val="24"/>
        </w:rPr>
        <w:t>. El veinte de mayo del presente año, la autoridad responsable desahogó el requerimiento ordenado mediante oficio con clave IEE/PRE/2690/16, por el que remitió diversa documentación y su informe circunstanciado, relacionado con el juicio SUP-JDC-1619/2016.</w:t>
      </w:r>
    </w:p>
    <w:p w14:paraId="07A5B92D" w14:textId="77777777" w:rsidR="00991189" w:rsidRPr="004C3E8F" w:rsidRDefault="00991189" w:rsidP="00991189">
      <w:pPr>
        <w:spacing w:after="0" w:line="240" w:lineRule="auto"/>
        <w:ind w:firstLine="709"/>
        <w:jc w:val="both"/>
        <w:rPr>
          <w:rFonts w:ascii="Arial" w:hAnsi="Arial" w:cs="Arial"/>
          <w:sz w:val="24"/>
          <w:szCs w:val="24"/>
        </w:rPr>
      </w:pPr>
    </w:p>
    <w:p w14:paraId="7BBD98CF" w14:textId="77777777" w:rsidR="00991189" w:rsidRPr="004C3E8F" w:rsidRDefault="00991189" w:rsidP="00991189">
      <w:pPr>
        <w:spacing w:after="0" w:line="240" w:lineRule="auto"/>
        <w:ind w:firstLine="709"/>
        <w:jc w:val="both"/>
        <w:rPr>
          <w:rFonts w:ascii="Arial" w:hAnsi="Arial" w:cs="Arial"/>
          <w:sz w:val="24"/>
          <w:szCs w:val="24"/>
        </w:rPr>
      </w:pPr>
      <w:r w:rsidRPr="004C3E8F">
        <w:rPr>
          <w:rFonts w:ascii="Arial" w:hAnsi="Arial" w:cs="Arial"/>
          <w:b/>
          <w:sz w:val="24"/>
          <w:szCs w:val="24"/>
        </w:rPr>
        <w:t>V.</w:t>
      </w:r>
      <w:r w:rsidRPr="004C3E8F">
        <w:rPr>
          <w:rFonts w:ascii="Arial" w:hAnsi="Arial" w:cs="Arial"/>
          <w:sz w:val="24"/>
          <w:szCs w:val="24"/>
        </w:rPr>
        <w:t xml:space="preserve"> </w:t>
      </w:r>
      <w:r w:rsidRPr="004C3E8F">
        <w:rPr>
          <w:rFonts w:ascii="Arial" w:hAnsi="Arial" w:cs="Arial"/>
          <w:b/>
          <w:sz w:val="24"/>
          <w:szCs w:val="24"/>
        </w:rPr>
        <w:t>Turno a Ponencia del expediente SUP- JDC-1621/2016</w:t>
      </w:r>
      <w:r w:rsidRPr="004C3E8F">
        <w:rPr>
          <w:rFonts w:ascii="Arial" w:hAnsi="Arial" w:cs="Arial"/>
          <w:sz w:val="24"/>
          <w:szCs w:val="24"/>
        </w:rPr>
        <w:t>. Por proveído de veinte de mayo del presente año, el Magistrado Presidente de este órgano jurisdiccional, acordó integrar el expediente identificado con la clave SUP-JDC-1621/2016, con motivo de la demanda referida y ordenó turnarlo a la Ponencia del Magistrado Manuel González Oropeza, para los efectos previstos en el artículo 19, de la Ley General del Sistema de Medios de Impugnación en Materia Electoral.</w:t>
      </w:r>
    </w:p>
    <w:p w14:paraId="339C3682" w14:textId="77777777" w:rsidR="00991189" w:rsidRPr="004C3E8F" w:rsidRDefault="00991189" w:rsidP="00991189">
      <w:pPr>
        <w:spacing w:after="0" w:line="240" w:lineRule="auto"/>
        <w:ind w:firstLine="709"/>
        <w:jc w:val="both"/>
        <w:rPr>
          <w:rFonts w:ascii="Arial" w:hAnsi="Arial" w:cs="Arial"/>
          <w:b/>
          <w:sz w:val="24"/>
          <w:szCs w:val="24"/>
        </w:rPr>
      </w:pPr>
    </w:p>
    <w:p w14:paraId="0AE3F611" w14:textId="77777777" w:rsidR="00991189" w:rsidRPr="004C3E8F" w:rsidRDefault="00991189" w:rsidP="00991189">
      <w:pPr>
        <w:spacing w:after="0" w:line="240" w:lineRule="auto"/>
        <w:ind w:firstLine="709"/>
        <w:jc w:val="both"/>
        <w:rPr>
          <w:rFonts w:ascii="Arial" w:hAnsi="Arial" w:cs="Arial"/>
          <w:sz w:val="24"/>
          <w:szCs w:val="24"/>
        </w:rPr>
      </w:pPr>
      <w:r w:rsidRPr="004C3E8F">
        <w:rPr>
          <w:rFonts w:ascii="Arial" w:hAnsi="Arial" w:cs="Arial"/>
          <w:b/>
          <w:sz w:val="24"/>
          <w:szCs w:val="24"/>
        </w:rPr>
        <w:t>VI. Terceros interesados</w:t>
      </w:r>
      <w:r w:rsidRPr="004C3E8F">
        <w:rPr>
          <w:rFonts w:ascii="Arial" w:hAnsi="Arial" w:cs="Arial"/>
          <w:sz w:val="24"/>
          <w:szCs w:val="24"/>
        </w:rPr>
        <w:t>. A los presentes juicios no compareció ningún tercero interesado.</w:t>
      </w:r>
    </w:p>
    <w:p w14:paraId="66639FAC" w14:textId="77777777" w:rsidR="00991189" w:rsidRPr="004C3E8F" w:rsidRDefault="00991189" w:rsidP="00991189">
      <w:pPr>
        <w:spacing w:after="0" w:line="240" w:lineRule="auto"/>
        <w:ind w:firstLine="709"/>
        <w:jc w:val="both"/>
        <w:rPr>
          <w:rFonts w:ascii="Arial" w:hAnsi="Arial" w:cs="Arial"/>
          <w:b/>
          <w:sz w:val="24"/>
          <w:szCs w:val="24"/>
        </w:rPr>
      </w:pPr>
    </w:p>
    <w:p w14:paraId="16F17DDA" w14:textId="77777777" w:rsidR="00991189" w:rsidRPr="004C3E8F" w:rsidRDefault="00991189" w:rsidP="00991189">
      <w:pPr>
        <w:spacing w:after="0" w:line="240" w:lineRule="auto"/>
        <w:ind w:firstLine="709"/>
        <w:jc w:val="both"/>
        <w:rPr>
          <w:rFonts w:ascii="Arial" w:hAnsi="Arial" w:cs="Arial"/>
          <w:sz w:val="24"/>
          <w:szCs w:val="24"/>
        </w:rPr>
      </w:pPr>
      <w:r w:rsidRPr="004C3E8F">
        <w:rPr>
          <w:rFonts w:ascii="Arial" w:hAnsi="Arial" w:cs="Arial"/>
          <w:b/>
          <w:sz w:val="24"/>
          <w:szCs w:val="24"/>
        </w:rPr>
        <w:t>VII. Admisión y cierre de instrucción.</w:t>
      </w:r>
      <w:r w:rsidRPr="004C3E8F">
        <w:rPr>
          <w:rFonts w:ascii="Arial" w:hAnsi="Arial" w:cs="Arial"/>
          <w:sz w:val="24"/>
          <w:szCs w:val="24"/>
        </w:rPr>
        <w:t xml:space="preserve"> En su oportunidad se radicaron y se admitieron a trámite; posteriormente, al no existir diligencia pendiente de desahogar, se determinó cerrar la instrucción, quedando los asuntos en estado de resolución; y,</w:t>
      </w:r>
    </w:p>
    <w:p w14:paraId="4975CB0B" w14:textId="77777777" w:rsidR="00991189" w:rsidRPr="004C3E8F" w:rsidRDefault="00991189" w:rsidP="00991189">
      <w:pPr>
        <w:shd w:val="clear" w:color="auto" w:fill="FFFFFF"/>
        <w:spacing w:after="0" w:line="240" w:lineRule="auto"/>
        <w:ind w:firstLine="709"/>
        <w:jc w:val="both"/>
        <w:rPr>
          <w:rFonts w:ascii="Arial" w:hAnsi="Arial" w:cs="Arial"/>
          <w:sz w:val="24"/>
          <w:szCs w:val="24"/>
        </w:rPr>
      </w:pPr>
    </w:p>
    <w:p w14:paraId="46FB3D56" w14:textId="77777777" w:rsidR="00991189" w:rsidRPr="004C3E8F" w:rsidRDefault="00991189" w:rsidP="00991189">
      <w:pPr>
        <w:shd w:val="clear" w:color="auto" w:fill="FFFFFF"/>
        <w:spacing w:after="0" w:line="240" w:lineRule="auto"/>
        <w:ind w:firstLine="709"/>
        <w:jc w:val="both"/>
        <w:rPr>
          <w:rFonts w:ascii="Arial" w:hAnsi="Arial" w:cs="Arial"/>
          <w:sz w:val="24"/>
          <w:szCs w:val="24"/>
        </w:rPr>
      </w:pPr>
    </w:p>
    <w:p w14:paraId="2F6CEC00" w14:textId="77777777" w:rsidR="00991189" w:rsidRPr="004C3E8F" w:rsidRDefault="00991189" w:rsidP="00991189">
      <w:pPr>
        <w:shd w:val="clear" w:color="auto" w:fill="FFFFFF"/>
        <w:spacing w:after="0" w:line="240" w:lineRule="auto"/>
        <w:jc w:val="center"/>
        <w:rPr>
          <w:rFonts w:ascii="Arial" w:hAnsi="Arial" w:cs="Arial"/>
          <w:b/>
          <w:sz w:val="24"/>
          <w:szCs w:val="24"/>
        </w:rPr>
      </w:pPr>
      <w:r w:rsidRPr="004C3E8F">
        <w:rPr>
          <w:rFonts w:ascii="Arial" w:hAnsi="Arial" w:cs="Arial"/>
          <w:b/>
          <w:sz w:val="24"/>
          <w:szCs w:val="24"/>
        </w:rPr>
        <w:t>C O N S I D E R A N D O:</w:t>
      </w:r>
    </w:p>
    <w:p w14:paraId="00A69B17" w14:textId="77777777" w:rsidR="00991189" w:rsidRPr="004C3E8F" w:rsidRDefault="00991189" w:rsidP="00991189">
      <w:pPr>
        <w:shd w:val="clear" w:color="auto" w:fill="FFFFFF"/>
        <w:spacing w:after="0" w:line="240" w:lineRule="auto"/>
        <w:ind w:firstLine="709"/>
        <w:jc w:val="both"/>
        <w:rPr>
          <w:rFonts w:ascii="Arial" w:hAnsi="Arial" w:cs="Arial"/>
          <w:b/>
          <w:sz w:val="24"/>
          <w:szCs w:val="24"/>
        </w:rPr>
      </w:pPr>
    </w:p>
    <w:p w14:paraId="129861BA" w14:textId="77777777" w:rsidR="00991189" w:rsidRPr="004C3E8F" w:rsidRDefault="00991189" w:rsidP="00991189">
      <w:pPr>
        <w:shd w:val="clear" w:color="auto" w:fill="FFFFFF"/>
        <w:spacing w:after="0" w:line="240" w:lineRule="auto"/>
        <w:ind w:firstLine="709"/>
        <w:jc w:val="both"/>
        <w:rPr>
          <w:rFonts w:ascii="Arial" w:hAnsi="Arial" w:cs="Arial"/>
          <w:b/>
          <w:sz w:val="24"/>
          <w:szCs w:val="24"/>
        </w:rPr>
      </w:pPr>
    </w:p>
    <w:p w14:paraId="7AE9E207" w14:textId="77777777" w:rsidR="00991189" w:rsidRPr="004C3E8F" w:rsidRDefault="00991189" w:rsidP="00991189">
      <w:pPr>
        <w:pStyle w:val="NormalWeb"/>
        <w:spacing w:before="0" w:after="0"/>
        <w:ind w:firstLine="709"/>
        <w:jc w:val="both"/>
        <w:rPr>
          <w:rFonts w:ascii="Arial" w:eastAsia="Times New Roman" w:hAnsi="Arial" w:cs="Arial"/>
          <w:color w:val="auto"/>
          <w:bdr w:val="none" w:sz="0" w:space="0" w:color="auto"/>
        </w:rPr>
      </w:pPr>
      <w:r w:rsidRPr="004C3E8F">
        <w:rPr>
          <w:rFonts w:ascii="Arial" w:hAnsi="Arial" w:cs="Arial"/>
          <w:b/>
        </w:rPr>
        <w:t xml:space="preserve">PRIMERO. Jurisdicción y competencia. </w:t>
      </w:r>
      <w:r w:rsidRPr="004C3E8F">
        <w:rPr>
          <w:rFonts w:ascii="Arial" w:eastAsia="Times New Roman" w:hAnsi="Arial" w:cs="Arial"/>
          <w:color w:val="auto"/>
          <w:bdr w:val="none" w:sz="0" w:space="0" w:color="auto"/>
        </w:rPr>
        <w:t>El Tribunal Electoral del Poder Judicial de la Federación ejerce jurisdicción y la Sala Superior es competente para conocer y resolver los medios de impugnación precisados al rubro, con fundamento en lo dispuesto en los artículos 41, fracción VI, 99, fracción V, de la Constitución Política de los Estados Unidos Mexicanos; 184, 186, fracción III, inciso c), y 189, fracción I, inciso e), de la Ley Orgánica del Poder Judicial de la Federación; así como 79, 80, párrafo 1, inciso f), y 83, párrafo 1, inciso a), fracción IV, de la Ley General del Sistema de Medios de Impugnación en Materia Electoral.</w:t>
      </w:r>
    </w:p>
    <w:p w14:paraId="79911A7E"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p>
    <w:p w14:paraId="4EB2443E"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 xml:space="preserve">Lo anterior, debido a que se trata de juicios para la protección de los derechos político-electorales del ciudadano, que se promueven para controvertir </w:t>
      </w:r>
      <w:r w:rsidRPr="004C3E8F">
        <w:rPr>
          <w:rFonts w:ascii="Arial" w:hAnsi="Arial" w:cs="Arial"/>
          <w:sz w:val="24"/>
          <w:szCs w:val="24"/>
        </w:rPr>
        <w:t xml:space="preserve">la publicidad dirigida a la promoción del voto por parte del Instituto Electoral del Estado de Puebla contenida en </w:t>
      </w:r>
      <w:r w:rsidRPr="004C3E8F">
        <w:rPr>
          <w:rFonts w:ascii="Arial" w:eastAsia="Times New Roman" w:hAnsi="Arial" w:cs="Arial"/>
          <w:sz w:val="24"/>
          <w:szCs w:val="24"/>
          <w:lang w:eastAsia="es-MX"/>
        </w:rPr>
        <w:t xml:space="preserve">doce espectaculares, cuatro pantallas </w:t>
      </w:r>
      <w:r w:rsidRPr="004C3E8F">
        <w:rPr>
          <w:rFonts w:ascii="Arial" w:eastAsia="Times New Roman" w:hAnsi="Arial" w:cs="Arial"/>
          <w:i/>
          <w:sz w:val="24"/>
          <w:szCs w:val="24"/>
          <w:lang w:eastAsia="es-MX"/>
        </w:rPr>
        <w:t>led</w:t>
      </w:r>
      <w:r w:rsidRPr="004C3E8F">
        <w:rPr>
          <w:rFonts w:ascii="Arial" w:eastAsia="Times New Roman" w:hAnsi="Arial" w:cs="Arial"/>
          <w:sz w:val="24"/>
          <w:szCs w:val="24"/>
          <w:lang w:eastAsia="es-MX"/>
        </w:rPr>
        <w:t xml:space="preserve"> ubicadas en la zona metropolitana de la citada entidad federativa, y en el sitio </w:t>
      </w:r>
      <w:r w:rsidRPr="004C3E8F">
        <w:rPr>
          <w:rFonts w:ascii="Arial" w:eastAsia="Times New Roman" w:hAnsi="Arial" w:cs="Arial"/>
          <w:i/>
          <w:sz w:val="24"/>
          <w:szCs w:val="24"/>
          <w:lang w:eastAsia="es-MX"/>
        </w:rPr>
        <w:t xml:space="preserve">web </w:t>
      </w:r>
      <w:r w:rsidRPr="004C3E8F">
        <w:rPr>
          <w:rFonts w:ascii="Arial" w:eastAsia="Times New Roman" w:hAnsi="Arial" w:cs="Arial"/>
          <w:sz w:val="24"/>
          <w:szCs w:val="24"/>
          <w:lang w:eastAsia="es-MX"/>
        </w:rPr>
        <w:t xml:space="preserve">de la autoridad responsable, cuya </w:t>
      </w:r>
      <w:r w:rsidRPr="004C3E8F">
        <w:rPr>
          <w:rFonts w:ascii="Arial" w:eastAsia="Times New Roman" w:hAnsi="Arial" w:cs="Arial"/>
          <w:i/>
          <w:sz w:val="24"/>
          <w:szCs w:val="24"/>
          <w:lang w:eastAsia="es-MX"/>
        </w:rPr>
        <w:t xml:space="preserve">identidad gráfica </w:t>
      </w:r>
      <w:r w:rsidRPr="004C3E8F">
        <w:rPr>
          <w:rFonts w:ascii="Arial" w:eastAsia="Times New Roman" w:hAnsi="Arial" w:cs="Arial"/>
          <w:sz w:val="24"/>
          <w:szCs w:val="24"/>
          <w:lang w:eastAsia="es-MX"/>
        </w:rPr>
        <w:t xml:space="preserve">se aprobó en el </w:t>
      </w:r>
      <w:r w:rsidRPr="004C3E8F">
        <w:rPr>
          <w:rFonts w:ascii="Arial" w:hAnsi="Arial" w:cs="Arial"/>
          <w:sz w:val="24"/>
          <w:szCs w:val="24"/>
        </w:rPr>
        <w:t>Acuerdo CG/AC/028/15, emitido por el Consejo General del referido organismo electoral el</w:t>
      </w:r>
      <w:r w:rsidRPr="004C3E8F">
        <w:rPr>
          <w:rFonts w:ascii="Arial" w:eastAsia="Times New Roman" w:hAnsi="Arial" w:cs="Arial"/>
          <w:sz w:val="24"/>
          <w:szCs w:val="24"/>
          <w:lang w:eastAsia="es-MX"/>
        </w:rPr>
        <w:t xml:space="preserve"> veintitrés de noviembre de dos mil quince, por los que las promoventes aducen, generan una vulneración a </w:t>
      </w:r>
      <w:r w:rsidRPr="004C3E8F">
        <w:rPr>
          <w:rFonts w:ascii="Arial" w:eastAsia="Times New Roman" w:hAnsi="Arial" w:cs="Arial"/>
          <w:sz w:val="24"/>
          <w:szCs w:val="24"/>
          <w:lang w:eastAsia="es-MX"/>
        </w:rPr>
        <w:lastRenderedPageBreak/>
        <w:t>los principios de igualdad de género y equidad electoral, con la consecuente afectación a su derecho político-electoral de votar y ser votadas como candidatas al cargo de gobernadora de una entidad federativa.</w:t>
      </w:r>
    </w:p>
    <w:p w14:paraId="27F0CABA"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p>
    <w:p w14:paraId="5B9E10FE"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r w:rsidRPr="004C3E8F">
        <w:rPr>
          <w:rFonts w:ascii="Arial" w:hAnsi="Arial" w:cs="Arial"/>
          <w:b/>
          <w:sz w:val="24"/>
          <w:szCs w:val="24"/>
        </w:rPr>
        <w:t xml:space="preserve">SEGUNDO. </w:t>
      </w:r>
      <w:r w:rsidRPr="004C3E8F">
        <w:rPr>
          <w:rFonts w:ascii="Arial" w:eastAsia="Times New Roman" w:hAnsi="Arial" w:cs="Arial"/>
          <w:b/>
          <w:i/>
          <w:sz w:val="24"/>
          <w:szCs w:val="24"/>
          <w:lang w:eastAsia="es-MX"/>
        </w:rPr>
        <w:t xml:space="preserve">Per </w:t>
      </w:r>
      <w:proofErr w:type="spellStart"/>
      <w:r w:rsidRPr="004C3E8F">
        <w:rPr>
          <w:rFonts w:ascii="Arial" w:eastAsia="Times New Roman" w:hAnsi="Arial" w:cs="Arial"/>
          <w:b/>
          <w:i/>
          <w:sz w:val="24"/>
          <w:szCs w:val="24"/>
          <w:lang w:eastAsia="es-MX"/>
        </w:rPr>
        <w:t>saltum</w:t>
      </w:r>
      <w:proofErr w:type="spellEnd"/>
      <w:r w:rsidRPr="004C3E8F">
        <w:rPr>
          <w:rFonts w:ascii="Arial" w:eastAsia="Times New Roman" w:hAnsi="Arial" w:cs="Arial"/>
          <w:sz w:val="24"/>
          <w:szCs w:val="24"/>
          <w:lang w:eastAsia="es-MX"/>
        </w:rPr>
        <w:t xml:space="preserve">. Las actoras solicitan que este órgano jurisdiccional conozca de su impugnación vía </w:t>
      </w:r>
      <w:r w:rsidRPr="004C3E8F">
        <w:rPr>
          <w:rFonts w:ascii="Arial" w:eastAsia="Times New Roman" w:hAnsi="Arial" w:cs="Arial"/>
          <w:i/>
          <w:sz w:val="24"/>
          <w:szCs w:val="24"/>
          <w:lang w:eastAsia="es-MX"/>
        </w:rPr>
        <w:t xml:space="preserve">per </w:t>
      </w:r>
      <w:proofErr w:type="spellStart"/>
      <w:r w:rsidRPr="004C3E8F">
        <w:rPr>
          <w:rFonts w:ascii="Arial" w:eastAsia="Times New Roman" w:hAnsi="Arial" w:cs="Arial"/>
          <w:i/>
          <w:sz w:val="24"/>
          <w:szCs w:val="24"/>
          <w:lang w:eastAsia="es-MX"/>
        </w:rPr>
        <w:t>saltum</w:t>
      </w:r>
      <w:proofErr w:type="spellEnd"/>
      <w:r w:rsidRPr="004C3E8F">
        <w:rPr>
          <w:rFonts w:ascii="Arial" w:eastAsia="Times New Roman" w:hAnsi="Arial" w:cs="Arial"/>
          <w:sz w:val="24"/>
          <w:szCs w:val="24"/>
          <w:lang w:eastAsia="es-MX"/>
        </w:rPr>
        <w:t>, en virtud que de agotar el recurso de apelación previsto en la legislación local les causaría un perjuicio irreparable, dado que se continuaría vulnerando su derecho humano de igualdad, y con ello también el principio de equidad en la contienda electoral.</w:t>
      </w:r>
    </w:p>
    <w:p w14:paraId="59FECECB"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p>
    <w:p w14:paraId="1F501884"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 xml:space="preserve">Ello, ya que la propaganda institucional de la autoridad responsable, que las inconformes estiman no apegada a Derecho, seguiría causando perjuicio en el poco tiempo que resta del periodo de campaña para la elección de la persona Titular del Poder Ejecutivo de Puebla, dado que la etapa señalada fenece el primero de junio del presente año. </w:t>
      </w:r>
    </w:p>
    <w:p w14:paraId="5EC94077"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p>
    <w:p w14:paraId="69BAFE21"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 xml:space="preserve"> A juicio de la Sala Superior se justifica la acción </w:t>
      </w:r>
      <w:bookmarkStart w:id="0" w:name="LPHit3"/>
      <w:bookmarkEnd w:id="0"/>
      <w:r w:rsidRPr="004C3E8F">
        <w:rPr>
          <w:rFonts w:ascii="Arial" w:eastAsia="Times New Roman" w:hAnsi="Arial" w:cs="Arial"/>
          <w:i/>
          <w:sz w:val="24"/>
          <w:szCs w:val="24"/>
          <w:lang w:eastAsia="es-MX"/>
        </w:rPr>
        <w:t xml:space="preserve">per </w:t>
      </w:r>
      <w:proofErr w:type="spellStart"/>
      <w:r w:rsidRPr="004C3E8F">
        <w:rPr>
          <w:rFonts w:ascii="Arial" w:eastAsia="Times New Roman" w:hAnsi="Arial" w:cs="Arial"/>
          <w:i/>
          <w:sz w:val="24"/>
          <w:szCs w:val="24"/>
          <w:lang w:eastAsia="es-MX"/>
        </w:rPr>
        <w:t>saltum</w:t>
      </w:r>
      <w:proofErr w:type="spellEnd"/>
      <w:r w:rsidRPr="004C3E8F">
        <w:rPr>
          <w:rFonts w:ascii="Arial" w:eastAsia="Times New Roman" w:hAnsi="Arial" w:cs="Arial"/>
          <w:sz w:val="24"/>
          <w:szCs w:val="24"/>
          <w:lang w:eastAsia="es-MX"/>
        </w:rPr>
        <w:t xml:space="preserve"> para conocer de los presentes juicios; no obstante que conforme a lo establecido en el artículo 99, párrafo cuarto, fracción IV, de la Constitución Política de los Estados Unidos Mexicanos, en relación con el diverso numeral </w:t>
      </w:r>
      <w:r w:rsidRPr="004C3E8F">
        <w:rPr>
          <w:rFonts w:ascii="Arial" w:eastAsia="Times New Roman" w:hAnsi="Arial" w:cs="Arial"/>
          <w:sz w:val="24"/>
          <w:szCs w:val="24"/>
        </w:rPr>
        <w:t>79, 80, párrafo 1, inciso f), y 83, párrafo 1, inciso a), fracción IV</w:t>
      </w:r>
      <w:r w:rsidRPr="004C3E8F">
        <w:rPr>
          <w:rFonts w:ascii="Arial" w:eastAsia="Times New Roman" w:hAnsi="Arial" w:cs="Arial"/>
          <w:sz w:val="24"/>
          <w:szCs w:val="24"/>
          <w:lang w:eastAsia="es-MX"/>
        </w:rPr>
        <w:t>, de la Ley General del Sistema de Medios de Impugnación en Materia Electoral, el juicio para la protección de los derechos político electorales sólo procede cuando los actos reclamados sean definitivos y firmes.</w:t>
      </w:r>
    </w:p>
    <w:p w14:paraId="45B41D37"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p>
    <w:p w14:paraId="29D1B008"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Sin embargo, la Sala Superior ha estimado que cuando el agotamiento previo de los medios de impugnación se traduzca en una amenaza seria para los derechos sustanciales que son objeto del litigio, ya sea porque los trámites que existen y el tiempo necesario para llevarlos a cabo puedan implicar la merma considerable o hasta la extinción del contenido de las pretensiones o de sus efectos o consecuencias, entonces debe tenerse por cumplido el requisito de definitividad y firmeza.</w:t>
      </w:r>
    </w:p>
    <w:p w14:paraId="6C5AEFB5"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p>
    <w:p w14:paraId="77AAD38F"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 xml:space="preserve">Lo anterior encuentra apoyo en la jurisprudencia 9/2001, publicada con el rubro: </w:t>
      </w:r>
      <w:r w:rsidRPr="004C3E8F">
        <w:rPr>
          <w:rFonts w:ascii="Arial" w:eastAsia="Times New Roman" w:hAnsi="Arial" w:cs="Arial"/>
          <w:b/>
          <w:i/>
          <w:sz w:val="24"/>
          <w:szCs w:val="24"/>
          <w:lang w:eastAsia="es-MX"/>
        </w:rPr>
        <w:t>"DEFINITIVIDAD Y FIRMEZA. SI EL AGOTAMIENTO DE LOS MEDIOS IMPUGNATIVOS ORDINARIOS IMPLICAN LA MERMA O EXTINCIÓN DE LA PRETENSIÓN DEL ACTOR, DEBE TENERSE POR CUMPLIDO EL REQUISITO"</w:t>
      </w:r>
      <w:r w:rsidRPr="004C3E8F">
        <w:rPr>
          <w:rFonts w:ascii="Arial" w:eastAsia="Times New Roman" w:hAnsi="Arial" w:cs="Arial"/>
          <w:sz w:val="24"/>
          <w:szCs w:val="24"/>
          <w:lang w:eastAsia="es-MX"/>
        </w:rPr>
        <w:t>, visible en la Compilación 1997-2013. Jurisprudencia y tesis en materia electoral. Jurisprudencia, Volumen I, fojas 272 a 274.</w:t>
      </w:r>
    </w:p>
    <w:p w14:paraId="6F8308DC"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p>
    <w:p w14:paraId="10F7E021"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 xml:space="preserve">En los casos, las actoras impugnan </w:t>
      </w:r>
      <w:r w:rsidRPr="004C3E8F">
        <w:rPr>
          <w:rFonts w:ascii="Arial" w:hAnsi="Arial" w:cs="Arial"/>
          <w:sz w:val="24"/>
          <w:szCs w:val="24"/>
        </w:rPr>
        <w:t xml:space="preserve">la publicidad dirigida a la promoción del voto por parte del Instituto Electoral del Estado de Puebla contenida en </w:t>
      </w:r>
      <w:r w:rsidRPr="004C3E8F">
        <w:rPr>
          <w:rFonts w:ascii="Arial" w:eastAsia="Times New Roman" w:hAnsi="Arial" w:cs="Arial"/>
          <w:sz w:val="24"/>
          <w:szCs w:val="24"/>
          <w:lang w:eastAsia="es-MX"/>
        </w:rPr>
        <w:t xml:space="preserve">doce espectaculares y cuatro pantallas </w:t>
      </w:r>
      <w:r w:rsidRPr="004C3E8F">
        <w:rPr>
          <w:rFonts w:ascii="Arial" w:eastAsia="Times New Roman" w:hAnsi="Arial" w:cs="Arial"/>
          <w:i/>
          <w:sz w:val="24"/>
          <w:szCs w:val="24"/>
          <w:lang w:eastAsia="es-MX"/>
        </w:rPr>
        <w:t>led</w:t>
      </w:r>
      <w:r w:rsidRPr="004C3E8F">
        <w:rPr>
          <w:rFonts w:ascii="Arial" w:eastAsia="Times New Roman" w:hAnsi="Arial" w:cs="Arial"/>
          <w:sz w:val="24"/>
          <w:szCs w:val="24"/>
          <w:lang w:eastAsia="es-MX"/>
        </w:rPr>
        <w:t xml:space="preserve"> ubicadas en la zona metropolitana de la citada entidad federativa, y en el sitio </w:t>
      </w:r>
      <w:r w:rsidRPr="004C3E8F">
        <w:rPr>
          <w:rFonts w:ascii="Arial" w:eastAsia="Times New Roman" w:hAnsi="Arial" w:cs="Arial"/>
          <w:i/>
          <w:sz w:val="24"/>
          <w:szCs w:val="24"/>
          <w:lang w:eastAsia="es-MX"/>
        </w:rPr>
        <w:t>web</w:t>
      </w:r>
      <w:r w:rsidRPr="004C3E8F">
        <w:rPr>
          <w:rFonts w:ascii="Arial" w:eastAsia="Times New Roman" w:hAnsi="Arial" w:cs="Arial"/>
          <w:sz w:val="24"/>
          <w:szCs w:val="24"/>
          <w:lang w:eastAsia="es-MX"/>
        </w:rPr>
        <w:t xml:space="preserve"> de la propia autoridad responsable, cuya </w:t>
      </w:r>
      <w:r w:rsidRPr="004C3E8F">
        <w:rPr>
          <w:rFonts w:ascii="Arial" w:eastAsia="Times New Roman" w:hAnsi="Arial" w:cs="Arial"/>
          <w:i/>
          <w:sz w:val="24"/>
          <w:szCs w:val="24"/>
          <w:lang w:eastAsia="es-MX"/>
        </w:rPr>
        <w:t xml:space="preserve">identidad gráfica </w:t>
      </w:r>
      <w:r w:rsidRPr="004C3E8F">
        <w:rPr>
          <w:rFonts w:ascii="Arial" w:eastAsia="Times New Roman" w:hAnsi="Arial" w:cs="Arial"/>
          <w:sz w:val="24"/>
          <w:szCs w:val="24"/>
          <w:lang w:eastAsia="es-MX"/>
        </w:rPr>
        <w:t xml:space="preserve">se aprobó en el </w:t>
      </w:r>
      <w:r w:rsidRPr="004C3E8F">
        <w:rPr>
          <w:rFonts w:ascii="Arial" w:hAnsi="Arial" w:cs="Arial"/>
          <w:sz w:val="24"/>
          <w:szCs w:val="24"/>
        </w:rPr>
        <w:t>Acuerdo CG/AC/028/15, emitido por el Consejo General del referido organismo electoral el</w:t>
      </w:r>
      <w:r w:rsidRPr="004C3E8F">
        <w:rPr>
          <w:rFonts w:ascii="Arial" w:eastAsia="Times New Roman" w:hAnsi="Arial" w:cs="Arial"/>
          <w:sz w:val="24"/>
          <w:szCs w:val="24"/>
          <w:lang w:eastAsia="es-MX"/>
        </w:rPr>
        <w:t xml:space="preserve"> veintitrés de noviembre de dos mil quince; lo que sería impugnable a través del recurso de apelación, medio que es </w:t>
      </w:r>
      <w:r w:rsidRPr="004C3E8F">
        <w:rPr>
          <w:rFonts w:ascii="Arial" w:eastAsia="Times New Roman" w:hAnsi="Arial" w:cs="Arial"/>
          <w:sz w:val="24"/>
          <w:szCs w:val="24"/>
          <w:lang w:eastAsia="es-MX"/>
        </w:rPr>
        <w:lastRenderedPageBreak/>
        <w:t>procedente para controvertir la legalidad de los actos, acuerdos y resoluciones de las autoridades electorales, de conformidad con lo dispuesto en los artículos 347 y 350, del Código de Instituciones y Procesos Electorales del Estado de Puebla.</w:t>
      </w:r>
    </w:p>
    <w:p w14:paraId="105DFD60"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p>
    <w:p w14:paraId="00CE05E0"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 xml:space="preserve">Aunado a lo anterior, debe estimarse </w:t>
      </w:r>
      <w:proofErr w:type="gramStart"/>
      <w:r w:rsidRPr="004C3E8F">
        <w:rPr>
          <w:rFonts w:ascii="Arial" w:eastAsia="Times New Roman" w:hAnsi="Arial" w:cs="Arial"/>
          <w:sz w:val="24"/>
          <w:szCs w:val="24"/>
          <w:lang w:eastAsia="es-MX"/>
        </w:rPr>
        <w:t>que</w:t>
      </w:r>
      <w:proofErr w:type="gramEnd"/>
      <w:r w:rsidRPr="004C3E8F">
        <w:rPr>
          <w:rFonts w:ascii="Arial" w:eastAsia="Times New Roman" w:hAnsi="Arial" w:cs="Arial"/>
          <w:sz w:val="24"/>
          <w:szCs w:val="24"/>
          <w:lang w:eastAsia="es-MX"/>
        </w:rPr>
        <w:t xml:space="preserve"> una vez dictada la resolución por el Tribunal local, las actoras contarían con cuatro días para interponer el juicio de revisión constitucional electoral ante este órgano jurisdiccional, de conformidad con lo dispuesto en los artículos 8, párrafo 1, y 86, de la Ley General del Sistema de Medios de Impugnación en Materia Electoral.</w:t>
      </w:r>
    </w:p>
    <w:p w14:paraId="7AC4061D"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p>
    <w:p w14:paraId="4D2B7907"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De ese modo se corrobora que, dado el avance del actual proceso electoral local, que ya se encuentra en la recta final de la campaña, y atendiendo a la naturaleza del derecho que las accionantes aducen vulnerado, no es dable exigirles agotar el correspondiente medio de defensa local antes de acudir ante esta instancia jurisdiccional federal.</w:t>
      </w:r>
    </w:p>
    <w:p w14:paraId="17CED58A"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p>
    <w:p w14:paraId="74E2DA5C"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En consecuencia, se advierte que ante tales plazos y que el medio de impugnación se promueve pocos días antes del inicio de la jornada electoral; el agotamiento de la cadena impugnativa podría ocasionar la conclusión de la citada etapa electoral, y con ello, extinguir la posibilidad de colmar sus pretensiones.</w:t>
      </w:r>
    </w:p>
    <w:p w14:paraId="3DDFE359"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p>
    <w:p w14:paraId="5121A4C6"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 xml:space="preserve">Por tanto, es innegable que existe la necesidad de resolver los planteamientos que formulan las accionantes; de ahí que la Sala Superior estima procedente conocer y resolver vía </w:t>
      </w:r>
      <w:bookmarkStart w:id="1" w:name="LPHit10"/>
      <w:bookmarkEnd w:id="1"/>
      <w:r w:rsidRPr="004C3E8F">
        <w:rPr>
          <w:rFonts w:ascii="Arial" w:eastAsia="Times New Roman" w:hAnsi="Arial" w:cs="Arial"/>
          <w:i/>
          <w:sz w:val="24"/>
          <w:szCs w:val="24"/>
          <w:lang w:eastAsia="es-MX"/>
        </w:rPr>
        <w:t xml:space="preserve">per </w:t>
      </w:r>
      <w:bookmarkStart w:id="2" w:name="LPHit11"/>
      <w:bookmarkEnd w:id="2"/>
      <w:proofErr w:type="spellStart"/>
      <w:r w:rsidRPr="004C3E8F">
        <w:rPr>
          <w:rFonts w:ascii="Arial" w:eastAsia="Times New Roman" w:hAnsi="Arial" w:cs="Arial"/>
          <w:i/>
          <w:sz w:val="24"/>
          <w:szCs w:val="24"/>
          <w:lang w:eastAsia="es-MX"/>
        </w:rPr>
        <w:t>saltum</w:t>
      </w:r>
      <w:proofErr w:type="spellEnd"/>
      <w:r w:rsidRPr="004C3E8F">
        <w:rPr>
          <w:rFonts w:ascii="Arial" w:eastAsia="Times New Roman" w:hAnsi="Arial" w:cs="Arial"/>
          <w:sz w:val="24"/>
          <w:szCs w:val="24"/>
          <w:lang w:eastAsia="es-MX"/>
        </w:rPr>
        <w:t>, por las razones indicadas.</w:t>
      </w:r>
    </w:p>
    <w:p w14:paraId="12BB18CC"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p>
    <w:p w14:paraId="2EB30DEC"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r w:rsidRPr="004C3E8F">
        <w:rPr>
          <w:rFonts w:ascii="Arial" w:hAnsi="Arial" w:cs="Arial"/>
          <w:b/>
          <w:bCs/>
          <w:sz w:val="24"/>
          <w:szCs w:val="24"/>
        </w:rPr>
        <w:t xml:space="preserve">TERCERO. </w:t>
      </w:r>
      <w:r w:rsidRPr="004C3E8F">
        <w:rPr>
          <w:rFonts w:ascii="Arial" w:eastAsia="Times New Roman" w:hAnsi="Arial" w:cs="Arial"/>
          <w:b/>
          <w:sz w:val="24"/>
          <w:szCs w:val="24"/>
          <w:lang w:eastAsia="es-MX"/>
        </w:rPr>
        <w:t>Acumulación</w:t>
      </w:r>
      <w:r w:rsidRPr="004C3E8F">
        <w:rPr>
          <w:rFonts w:ascii="Arial" w:eastAsia="Times New Roman" w:hAnsi="Arial" w:cs="Arial"/>
          <w:sz w:val="24"/>
          <w:szCs w:val="24"/>
          <w:lang w:eastAsia="es-MX"/>
        </w:rPr>
        <w:t xml:space="preserve">. La revisión de las demandas que dieron origen a la integración de los expedientes de los medios de impugnación </w:t>
      </w:r>
      <w:proofErr w:type="gramStart"/>
      <w:r w:rsidRPr="004C3E8F">
        <w:rPr>
          <w:rFonts w:ascii="Arial" w:eastAsia="Times New Roman" w:hAnsi="Arial" w:cs="Arial"/>
          <w:sz w:val="24"/>
          <w:szCs w:val="24"/>
          <w:lang w:eastAsia="es-MX"/>
        </w:rPr>
        <w:t>citados,</w:t>
      </w:r>
      <w:proofErr w:type="gramEnd"/>
      <w:r w:rsidRPr="004C3E8F">
        <w:rPr>
          <w:rFonts w:ascii="Arial" w:eastAsia="Times New Roman" w:hAnsi="Arial" w:cs="Arial"/>
          <w:sz w:val="24"/>
          <w:szCs w:val="24"/>
          <w:lang w:eastAsia="es-MX"/>
        </w:rPr>
        <w:t xml:space="preserve"> permite advertir que hay conexidad en la causa, al existir identidad en los actos reclamados y la autoridad señalada como responsable.</w:t>
      </w:r>
    </w:p>
    <w:p w14:paraId="2629D8F9"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p>
    <w:p w14:paraId="2E7591D0"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Por tanto, atendiendo al principio de economía procesal, a efecto de resolver de manera conjunta los medios de impugnación precisados, de conformidad con lo previsto en los artículos 199, fracción XI, de la Ley Orgánica del Poder Judicial de la Federación; 31 de la Ley General del Sistema de Medios de Impugnación en Materia Electoral; y 79, del Reglamento Interno del Tribunal Electoral del Poder Judicial de la Federación, lo procedente es acumular el juicio para la protección de los derechos político-electorales del ciudadano registrado como SUP-JDC-1621/2016, al diverso juicio ciudadano federal con clave SUP- JDC-1619/2016, en virtud de que éste fue el que se recibió en primer término en la Sala Superior.</w:t>
      </w:r>
    </w:p>
    <w:p w14:paraId="6F67ABBB"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p>
    <w:p w14:paraId="77341699"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En consecuencia, deberá glosarse copia certificada de los puntos resolutivos de la presente resolución, a los autos del juicio acumulado.</w:t>
      </w:r>
    </w:p>
    <w:p w14:paraId="2453DA8E"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p>
    <w:p w14:paraId="3FF42D83"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r w:rsidRPr="004C3E8F">
        <w:rPr>
          <w:rFonts w:ascii="Arial" w:hAnsi="Arial" w:cs="Arial"/>
          <w:b/>
          <w:bCs/>
          <w:sz w:val="24"/>
          <w:szCs w:val="24"/>
        </w:rPr>
        <w:t xml:space="preserve">CUARTO. Causales de improcedencia. </w:t>
      </w:r>
      <w:r w:rsidRPr="004C3E8F">
        <w:rPr>
          <w:rFonts w:ascii="Arial" w:eastAsia="Times New Roman" w:hAnsi="Arial" w:cs="Arial"/>
          <w:sz w:val="24"/>
          <w:szCs w:val="24"/>
          <w:lang w:eastAsia="es-MX"/>
        </w:rPr>
        <w:t>La Sala Superior procede al estudio de las causales de improcedencia invocadas por la autoridad administrativa electoral responsable.</w:t>
      </w:r>
    </w:p>
    <w:p w14:paraId="1582CFB6" w14:textId="77777777" w:rsidR="00991189" w:rsidRPr="004C3E8F" w:rsidRDefault="00991189" w:rsidP="00991189">
      <w:pPr>
        <w:spacing w:after="0" w:line="240" w:lineRule="auto"/>
        <w:jc w:val="both"/>
        <w:rPr>
          <w:rFonts w:ascii="Arial" w:eastAsia="Times New Roman" w:hAnsi="Arial" w:cs="Arial"/>
          <w:sz w:val="24"/>
          <w:szCs w:val="24"/>
          <w:lang w:eastAsia="es-MX"/>
        </w:rPr>
      </w:pPr>
    </w:p>
    <w:p w14:paraId="566739C7" w14:textId="77777777" w:rsidR="00991189" w:rsidRPr="004C3E8F" w:rsidRDefault="00991189" w:rsidP="00991189">
      <w:pPr>
        <w:pStyle w:val="Prrafodelista"/>
        <w:numPr>
          <w:ilvl w:val="0"/>
          <w:numId w:val="2"/>
        </w:numPr>
        <w:ind w:left="567" w:hanging="513"/>
        <w:jc w:val="both"/>
        <w:rPr>
          <w:rFonts w:ascii="Arial" w:hAnsi="Arial" w:cs="Arial"/>
          <w:b/>
        </w:rPr>
      </w:pPr>
      <w:r w:rsidRPr="004C3E8F">
        <w:rPr>
          <w:rFonts w:ascii="Arial" w:hAnsi="Arial" w:cs="Arial"/>
          <w:b/>
        </w:rPr>
        <w:lastRenderedPageBreak/>
        <w:t>Haber quedado sin materia los asuntos que nos ocupan. (SUP-JDC-1619/2016 y SUP-JDC-1621/2016)</w:t>
      </w:r>
    </w:p>
    <w:p w14:paraId="51207E21"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p>
    <w:p w14:paraId="669394F9"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 xml:space="preserve">La autoridad responsable aduce que los presentes asuntos deben sobreseerse por haber quedado sin materia, en virtud de que, de acuerdo al informe rendido por la Coordinadora de Comunicación Social del Instituto Electoral del Estado de Puebla, de diecinueve de mayo de la presente anualidad, el dieciséis del propio mes y año se cumplió con lo ordenado por los Consejeros Electorales respecto al retiro de la promoción del voto colocada por esa autoridad, en espectaculares y pantallas </w:t>
      </w:r>
      <w:r w:rsidRPr="004C3E8F">
        <w:rPr>
          <w:rFonts w:ascii="Arial" w:eastAsia="Times New Roman" w:hAnsi="Arial" w:cs="Arial"/>
          <w:i/>
          <w:sz w:val="24"/>
          <w:szCs w:val="24"/>
          <w:lang w:eastAsia="es-MX"/>
        </w:rPr>
        <w:t>led</w:t>
      </w:r>
      <w:r w:rsidRPr="004C3E8F">
        <w:rPr>
          <w:rFonts w:ascii="Arial" w:eastAsia="Times New Roman" w:hAnsi="Arial" w:cs="Arial"/>
          <w:sz w:val="24"/>
          <w:szCs w:val="24"/>
          <w:lang w:eastAsia="es-MX"/>
        </w:rPr>
        <w:t>, ubicadas en diversos puntos de la entidad federativa.</w:t>
      </w:r>
    </w:p>
    <w:p w14:paraId="46C6FE41"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p>
    <w:p w14:paraId="5B14EFBC"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proofErr w:type="gramStart"/>
      <w:r w:rsidRPr="004C3E8F">
        <w:rPr>
          <w:rFonts w:ascii="Arial" w:eastAsia="Times New Roman" w:hAnsi="Arial" w:cs="Arial"/>
          <w:sz w:val="24"/>
          <w:szCs w:val="24"/>
          <w:lang w:eastAsia="es-MX"/>
        </w:rPr>
        <w:t>En razón de</w:t>
      </w:r>
      <w:proofErr w:type="gramEnd"/>
      <w:r w:rsidRPr="004C3E8F">
        <w:rPr>
          <w:rFonts w:ascii="Arial" w:eastAsia="Times New Roman" w:hAnsi="Arial" w:cs="Arial"/>
          <w:sz w:val="24"/>
          <w:szCs w:val="24"/>
          <w:lang w:eastAsia="es-MX"/>
        </w:rPr>
        <w:t xml:space="preserve"> ello, la autoridad responsable sostiene que se actualiza la causal de improcedencia establecida en el artículo 11, apartado 1, inciso b), de la Ley General del Sistema de Medios de Impugnación en Materia Electoral, ya que una vez que se han retirado los medios de promoción del voto ciudadano cuestionados por las actoras, resulta innecesario conocer las </w:t>
      </w:r>
      <w:r w:rsidRPr="004C3E8F">
        <w:rPr>
          <w:rFonts w:ascii="Arial" w:eastAsia="Times New Roman" w:hAnsi="Arial" w:cs="Arial"/>
          <w:i/>
          <w:sz w:val="24"/>
          <w:szCs w:val="24"/>
          <w:lang w:eastAsia="es-MX"/>
        </w:rPr>
        <w:t>litis</w:t>
      </w:r>
      <w:r w:rsidRPr="004C3E8F">
        <w:rPr>
          <w:rFonts w:ascii="Arial" w:eastAsia="Times New Roman" w:hAnsi="Arial" w:cs="Arial"/>
          <w:sz w:val="24"/>
          <w:szCs w:val="24"/>
          <w:lang w:eastAsia="es-MX"/>
        </w:rPr>
        <w:t xml:space="preserve"> planteadas, ya que se han quedado sin materia.</w:t>
      </w:r>
    </w:p>
    <w:p w14:paraId="4D3DDD42"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p>
    <w:p w14:paraId="595DFE46"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Así, cabe mencionar que la citada causal de improcedencia contiene dos elementos: uno, consistente en que la autoridad o el órgano responsable del acto o resolución impugnado lo modifique o revoque y, otro, que tal decisión genere, como efecto inmediato y directo, que el medio de impugnación quede totalmente sin materia, antes de que se dicte resolución o sentencia en el juicio o recurso respectivo; sin embargo, sólo este último componente es determinante y definitorio, ya que el primero es instrumental y el segundo es sustancial, es decir, lo que produce en realidad la improcedencia es el hecho jurídico de que el medio de impugnación quede totalmente sin materia o bien que carezca de ésta, en tanto que la revocación o modificación del acto o resolución impugnado es sólo el medio para llegar a esa situación.</w:t>
      </w:r>
    </w:p>
    <w:p w14:paraId="05F0A058"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p>
    <w:p w14:paraId="7B440C6F"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 xml:space="preserve">Por ello, en los juicios y recursos que en materia electoral se promueven, para controvertir actos de las autoridades correspondientes o de los partidos políticos, la forma normal y ordinaria de que un proceso quede sin </w:t>
      </w:r>
      <w:proofErr w:type="gramStart"/>
      <w:r w:rsidRPr="004C3E8F">
        <w:rPr>
          <w:rFonts w:ascii="Arial" w:eastAsia="Times New Roman" w:hAnsi="Arial" w:cs="Arial"/>
          <w:sz w:val="24"/>
          <w:szCs w:val="24"/>
          <w:lang w:eastAsia="es-MX"/>
        </w:rPr>
        <w:t>materia,</w:t>
      </w:r>
      <w:proofErr w:type="gramEnd"/>
      <w:r w:rsidRPr="004C3E8F">
        <w:rPr>
          <w:rFonts w:ascii="Arial" w:eastAsia="Times New Roman" w:hAnsi="Arial" w:cs="Arial"/>
          <w:sz w:val="24"/>
          <w:szCs w:val="24"/>
          <w:lang w:eastAsia="es-MX"/>
        </w:rPr>
        <w:t xml:space="preserve"> consiste en la que ha establecido el legislador, que es la revocación o modificación del acto o resolución impugnado.</w:t>
      </w:r>
    </w:p>
    <w:p w14:paraId="7C9DEE90"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p>
    <w:p w14:paraId="51D60E69"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 xml:space="preserve">En ese sentido, en los casos que nos ocupan no se actualiza la causal citada, porque del informe que alude la autoridad responsable –el cual obra en autos- solo se advierte que la Coordinadora de Comunicación Social solicitó al proveedor el retiro de las lonas colocadas en los espectaculares y pantallas </w:t>
      </w:r>
      <w:r w:rsidRPr="004C3E8F">
        <w:rPr>
          <w:rFonts w:ascii="Arial" w:eastAsia="Times New Roman" w:hAnsi="Arial" w:cs="Arial"/>
          <w:i/>
          <w:sz w:val="24"/>
          <w:szCs w:val="24"/>
          <w:lang w:eastAsia="es-MX"/>
        </w:rPr>
        <w:t>led</w:t>
      </w:r>
      <w:r w:rsidRPr="004C3E8F">
        <w:rPr>
          <w:rFonts w:ascii="Arial" w:eastAsia="Times New Roman" w:hAnsi="Arial" w:cs="Arial"/>
          <w:sz w:val="24"/>
          <w:szCs w:val="24"/>
          <w:lang w:eastAsia="es-MX"/>
        </w:rPr>
        <w:t>, el dieciséis de mayo del presente año, sin que exhiba ante este Tribunal Electoral, probanza idónea y eficaz atendiendo a la naturaleza de los promocionales cuestionados, de que efectivamente el proveedor hubiere realizado el retiro solicitado, luego entonces, al no existir la certeza del retiro de la promoción del voto cuestionada, la causal de improcedencia invocada deviene infundada.</w:t>
      </w:r>
    </w:p>
    <w:p w14:paraId="1BF3B4FA"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p>
    <w:p w14:paraId="6F72A4B2"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lastRenderedPageBreak/>
        <w:t xml:space="preserve">Aunado a lo anterior, la autoridad responsable no hace ningún pronunciamiento por lo que respecta a la propaganda que se aduce se encuentra en su sitio </w:t>
      </w:r>
      <w:r w:rsidRPr="004C3E8F">
        <w:rPr>
          <w:rFonts w:ascii="Arial" w:eastAsia="Times New Roman" w:hAnsi="Arial" w:cs="Arial"/>
          <w:i/>
          <w:sz w:val="24"/>
          <w:szCs w:val="24"/>
          <w:lang w:eastAsia="es-MX"/>
        </w:rPr>
        <w:t>web</w:t>
      </w:r>
      <w:r w:rsidRPr="004C3E8F">
        <w:rPr>
          <w:rFonts w:ascii="Arial" w:eastAsia="Times New Roman" w:hAnsi="Arial" w:cs="Arial"/>
          <w:b/>
          <w:i/>
          <w:sz w:val="24"/>
          <w:szCs w:val="24"/>
          <w:lang w:eastAsia="es-MX"/>
        </w:rPr>
        <w:t xml:space="preserve">, </w:t>
      </w:r>
      <w:r w:rsidRPr="004C3E8F">
        <w:rPr>
          <w:rFonts w:ascii="Arial" w:eastAsia="Times New Roman" w:hAnsi="Arial" w:cs="Arial"/>
          <w:sz w:val="24"/>
          <w:szCs w:val="24"/>
          <w:lang w:eastAsia="es-MX"/>
        </w:rPr>
        <w:t>o de que se hubiere efectuado alguna acción al respecto.</w:t>
      </w:r>
    </w:p>
    <w:p w14:paraId="1C25449E"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p>
    <w:p w14:paraId="5CC60FED" w14:textId="77777777" w:rsidR="00991189" w:rsidRPr="004C3E8F" w:rsidRDefault="00991189" w:rsidP="00991189">
      <w:pPr>
        <w:pStyle w:val="Prrafodelista"/>
        <w:numPr>
          <w:ilvl w:val="0"/>
          <w:numId w:val="2"/>
        </w:numPr>
        <w:jc w:val="both"/>
        <w:rPr>
          <w:rFonts w:ascii="Arial" w:hAnsi="Arial" w:cs="Arial"/>
          <w:b/>
        </w:rPr>
      </w:pPr>
      <w:r w:rsidRPr="004C3E8F">
        <w:rPr>
          <w:rFonts w:ascii="Arial" w:hAnsi="Arial" w:cs="Arial"/>
          <w:b/>
        </w:rPr>
        <w:t>Vulneración al principio de definitividad. (SUP-JDC-1619/2016 y SUP-JDC-1621/2016)</w:t>
      </w:r>
    </w:p>
    <w:p w14:paraId="355DEF95"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p>
    <w:p w14:paraId="6FBD03F6"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La autoridad administrativa responsable sostiene que se actualiza la causal de improcedencia prevista en el artículo 10, numeral 1, inciso d), de la Ley General de Medios ya citada, la cual establece que los medios de impugnación serán improcedentes cuando no se hayan agotado las instancias previas locales o federales.</w:t>
      </w:r>
    </w:p>
    <w:p w14:paraId="414DF698"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p>
    <w:p w14:paraId="66F9F35E"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 xml:space="preserve">Respecto de este tópico, se debe atender a lo razonado por la Sala Superior en el considerando segundo, dado que se ha justificado el conocimiento de los asuntos que nos ocupan vía </w:t>
      </w:r>
      <w:r w:rsidRPr="004C3E8F">
        <w:rPr>
          <w:rFonts w:ascii="Arial" w:eastAsia="Times New Roman" w:hAnsi="Arial" w:cs="Arial"/>
          <w:i/>
          <w:sz w:val="24"/>
          <w:szCs w:val="24"/>
          <w:lang w:eastAsia="es-MX"/>
        </w:rPr>
        <w:t xml:space="preserve">per </w:t>
      </w:r>
      <w:proofErr w:type="spellStart"/>
      <w:r w:rsidRPr="004C3E8F">
        <w:rPr>
          <w:rFonts w:ascii="Arial" w:eastAsia="Times New Roman" w:hAnsi="Arial" w:cs="Arial"/>
          <w:i/>
          <w:sz w:val="24"/>
          <w:szCs w:val="24"/>
          <w:lang w:eastAsia="es-MX"/>
        </w:rPr>
        <w:t>saltum</w:t>
      </w:r>
      <w:proofErr w:type="spellEnd"/>
      <w:r w:rsidRPr="004C3E8F">
        <w:rPr>
          <w:rFonts w:ascii="Arial" w:eastAsia="Times New Roman" w:hAnsi="Arial" w:cs="Arial"/>
          <w:sz w:val="24"/>
          <w:szCs w:val="24"/>
          <w:lang w:eastAsia="es-MX"/>
        </w:rPr>
        <w:t>, lo que se tiene por reproducido aquí, en obvio de repeticiones innecesarias, y en virtud de ello, la causal bajo estudio deviene infundada.</w:t>
      </w:r>
    </w:p>
    <w:p w14:paraId="1DFA484C"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p>
    <w:p w14:paraId="25B45BB6" w14:textId="77777777" w:rsidR="00991189" w:rsidRPr="004C3E8F" w:rsidRDefault="00991189" w:rsidP="00991189">
      <w:pPr>
        <w:pStyle w:val="Prrafodelista"/>
        <w:numPr>
          <w:ilvl w:val="0"/>
          <w:numId w:val="2"/>
        </w:numPr>
        <w:ind w:left="426" w:hanging="371"/>
        <w:jc w:val="both"/>
        <w:rPr>
          <w:rFonts w:ascii="Arial" w:hAnsi="Arial" w:cs="Arial"/>
          <w:b/>
        </w:rPr>
      </w:pPr>
      <w:r w:rsidRPr="004C3E8F">
        <w:rPr>
          <w:rFonts w:ascii="Arial" w:hAnsi="Arial" w:cs="Arial"/>
          <w:b/>
        </w:rPr>
        <w:t>Extemporaneidad de la demanda. (SUP-JDC-1619/2016)</w:t>
      </w:r>
    </w:p>
    <w:p w14:paraId="132F0F44" w14:textId="77777777" w:rsidR="00991189" w:rsidRPr="004C3E8F" w:rsidRDefault="00991189" w:rsidP="00991189">
      <w:pPr>
        <w:pStyle w:val="NormalWeb"/>
        <w:spacing w:before="0" w:after="0"/>
        <w:ind w:firstLine="708"/>
        <w:jc w:val="both"/>
        <w:rPr>
          <w:rFonts w:ascii="Arial" w:hAnsi="Arial" w:cs="Arial"/>
          <w:bCs/>
        </w:rPr>
      </w:pPr>
    </w:p>
    <w:p w14:paraId="0F695562" w14:textId="77777777" w:rsidR="00991189" w:rsidRPr="004C3E8F" w:rsidRDefault="00991189" w:rsidP="00991189">
      <w:pPr>
        <w:pStyle w:val="NormalWeb"/>
        <w:spacing w:before="0" w:after="0"/>
        <w:ind w:firstLine="708"/>
        <w:jc w:val="both"/>
        <w:rPr>
          <w:rFonts w:ascii="Arial" w:hAnsi="Arial" w:cs="Arial"/>
          <w:bCs/>
        </w:rPr>
      </w:pPr>
      <w:r w:rsidRPr="004C3E8F">
        <w:rPr>
          <w:rFonts w:ascii="Arial" w:hAnsi="Arial" w:cs="Arial"/>
          <w:bCs/>
        </w:rPr>
        <w:t xml:space="preserve">El Organismo Público Electoral responsable señala que en el caso se verifica la causal de improcedencia establecida en el artículo 350, del Código de Instituciones y Procesos Electorales del Estado de Puebla, respecto a que los actos emanados del Consejo </w:t>
      </w:r>
      <w:proofErr w:type="gramStart"/>
      <w:r w:rsidRPr="004C3E8F">
        <w:rPr>
          <w:rFonts w:ascii="Arial" w:hAnsi="Arial" w:cs="Arial"/>
          <w:bCs/>
        </w:rPr>
        <w:t>General,</w:t>
      </w:r>
      <w:proofErr w:type="gramEnd"/>
      <w:r w:rsidRPr="004C3E8F">
        <w:rPr>
          <w:rFonts w:ascii="Arial" w:hAnsi="Arial" w:cs="Arial"/>
          <w:bCs/>
        </w:rPr>
        <w:t xml:space="preserve"> serán impugnables en un plazo de tres días contados a partir del día siguiente a aquel en que se tenga conocimiento del acto que se recurre.</w:t>
      </w:r>
    </w:p>
    <w:p w14:paraId="56FD547C" w14:textId="77777777" w:rsidR="00991189" w:rsidRPr="004C3E8F" w:rsidRDefault="00991189" w:rsidP="00991189">
      <w:pPr>
        <w:pStyle w:val="NormalWeb"/>
        <w:spacing w:before="0" w:after="0"/>
        <w:ind w:firstLine="708"/>
        <w:jc w:val="both"/>
        <w:rPr>
          <w:rFonts w:ascii="Arial" w:hAnsi="Arial" w:cs="Arial"/>
          <w:bCs/>
        </w:rPr>
      </w:pPr>
    </w:p>
    <w:p w14:paraId="4F9F089D" w14:textId="77777777" w:rsidR="00991189" w:rsidRPr="004C3E8F" w:rsidRDefault="00991189" w:rsidP="00991189">
      <w:pPr>
        <w:pStyle w:val="NormalWeb"/>
        <w:spacing w:before="0" w:after="0"/>
        <w:ind w:firstLine="708"/>
        <w:jc w:val="both"/>
        <w:rPr>
          <w:rFonts w:ascii="Arial" w:hAnsi="Arial" w:cs="Arial"/>
          <w:bCs/>
        </w:rPr>
      </w:pPr>
      <w:r w:rsidRPr="004C3E8F">
        <w:rPr>
          <w:rFonts w:ascii="Arial" w:hAnsi="Arial" w:cs="Arial"/>
          <w:bCs/>
        </w:rPr>
        <w:t>Esto, dado que en la foja cuatro de la demanda de Ana Teresa Aranda Orozco hace referencia a que conoció el acuerdo impugnado, así como los espectaculares controvertidos el dieciséis de abril del presente año; lo anterior dentro del contexto en el que la Sala Superior, a través de la sentencia del expediente SUP-JDC-1585/2016, ordenó el registro de la actora como candidata independiente a la Gubernatura de Puebla, por lo que la autoridad administrativa responsable considera que la hoy actora contaba con el interés jurídico para interponer el recurso dentro de los tres días siguientes a la fecha que ella señala que tuvo conocimiento del acto impugnado, y no hasta el dieciocho de mayo en que presentó la demanda, de ahí que estime extemporánea la demanda del asunto que nos ocupa.</w:t>
      </w:r>
    </w:p>
    <w:p w14:paraId="231A5AA2" w14:textId="77777777" w:rsidR="00991189" w:rsidRPr="004C3E8F" w:rsidRDefault="00991189" w:rsidP="00991189">
      <w:pPr>
        <w:pStyle w:val="NormalWeb"/>
        <w:spacing w:before="0" w:after="0"/>
        <w:ind w:firstLine="708"/>
        <w:jc w:val="both"/>
        <w:rPr>
          <w:rFonts w:ascii="Arial" w:hAnsi="Arial" w:cs="Arial"/>
          <w:bCs/>
        </w:rPr>
      </w:pPr>
    </w:p>
    <w:p w14:paraId="4513CC66" w14:textId="77777777" w:rsidR="00991189" w:rsidRPr="004C3E8F" w:rsidRDefault="00991189" w:rsidP="00991189">
      <w:pPr>
        <w:pStyle w:val="NormalWeb"/>
        <w:spacing w:before="0" w:after="0"/>
        <w:ind w:firstLine="708"/>
        <w:jc w:val="both"/>
        <w:rPr>
          <w:rFonts w:ascii="Arial" w:hAnsi="Arial" w:cs="Arial"/>
          <w:bCs/>
        </w:rPr>
      </w:pPr>
      <w:r w:rsidRPr="004C3E8F">
        <w:rPr>
          <w:rFonts w:ascii="Arial" w:hAnsi="Arial" w:cs="Arial"/>
          <w:bCs/>
        </w:rPr>
        <w:t>En ese tenor argumentativo, de la revisión efectuada al escrito de demanda desde una perspectiva integral, se advierte que además de la fecha señalada por la autoridad responsable con anterioridad, en la foja siete, la actora afirma que conoció el acuerdo combatido el diecisiete de mayo de dos mil dieciséis; es decir, la actora señala dos fechas distintas de conocimiento del acto reclamado.</w:t>
      </w:r>
    </w:p>
    <w:p w14:paraId="23952CD7" w14:textId="77777777" w:rsidR="00991189" w:rsidRPr="004C3E8F" w:rsidRDefault="00991189" w:rsidP="00991189">
      <w:pPr>
        <w:pStyle w:val="NormalWeb"/>
        <w:spacing w:before="0" w:after="0"/>
        <w:ind w:firstLine="708"/>
        <w:jc w:val="both"/>
        <w:rPr>
          <w:rFonts w:ascii="Arial" w:hAnsi="Arial" w:cs="Arial"/>
          <w:bCs/>
        </w:rPr>
      </w:pPr>
    </w:p>
    <w:p w14:paraId="2CE5E808" w14:textId="77777777" w:rsidR="00991189" w:rsidRPr="004C3E8F" w:rsidRDefault="00991189" w:rsidP="00991189">
      <w:pPr>
        <w:pStyle w:val="NormalWeb"/>
        <w:spacing w:before="0" w:after="0"/>
        <w:ind w:firstLine="708"/>
        <w:jc w:val="both"/>
        <w:rPr>
          <w:rFonts w:ascii="Arial" w:hAnsi="Arial" w:cs="Arial"/>
          <w:bCs/>
        </w:rPr>
      </w:pPr>
      <w:r w:rsidRPr="004C3E8F">
        <w:rPr>
          <w:rFonts w:ascii="Arial" w:hAnsi="Arial" w:cs="Arial"/>
          <w:bCs/>
        </w:rPr>
        <w:lastRenderedPageBreak/>
        <w:t>Dentro de este contexto, la Sala Superior estima que la demanda respectiva fue presentada con oportunidad.</w:t>
      </w:r>
    </w:p>
    <w:p w14:paraId="0B035007" w14:textId="77777777" w:rsidR="00991189" w:rsidRPr="004C3E8F" w:rsidRDefault="00991189" w:rsidP="00991189">
      <w:pPr>
        <w:pStyle w:val="NormalWeb"/>
        <w:spacing w:before="0" w:after="0"/>
        <w:ind w:firstLine="708"/>
        <w:jc w:val="both"/>
        <w:rPr>
          <w:rFonts w:ascii="Arial" w:hAnsi="Arial" w:cs="Arial"/>
          <w:bCs/>
        </w:rPr>
      </w:pPr>
    </w:p>
    <w:p w14:paraId="1921DD35" w14:textId="77777777" w:rsidR="00991189" w:rsidRPr="004C3E8F" w:rsidRDefault="00991189" w:rsidP="00991189">
      <w:pPr>
        <w:pStyle w:val="NormalWeb"/>
        <w:spacing w:before="0" w:after="0"/>
        <w:ind w:firstLine="708"/>
        <w:jc w:val="both"/>
        <w:rPr>
          <w:rFonts w:ascii="Arial" w:hAnsi="Arial" w:cs="Arial"/>
          <w:bCs/>
        </w:rPr>
      </w:pPr>
      <w:r w:rsidRPr="004C3E8F">
        <w:rPr>
          <w:rFonts w:ascii="Arial" w:hAnsi="Arial" w:cs="Arial"/>
          <w:bCs/>
        </w:rPr>
        <w:t xml:space="preserve">Lo anterior, porque la actora al referir dos fechas diferentes de conocimiento, la primera respecto de los promocionales del voto y la segunda en relación con el acuerdo en el que se aprobó </w:t>
      </w:r>
      <w:r w:rsidRPr="004C3E8F">
        <w:rPr>
          <w:rFonts w:ascii="Arial" w:hAnsi="Arial" w:cs="Arial"/>
          <w:b/>
          <w:bCs/>
        </w:rPr>
        <w:t>la identidad gráfica</w:t>
      </w:r>
      <w:r w:rsidRPr="004C3E8F">
        <w:rPr>
          <w:rFonts w:ascii="Arial" w:hAnsi="Arial" w:cs="Arial"/>
          <w:bCs/>
        </w:rPr>
        <w:t xml:space="preserve"> contenida en los doce espectaculares y cuatro pantallas </w:t>
      </w:r>
      <w:r w:rsidRPr="004C3E8F">
        <w:rPr>
          <w:rFonts w:ascii="Arial" w:hAnsi="Arial" w:cs="Arial"/>
          <w:bCs/>
          <w:i/>
        </w:rPr>
        <w:t xml:space="preserve">led </w:t>
      </w:r>
      <w:r w:rsidRPr="004C3E8F">
        <w:rPr>
          <w:rFonts w:ascii="Arial" w:hAnsi="Arial" w:cs="Arial"/>
          <w:bCs/>
        </w:rPr>
        <w:t xml:space="preserve">controvertidas, no permite tener certeza sobre la fecha en que conoció del acto impugnado, y tampoco obra constancia de notificación alguna en el expediente. </w:t>
      </w:r>
    </w:p>
    <w:p w14:paraId="43300ABA" w14:textId="77777777" w:rsidR="00991189" w:rsidRPr="004C3E8F" w:rsidRDefault="00991189" w:rsidP="00991189">
      <w:pPr>
        <w:pStyle w:val="NormalWeb"/>
        <w:spacing w:before="0" w:after="0"/>
        <w:ind w:firstLine="708"/>
        <w:jc w:val="both"/>
        <w:rPr>
          <w:rFonts w:ascii="Arial" w:hAnsi="Arial" w:cs="Arial"/>
          <w:bCs/>
        </w:rPr>
      </w:pPr>
    </w:p>
    <w:p w14:paraId="25185E8F" w14:textId="77777777" w:rsidR="00991189" w:rsidRPr="004C3E8F" w:rsidRDefault="00991189" w:rsidP="00991189">
      <w:pPr>
        <w:pStyle w:val="NormalWeb"/>
        <w:spacing w:before="0" w:after="0"/>
        <w:ind w:firstLine="708"/>
        <w:jc w:val="both"/>
        <w:rPr>
          <w:rFonts w:ascii="Arial" w:hAnsi="Arial" w:cs="Arial"/>
          <w:bCs/>
        </w:rPr>
      </w:pPr>
      <w:r w:rsidRPr="004C3E8F">
        <w:rPr>
          <w:rFonts w:ascii="Arial" w:hAnsi="Arial" w:cs="Arial"/>
          <w:bCs/>
        </w:rPr>
        <w:t xml:space="preserve">De modo que, al no existir certidumbre sobre la fecha en que la actora tuvo </w:t>
      </w:r>
      <w:bookmarkStart w:id="3" w:name="LPHit1"/>
      <w:bookmarkEnd w:id="3"/>
      <w:r w:rsidRPr="004C3E8F">
        <w:rPr>
          <w:rFonts w:ascii="Arial" w:hAnsi="Arial" w:cs="Arial"/>
          <w:bCs/>
        </w:rPr>
        <w:t>conocimiento pleno del acuerdo impugnado, debe tenerse aquélla en que presentó su demanda.</w:t>
      </w:r>
    </w:p>
    <w:p w14:paraId="32F05763" w14:textId="77777777" w:rsidR="00991189" w:rsidRPr="004C3E8F" w:rsidRDefault="00991189" w:rsidP="00991189">
      <w:pPr>
        <w:pStyle w:val="NormalWeb"/>
        <w:spacing w:before="0" w:after="0"/>
        <w:ind w:firstLine="708"/>
        <w:jc w:val="both"/>
        <w:rPr>
          <w:rFonts w:ascii="Arial" w:hAnsi="Arial" w:cs="Arial"/>
          <w:bCs/>
        </w:rPr>
      </w:pPr>
    </w:p>
    <w:p w14:paraId="495536B9" w14:textId="77777777" w:rsidR="00991189" w:rsidRPr="004C3E8F" w:rsidRDefault="00991189" w:rsidP="00991189">
      <w:pPr>
        <w:pStyle w:val="NormalWeb"/>
        <w:spacing w:before="0" w:after="0"/>
        <w:ind w:firstLine="708"/>
        <w:jc w:val="both"/>
        <w:rPr>
          <w:rFonts w:ascii="Arial" w:hAnsi="Arial" w:cs="Arial"/>
          <w:bCs/>
        </w:rPr>
      </w:pPr>
      <w:r w:rsidRPr="004C3E8F">
        <w:rPr>
          <w:rFonts w:ascii="Arial" w:hAnsi="Arial" w:cs="Arial"/>
          <w:bCs/>
        </w:rPr>
        <w:t>Al respecto, es aplicable el criterio reiterado de la Sala Superior contenido en la jurisprudencia 8/2001 de rubro: </w:t>
      </w:r>
      <w:bookmarkStart w:id="4" w:name="LPHit2"/>
      <w:bookmarkEnd w:id="4"/>
      <w:r w:rsidRPr="004C3E8F">
        <w:rPr>
          <w:rFonts w:ascii="Arial" w:hAnsi="Arial" w:cs="Arial"/>
          <w:bCs/>
        </w:rPr>
        <w:t>“</w:t>
      </w:r>
      <w:r w:rsidRPr="004C3E8F">
        <w:rPr>
          <w:rFonts w:ascii="Arial" w:hAnsi="Arial" w:cs="Arial"/>
          <w:b/>
          <w:bCs/>
          <w:i/>
        </w:rPr>
        <w:t>CONOCIMIENTO DEL ACTO IMPUGNADO. SE CONSIDERA A PARTIR DE LA PRESENTACIÓN DE LA DEMANDA, SALVO PRUEBA PLENA EN CONTRARIO”</w:t>
      </w:r>
      <w:r w:rsidRPr="004C3E8F">
        <w:rPr>
          <w:rFonts w:ascii="Arial" w:hAnsi="Arial" w:cs="Arial"/>
          <w:bCs/>
        </w:rPr>
        <w:t>, consultable a fojas doscientos treinta y tres y doscientos treinta y cuatro de la Compilación 1997-2013 Jurisprudencia y tesis en materia electoral, volumen uno, intitulado «Jurisprudencia», publicado por el Tribunal Electoral del Poder Judicial de la Federación.</w:t>
      </w:r>
    </w:p>
    <w:p w14:paraId="6521352A" w14:textId="77777777" w:rsidR="00991189" w:rsidRPr="004C3E8F" w:rsidRDefault="00991189" w:rsidP="00991189">
      <w:pPr>
        <w:pStyle w:val="NormalWeb"/>
        <w:spacing w:before="0" w:after="0"/>
        <w:ind w:firstLine="708"/>
        <w:jc w:val="both"/>
        <w:rPr>
          <w:rFonts w:ascii="Arial" w:hAnsi="Arial" w:cs="Arial"/>
          <w:bCs/>
        </w:rPr>
      </w:pPr>
      <w:r w:rsidRPr="004C3E8F">
        <w:rPr>
          <w:rFonts w:ascii="Arial" w:hAnsi="Arial" w:cs="Arial"/>
          <w:bCs/>
        </w:rPr>
        <w:t xml:space="preserve">                                                                                                                                                                                                                                                                                                                                                                                                                                                                                                                                                                                                                                                                                                                                                                                                                                                                                                                                                                                                                                                                                                                                                                                                                                                                                                                                                                                                                                                                                                                                                                                                                                                                                                                                                                                                                                                                                                                                                                                                                                                                                                                                                                                                                                                                                                                                                                                                                                                                                                                                                                                                                                           </w:t>
      </w:r>
      <w:r w:rsidRPr="004C3E8F">
        <w:rPr>
          <w:rFonts w:ascii="Arial" w:hAnsi="Arial" w:cs="Arial"/>
          <w:bCs/>
        </w:rPr>
        <w:tab/>
        <w:t>Por todo lo anterior, en el caso, la Sala Superior estima que se cumple con el requisito relativo a la presentación oportuna de la demanda, y en consecuencia sea infundada la causal de improcedencia hecha valer.</w:t>
      </w:r>
    </w:p>
    <w:p w14:paraId="460183EB" w14:textId="77777777" w:rsidR="00991189" w:rsidRPr="004C3E8F" w:rsidRDefault="00991189" w:rsidP="00991189">
      <w:pPr>
        <w:pStyle w:val="NormalWeb"/>
        <w:spacing w:before="0" w:after="0"/>
        <w:ind w:firstLine="708"/>
        <w:jc w:val="both"/>
        <w:rPr>
          <w:rFonts w:ascii="Arial" w:hAnsi="Arial" w:cs="Arial"/>
          <w:b/>
        </w:rPr>
      </w:pPr>
    </w:p>
    <w:p w14:paraId="432EAB48" w14:textId="77777777" w:rsidR="00991189" w:rsidRPr="004C3E8F" w:rsidRDefault="00991189" w:rsidP="00991189">
      <w:pPr>
        <w:pStyle w:val="NormalWeb"/>
        <w:spacing w:before="0" w:after="0"/>
        <w:ind w:firstLine="708"/>
        <w:jc w:val="both"/>
        <w:rPr>
          <w:rFonts w:ascii="Arial" w:eastAsia="Times New Roman" w:hAnsi="Arial" w:cs="Arial"/>
          <w:color w:val="auto"/>
          <w:bdr w:val="none" w:sz="0" w:space="0" w:color="auto"/>
        </w:rPr>
      </w:pPr>
      <w:r w:rsidRPr="004C3E8F">
        <w:rPr>
          <w:rFonts w:ascii="Arial" w:hAnsi="Arial" w:cs="Arial"/>
          <w:b/>
        </w:rPr>
        <w:t xml:space="preserve">QUINTO. Procedencia. </w:t>
      </w:r>
      <w:r w:rsidRPr="004C3E8F">
        <w:rPr>
          <w:rFonts w:ascii="Arial" w:hAnsi="Arial" w:cs="Arial"/>
        </w:rPr>
        <w:t>Los</w:t>
      </w:r>
      <w:r w:rsidRPr="004C3E8F">
        <w:rPr>
          <w:rFonts w:ascii="Arial" w:eastAsia="Times New Roman" w:hAnsi="Arial" w:cs="Arial"/>
          <w:color w:val="auto"/>
          <w:bdr w:val="none" w:sz="0" w:space="0" w:color="auto"/>
        </w:rPr>
        <w:t xml:space="preserve"> presentes medios de impugnación reúnen los requisitos de procedencia previstos en los artículos 7, 8, 9, párrafo 1; 13, párrafo 1, inciso b); 79, párrafo 1, y 80, párrafo 1, inciso f), de la Ley General del Sistema de Medios de Impugnación en Materia Electoral, como se advierte a continuación:</w:t>
      </w:r>
    </w:p>
    <w:p w14:paraId="706DCBFC" w14:textId="77777777" w:rsidR="00991189" w:rsidRPr="004C3E8F" w:rsidRDefault="00991189" w:rsidP="00991189">
      <w:pPr>
        <w:pStyle w:val="NormalWeb"/>
        <w:spacing w:before="0" w:after="0"/>
        <w:ind w:firstLine="708"/>
        <w:jc w:val="both"/>
        <w:rPr>
          <w:rFonts w:ascii="Arial" w:eastAsia="Times New Roman" w:hAnsi="Arial" w:cs="Arial"/>
          <w:color w:val="auto"/>
          <w:bdr w:val="none" w:sz="0" w:space="0" w:color="auto"/>
        </w:rPr>
      </w:pPr>
    </w:p>
    <w:p w14:paraId="3F3772CA"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b/>
          <w:bCs/>
          <w:sz w:val="24"/>
          <w:szCs w:val="24"/>
          <w:lang w:eastAsia="es-MX"/>
        </w:rPr>
        <w:t>a) Oportunidad.</w:t>
      </w:r>
      <w:r w:rsidRPr="004C3E8F">
        <w:rPr>
          <w:rFonts w:ascii="Arial" w:eastAsia="Times New Roman" w:hAnsi="Arial" w:cs="Arial"/>
          <w:sz w:val="24"/>
          <w:szCs w:val="24"/>
          <w:lang w:eastAsia="es-MX"/>
        </w:rPr>
        <w:t xml:space="preserve"> Respecto del expediente SUP-JDC-1619/2016, deben retomarse los razonamientos vertidos en el considerando anterior en cuanto a la fecha de presentación de la demanda, en obvio de repeticiones innecesarias, y por ello considerar como oportuna.</w:t>
      </w:r>
    </w:p>
    <w:p w14:paraId="4D3B8D1E"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p>
    <w:p w14:paraId="00A19AA8"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 xml:space="preserve">En lo tocante al juicio SUP-JDC-1621/2016, la actora aduce que tuvo conocimiento de que la autoridad responsable utilizaba la identidad gráfica cuestionada para promover el voto de los ciudadanos a través de su sitio </w:t>
      </w:r>
      <w:r w:rsidRPr="004C3E8F">
        <w:rPr>
          <w:rFonts w:ascii="Arial" w:eastAsia="Times New Roman" w:hAnsi="Arial" w:cs="Arial"/>
          <w:i/>
          <w:sz w:val="24"/>
          <w:szCs w:val="24"/>
          <w:lang w:eastAsia="es-MX"/>
        </w:rPr>
        <w:t>web</w:t>
      </w:r>
      <w:r w:rsidRPr="004C3E8F">
        <w:rPr>
          <w:rFonts w:ascii="Arial" w:eastAsia="Times New Roman" w:hAnsi="Arial" w:cs="Arial"/>
          <w:sz w:val="24"/>
          <w:szCs w:val="24"/>
          <w:lang w:eastAsia="es-MX"/>
        </w:rPr>
        <w:t xml:space="preserve"> oficial, el trece de mayo de dos mil dieciséis, y del sello de recepción del Instituto Electoral del Estado de Puebla, se aprecia que la demanda se presentó el dieciséis del propio mes y año.</w:t>
      </w:r>
    </w:p>
    <w:p w14:paraId="52B6E1F1"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p>
    <w:p w14:paraId="4D06BC42"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 xml:space="preserve">Conforme al artículo 347 y 350, del Código de Instituciones y Procesos Electorales del Estado de Puebla, la interposición del recurso de apelación, el cual sería procedente en el caso de no haberse promovido vía </w:t>
      </w:r>
      <w:r w:rsidRPr="004C3E8F">
        <w:rPr>
          <w:rFonts w:ascii="Arial" w:eastAsia="Times New Roman" w:hAnsi="Arial" w:cs="Arial"/>
          <w:i/>
          <w:sz w:val="24"/>
          <w:szCs w:val="24"/>
          <w:lang w:eastAsia="es-MX"/>
        </w:rPr>
        <w:t xml:space="preserve">per </w:t>
      </w:r>
      <w:proofErr w:type="spellStart"/>
      <w:r w:rsidRPr="004C3E8F">
        <w:rPr>
          <w:rFonts w:ascii="Arial" w:eastAsia="Times New Roman" w:hAnsi="Arial" w:cs="Arial"/>
          <w:i/>
          <w:sz w:val="24"/>
          <w:szCs w:val="24"/>
          <w:lang w:eastAsia="es-MX"/>
        </w:rPr>
        <w:t>saltum</w:t>
      </w:r>
      <w:proofErr w:type="spellEnd"/>
      <w:r w:rsidRPr="004C3E8F">
        <w:rPr>
          <w:rFonts w:ascii="Arial" w:hAnsi="Arial" w:cs="Arial"/>
          <w:sz w:val="24"/>
          <w:szCs w:val="24"/>
        </w:rPr>
        <w:t xml:space="preserve">, </w:t>
      </w:r>
      <w:r w:rsidRPr="004C3E8F">
        <w:rPr>
          <w:rFonts w:ascii="Arial" w:eastAsia="Times New Roman" w:hAnsi="Arial" w:cs="Arial"/>
          <w:sz w:val="24"/>
          <w:szCs w:val="24"/>
          <w:lang w:eastAsia="es-MX"/>
        </w:rPr>
        <w:t xml:space="preserve">debe </w:t>
      </w:r>
      <w:r w:rsidRPr="004C3E8F">
        <w:rPr>
          <w:rFonts w:ascii="Arial" w:eastAsia="Times New Roman" w:hAnsi="Arial" w:cs="Arial"/>
          <w:sz w:val="24"/>
          <w:szCs w:val="24"/>
          <w:lang w:eastAsia="es-MX"/>
        </w:rPr>
        <w:lastRenderedPageBreak/>
        <w:t xml:space="preserve">efectuarse en el plazo de tres días contados a partir del día siguiente al que se tuvo conocimiento del acto impugnado. </w:t>
      </w:r>
    </w:p>
    <w:p w14:paraId="16710FE3"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p>
    <w:p w14:paraId="0A7B3E20"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En la especie, el plazo transcurrió del sábado catorce al lunes dieciséis de mayo del presente año, al guardar la materia de impugnación relación con el proceso electoral local en curso, y como se mencionó con anterioridad, la demanda se presentó el dieciséis del mes y año en curso, por lo que se considera oportuna su presentación.</w:t>
      </w:r>
    </w:p>
    <w:p w14:paraId="350B101E"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p>
    <w:p w14:paraId="0476151C"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b/>
          <w:bCs/>
          <w:sz w:val="24"/>
          <w:szCs w:val="24"/>
          <w:lang w:eastAsia="es-MX"/>
        </w:rPr>
        <w:t>b) Forma.</w:t>
      </w:r>
      <w:r w:rsidRPr="004C3E8F">
        <w:rPr>
          <w:rFonts w:ascii="Arial" w:eastAsia="Times New Roman" w:hAnsi="Arial" w:cs="Arial"/>
          <w:sz w:val="24"/>
          <w:szCs w:val="24"/>
          <w:lang w:eastAsia="es-MX"/>
        </w:rPr>
        <w:t xml:space="preserve"> Las demandas se presentaron por escrito, haciendo constar en ellas el nombre de quienes las promueven; se identificaron los actos impugnados, así como la autoridad responsable; se mencionan de manera expresa los hechos en los que se basan los presentes juicios, junto con los agravios y preceptos presuntamente vulnerados; se ofrecen y aportan los medios de prueba que se estimaron convenientes, y se hace constar el nombre y firma autógrafa de las accionantes.</w:t>
      </w:r>
    </w:p>
    <w:p w14:paraId="41148E37"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p>
    <w:p w14:paraId="4CA0B2EA"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Por lo que se cumple con lo establecido en el artículo 9, de la Ley adjetiva de la materia.</w:t>
      </w:r>
    </w:p>
    <w:p w14:paraId="4BFC9A2B"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p>
    <w:p w14:paraId="34B33153"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b/>
          <w:bCs/>
          <w:sz w:val="24"/>
          <w:szCs w:val="24"/>
          <w:lang w:eastAsia="es-MX"/>
        </w:rPr>
        <w:t>c) Legitimación y personería.</w:t>
      </w:r>
      <w:r w:rsidRPr="004C3E8F">
        <w:rPr>
          <w:rFonts w:ascii="Arial" w:eastAsia="Times New Roman" w:hAnsi="Arial" w:cs="Arial"/>
          <w:sz w:val="24"/>
          <w:szCs w:val="24"/>
          <w:lang w:eastAsia="es-MX"/>
        </w:rPr>
        <w:t xml:space="preserve"> Los juicios se promovieron por parte legítima, ya que de acuerdo con los artículos 79, apartados 1 y 2, en relación con el 80, párrafo 1, inciso f), de la Ley General del Sistema de Medios de Impugnación en Materia Electoral, corresponde instaurarlo a la ciudadanía, entre otros supuestos, cuando consideren que los actos o resoluciones de la autoridad vulneran alguno de sus derechos político-electorales.</w:t>
      </w:r>
    </w:p>
    <w:p w14:paraId="5977FE7D" w14:textId="77777777" w:rsidR="00991189" w:rsidRPr="004C3E8F" w:rsidRDefault="00991189" w:rsidP="00991189">
      <w:pPr>
        <w:spacing w:after="0" w:line="240" w:lineRule="auto"/>
        <w:jc w:val="both"/>
        <w:rPr>
          <w:rFonts w:ascii="Arial" w:eastAsia="Times New Roman" w:hAnsi="Arial" w:cs="Arial"/>
          <w:sz w:val="24"/>
          <w:szCs w:val="24"/>
          <w:lang w:eastAsia="es-MX"/>
        </w:rPr>
      </w:pPr>
    </w:p>
    <w:p w14:paraId="6B6AEA3C"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En el caso del juicio SUP-JDC-1619/2016, quien promueve es Ana Teresa Aranda Orozco, por propio derecho, y en su calidad de candidata independiente para el cargo de gobernadora de Puebla, la cual es reconocida por la autoridad administrativa responsable al rendir su informe circunstanciado, por ello, es dable concluir que quien promueve tiene legitimación para instaurar el juicio en que se actúa.</w:t>
      </w:r>
    </w:p>
    <w:p w14:paraId="7FA8DE0E"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p>
    <w:p w14:paraId="0C5BAC69"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En lo tocante al juicio SUP-JDC-1621/2016, quien promueve es Jesús Gerardo Saravia Rivera, quien acude a la presente instancia, como apoderado legal de Blanca María del Socorro Alcalá Ruiz.</w:t>
      </w:r>
    </w:p>
    <w:p w14:paraId="33F1EC39"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p>
    <w:p w14:paraId="63000366"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 xml:space="preserve"> De las constancias que obran en los autos, se advierte que el ciudadano citado exhibió el documento idóneo para acreditar su personería; cuestión que se considera procedente, no obstante, lo que establece el artículo 13, párrafo 1, inciso b), de la Ley General del Sistema de Medios de Impugnación en Materia Electoral, dado que resulta aplicable la jurisprudencia de rubro: </w:t>
      </w:r>
      <w:r w:rsidRPr="004C3E8F">
        <w:rPr>
          <w:rFonts w:ascii="Arial" w:eastAsia="Times New Roman" w:hAnsi="Arial" w:cs="Arial"/>
          <w:b/>
          <w:i/>
          <w:sz w:val="24"/>
          <w:szCs w:val="24"/>
          <w:lang w:eastAsia="es-MX"/>
        </w:rPr>
        <w:t>REPRESENTACIÓN. ES ADMISIBLE EN LA PRESENTACIÓN E INTERPOSICIÓN DE LOS MEDIOS DE IMPUGNACIÓN EN MATERIA ELECTORAL.</w:t>
      </w:r>
    </w:p>
    <w:p w14:paraId="128F3ED8" w14:textId="77777777" w:rsidR="00991189" w:rsidRPr="004C3E8F" w:rsidRDefault="00991189" w:rsidP="00991189">
      <w:pPr>
        <w:spacing w:after="0" w:line="240" w:lineRule="auto"/>
        <w:jc w:val="both"/>
        <w:rPr>
          <w:rFonts w:ascii="Arial" w:eastAsia="Times New Roman" w:hAnsi="Arial" w:cs="Arial"/>
          <w:sz w:val="24"/>
          <w:szCs w:val="24"/>
          <w:lang w:eastAsia="es-MX"/>
        </w:rPr>
      </w:pPr>
    </w:p>
    <w:p w14:paraId="1C6A8F55"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lastRenderedPageBreak/>
        <w:t>Por todo lo anterior, es dable concluir que quienes promueven tienen legitimación procesal para instaurar los juicios en que se actúa.</w:t>
      </w:r>
    </w:p>
    <w:p w14:paraId="3F095F75"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p>
    <w:p w14:paraId="659FF274" w14:textId="77777777" w:rsidR="00991189" w:rsidRPr="004C3E8F" w:rsidRDefault="00991189" w:rsidP="00991189">
      <w:pPr>
        <w:spacing w:after="0" w:line="240" w:lineRule="auto"/>
        <w:ind w:firstLine="708"/>
        <w:jc w:val="both"/>
        <w:rPr>
          <w:rFonts w:ascii="Arial" w:eastAsia="Times New Roman" w:hAnsi="Arial" w:cs="Arial"/>
          <w:i/>
          <w:sz w:val="24"/>
          <w:szCs w:val="24"/>
          <w:lang w:eastAsia="es-MX"/>
        </w:rPr>
      </w:pPr>
      <w:r w:rsidRPr="004C3E8F">
        <w:rPr>
          <w:rFonts w:ascii="Arial" w:eastAsia="Times New Roman" w:hAnsi="Arial" w:cs="Arial"/>
          <w:b/>
          <w:bCs/>
          <w:sz w:val="24"/>
          <w:szCs w:val="24"/>
          <w:lang w:eastAsia="es-MX"/>
        </w:rPr>
        <w:t>d) Interés jurídico.</w:t>
      </w:r>
      <w:r w:rsidRPr="004C3E8F">
        <w:rPr>
          <w:rFonts w:ascii="Arial" w:eastAsia="Times New Roman" w:hAnsi="Arial" w:cs="Arial"/>
          <w:sz w:val="24"/>
          <w:szCs w:val="24"/>
          <w:lang w:eastAsia="es-MX"/>
        </w:rPr>
        <w:t xml:space="preserve"> Las actoras cuentan con interés jurídico para promover el presente juicio ciudadano, ya que controvierte </w:t>
      </w:r>
      <w:r w:rsidRPr="004C3E8F">
        <w:rPr>
          <w:rFonts w:ascii="Arial" w:hAnsi="Arial" w:cs="Arial"/>
          <w:sz w:val="24"/>
          <w:szCs w:val="24"/>
        </w:rPr>
        <w:t xml:space="preserve">la publicidad dirigida a la promoción del voto por parte del Instituto Electoral del Estado de Puebla contenida en </w:t>
      </w:r>
      <w:r w:rsidRPr="004C3E8F">
        <w:rPr>
          <w:rFonts w:ascii="Arial" w:eastAsia="Times New Roman" w:hAnsi="Arial" w:cs="Arial"/>
          <w:sz w:val="24"/>
          <w:szCs w:val="24"/>
          <w:lang w:eastAsia="es-MX"/>
        </w:rPr>
        <w:t xml:space="preserve">doce espectaculares, cuatro pantallas </w:t>
      </w:r>
      <w:r w:rsidRPr="004C3E8F">
        <w:rPr>
          <w:rFonts w:ascii="Arial" w:eastAsia="Times New Roman" w:hAnsi="Arial" w:cs="Arial"/>
          <w:i/>
          <w:sz w:val="24"/>
          <w:szCs w:val="24"/>
          <w:lang w:eastAsia="es-MX"/>
        </w:rPr>
        <w:t>led</w:t>
      </w:r>
      <w:r w:rsidRPr="004C3E8F">
        <w:rPr>
          <w:rFonts w:ascii="Arial" w:eastAsia="Times New Roman" w:hAnsi="Arial" w:cs="Arial"/>
          <w:sz w:val="24"/>
          <w:szCs w:val="24"/>
          <w:lang w:eastAsia="es-MX"/>
        </w:rPr>
        <w:t xml:space="preserve"> ubicadas en la zona metropolitana de la citada entidad federativa, y en el sitio </w:t>
      </w:r>
      <w:r w:rsidRPr="004C3E8F">
        <w:rPr>
          <w:rFonts w:ascii="Arial" w:eastAsia="Times New Roman" w:hAnsi="Arial" w:cs="Arial"/>
          <w:i/>
          <w:sz w:val="24"/>
          <w:szCs w:val="24"/>
          <w:lang w:eastAsia="es-MX"/>
        </w:rPr>
        <w:t xml:space="preserve">web  </w:t>
      </w:r>
      <w:r w:rsidRPr="004C3E8F">
        <w:rPr>
          <w:rFonts w:ascii="Arial" w:eastAsia="Times New Roman" w:hAnsi="Arial" w:cs="Arial"/>
          <w:sz w:val="24"/>
          <w:szCs w:val="24"/>
          <w:lang w:eastAsia="es-MX"/>
        </w:rPr>
        <w:t xml:space="preserve">de la autoridad responsable, cuya </w:t>
      </w:r>
      <w:r w:rsidRPr="004C3E8F">
        <w:rPr>
          <w:rFonts w:ascii="Arial" w:eastAsia="Times New Roman" w:hAnsi="Arial" w:cs="Arial"/>
          <w:i/>
          <w:sz w:val="24"/>
          <w:szCs w:val="24"/>
          <w:lang w:eastAsia="es-MX"/>
        </w:rPr>
        <w:t xml:space="preserve">identidad gráfica </w:t>
      </w:r>
      <w:r w:rsidRPr="004C3E8F">
        <w:rPr>
          <w:rFonts w:ascii="Arial" w:eastAsia="Times New Roman" w:hAnsi="Arial" w:cs="Arial"/>
          <w:sz w:val="24"/>
          <w:szCs w:val="24"/>
          <w:lang w:eastAsia="es-MX"/>
        </w:rPr>
        <w:t xml:space="preserve">se aprobó en el </w:t>
      </w:r>
      <w:r w:rsidRPr="004C3E8F">
        <w:rPr>
          <w:rFonts w:ascii="Arial" w:hAnsi="Arial" w:cs="Arial"/>
          <w:sz w:val="24"/>
          <w:szCs w:val="24"/>
        </w:rPr>
        <w:t>Acuerdo CG/AC/028/15, emitido por el Consejo General del referido organismo electoral el</w:t>
      </w:r>
      <w:r w:rsidRPr="004C3E8F">
        <w:rPr>
          <w:rFonts w:ascii="Arial" w:eastAsia="Times New Roman" w:hAnsi="Arial" w:cs="Arial"/>
          <w:sz w:val="24"/>
          <w:szCs w:val="24"/>
          <w:lang w:eastAsia="es-MX"/>
        </w:rPr>
        <w:t xml:space="preserve"> veintitrés de noviembre de dos mil quince, y al participar como candidatas al cargo de gobernadora en el proceso electoral señalado, se considera que tienen interés jurídico para controvertir los actos llevados a cabo por el Organismo Público Electoral local ya mencionado.</w:t>
      </w:r>
    </w:p>
    <w:p w14:paraId="44253C02"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p>
    <w:p w14:paraId="637BF9D5"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b/>
          <w:bCs/>
          <w:sz w:val="24"/>
          <w:szCs w:val="24"/>
          <w:lang w:eastAsia="es-MX"/>
        </w:rPr>
        <w:t>e) Definitividad.</w:t>
      </w:r>
      <w:r w:rsidRPr="004C3E8F">
        <w:rPr>
          <w:rFonts w:ascii="Arial" w:eastAsia="Times New Roman" w:hAnsi="Arial" w:cs="Arial"/>
          <w:sz w:val="24"/>
          <w:szCs w:val="24"/>
          <w:lang w:eastAsia="es-MX"/>
        </w:rPr>
        <w:t xml:space="preserve"> De igual forma, el requisito debe tenerse colmado, en atención a los razonamientos explicados en el considerando segundo de esta ejecutoria.</w:t>
      </w:r>
    </w:p>
    <w:p w14:paraId="262C49CE"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p>
    <w:p w14:paraId="0C182D1F"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En consecuencia, al haber sido desestimadas las causales de improcedencia que la autoridad responsable hizo valer, y esta autoridad jurisdiccional no advierte de oficio que se actualice alguna otra, se abocará a estudiar el fondo de los asuntos.</w:t>
      </w:r>
    </w:p>
    <w:p w14:paraId="1687A41A"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p>
    <w:p w14:paraId="6CAF48DE"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r w:rsidRPr="004C3E8F">
        <w:rPr>
          <w:rFonts w:ascii="Arial" w:hAnsi="Arial" w:cs="Arial"/>
          <w:b/>
          <w:sz w:val="24"/>
          <w:szCs w:val="24"/>
        </w:rPr>
        <w:t xml:space="preserve">SEXTO. </w:t>
      </w:r>
      <w:r w:rsidRPr="004C3E8F">
        <w:rPr>
          <w:rFonts w:ascii="Arial" w:eastAsia="Times New Roman" w:hAnsi="Arial" w:cs="Arial"/>
          <w:b/>
          <w:sz w:val="24"/>
          <w:szCs w:val="24"/>
          <w:lang w:eastAsia="es-MX"/>
        </w:rPr>
        <w:t>Actos Reclamados.</w:t>
      </w:r>
      <w:r w:rsidRPr="004C3E8F">
        <w:rPr>
          <w:rFonts w:ascii="Arial" w:eastAsia="Times New Roman" w:hAnsi="Arial" w:cs="Arial"/>
          <w:sz w:val="24"/>
          <w:szCs w:val="24"/>
          <w:lang w:eastAsia="es-MX"/>
        </w:rPr>
        <w:t xml:space="preserve"> </w:t>
      </w:r>
      <w:proofErr w:type="gramStart"/>
      <w:r w:rsidRPr="004C3E8F">
        <w:rPr>
          <w:rFonts w:ascii="Arial" w:eastAsia="Times New Roman" w:hAnsi="Arial" w:cs="Arial"/>
          <w:sz w:val="24"/>
          <w:szCs w:val="24"/>
          <w:lang w:eastAsia="es-MX"/>
        </w:rPr>
        <w:t>En razón de</w:t>
      </w:r>
      <w:proofErr w:type="gramEnd"/>
      <w:r w:rsidRPr="004C3E8F">
        <w:rPr>
          <w:rFonts w:ascii="Arial" w:eastAsia="Times New Roman" w:hAnsi="Arial" w:cs="Arial"/>
          <w:sz w:val="24"/>
          <w:szCs w:val="24"/>
          <w:lang w:eastAsia="es-MX"/>
        </w:rPr>
        <w:t xml:space="preserve"> que no constituye obligación legal incluir el acto reclamado en el texto de la presente sentencia, se estima innecesario su transcripción, máxime que se tiene a la vista en el expediente respectivo para su análisis debido.</w:t>
      </w:r>
    </w:p>
    <w:p w14:paraId="1B8B5B2C"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p>
    <w:p w14:paraId="4C355776"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r w:rsidRPr="004C3E8F">
        <w:rPr>
          <w:rFonts w:ascii="Arial" w:hAnsi="Arial" w:cs="Arial"/>
          <w:b/>
          <w:sz w:val="24"/>
          <w:szCs w:val="24"/>
        </w:rPr>
        <w:t xml:space="preserve">SÉPTIMO. Síntesis de agravios. </w:t>
      </w:r>
      <w:r w:rsidRPr="004C3E8F">
        <w:rPr>
          <w:rFonts w:ascii="Arial" w:eastAsia="Times New Roman" w:hAnsi="Arial" w:cs="Arial"/>
          <w:sz w:val="24"/>
          <w:szCs w:val="24"/>
          <w:lang w:eastAsia="es-MX"/>
        </w:rPr>
        <w:t xml:space="preserve">De igual forma, resulta innecesario transcribir los disensos expuestos por las actoras, sin que ello constituya una transgresión a los principios de congruencia y exhaustividad por parte de la Sala Superior, dado que tales principios se satisfacen cuando se precisan los puntos sujetos a debate, derivados de la demanda o del escrito de expresión de agravios, y se estudian y da respuesta, la cual debe estar vinculada y corresponder a los planteamientos de legalidad o constitucionalidad efectivamente expresados en el pliego correspondiente, sin introducir aspectos distintos a los que conforman la </w:t>
      </w:r>
      <w:r w:rsidRPr="004C3E8F">
        <w:rPr>
          <w:rFonts w:ascii="Arial" w:eastAsia="Times New Roman" w:hAnsi="Arial" w:cs="Arial"/>
          <w:i/>
          <w:sz w:val="24"/>
          <w:szCs w:val="24"/>
          <w:lang w:eastAsia="es-MX"/>
        </w:rPr>
        <w:t>litis</w:t>
      </w:r>
      <w:r w:rsidRPr="004C3E8F">
        <w:rPr>
          <w:rFonts w:ascii="Arial" w:eastAsia="Times New Roman" w:hAnsi="Arial" w:cs="Arial"/>
          <w:sz w:val="24"/>
          <w:szCs w:val="24"/>
          <w:lang w:eastAsia="es-MX"/>
        </w:rPr>
        <w:t>; lo anterior, sin perjuicio que, de considerarse pertinente, se realice una síntesis de estos.</w:t>
      </w:r>
    </w:p>
    <w:p w14:paraId="356937B7"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p>
    <w:p w14:paraId="208B25E6"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Al respecto, resulta ilustrativa, la tesis de jurisprudencia número 2ª./J.58/2010</w:t>
      </w:r>
      <w:r w:rsidRPr="004C3E8F">
        <w:rPr>
          <w:rFonts w:ascii="Arial" w:eastAsia="Times New Roman" w:hAnsi="Arial" w:cs="Arial"/>
          <w:sz w:val="24"/>
          <w:szCs w:val="24"/>
          <w:lang w:eastAsia="es-MX"/>
        </w:rPr>
        <w:footnoteReference w:id="1"/>
      </w:r>
      <w:r w:rsidRPr="004C3E8F">
        <w:rPr>
          <w:rFonts w:ascii="Arial" w:eastAsia="Times New Roman" w:hAnsi="Arial" w:cs="Arial"/>
          <w:sz w:val="24"/>
          <w:szCs w:val="24"/>
          <w:lang w:eastAsia="es-MX"/>
        </w:rPr>
        <w:t xml:space="preserve">, sustentada por la Segunda Sala de la Suprema Corte de Justicia de la Nación, cuyo rubro es: </w:t>
      </w:r>
      <w:r w:rsidRPr="004C3E8F">
        <w:rPr>
          <w:rFonts w:ascii="Arial" w:eastAsia="Times New Roman" w:hAnsi="Arial" w:cs="Arial"/>
          <w:b/>
          <w:i/>
          <w:sz w:val="24"/>
          <w:szCs w:val="24"/>
          <w:lang w:eastAsia="es-MX"/>
        </w:rPr>
        <w:t>CONCEPTOS DE VIOLACIÓN O AGRAVIOS. PARA CUMPLIR CON LOS PRINCIPIOS DE CONGRUENCIA Y EXHAUSTIVIDAD EN LAS SENTENCIAS DE AMPARO ES INNECESARIA SU TRANSCRIPCIÓN</w:t>
      </w:r>
      <w:r w:rsidRPr="004C3E8F">
        <w:rPr>
          <w:rFonts w:ascii="Arial" w:eastAsia="Times New Roman" w:hAnsi="Arial" w:cs="Arial"/>
          <w:sz w:val="24"/>
          <w:szCs w:val="24"/>
          <w:lang w:eastAsia="es-MX"/>
        </w:rPr>
        <w:t>.</w:t>
      </w:r>
    </w:p>
    <w:p w14:paraId="1539A7CC"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p>
    <w:p w14:paraId="5FE6FC46"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lastRenderedPageBreak/>
        <w:t>La Sala Superior advierte -de una revisión integral y conjunta de los escritos de demanda</w:t>
      </w:r>
      <w:r w:rsidRPr="004C3E8F">
        <w:rPr>
          <w:rStyle w:val="Refdenotaalpie"/>
          <w:rFonts w:ascii="Arial" w:eastAsia="Times New Roman" w:hAnsi="Arial" w:cs="Arial"/>
          <w:sz w:val="24"/>
          <w:szCs w:val="24"/>
          <w:lang w:eastAsia="es-MX"/>
        </w:rPr>
        <w:footnoteReference w:id="2"/>
      </w:r>
      <w:r w:rsidRPr="004C3E8F">
        <w:rPr>
          <w:rFonts w:ascii="Arial" w:eastAsia="Times New Roman" w:hAnsi="Arial" w:cs="Arial"/>
          <w:sz w:val="24"/>
          <w:szCs w:val="24"/>
          <w:lang w:eastAsia="es-MX"/>
        </w:rPr>
        <w:t>- que los agravios aducidos por las enjuiciantes, principalmente, son los siguientes:</w:t>
      </w:r>
    </w:p>
    <w:p w14:paraId="3B68E7FD"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p>
    <w:p w14:paraId="4298B797"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 xml:space="preserve">Las actoras sostienen que les causa agravio </w:t>
      </w:r>
      <w:r w:rsidRPr="004C3E8F">
        <w:rPr>
          <w:rFonts w:ascii="Arial" w:hAnsi="Arial" w:cs="Arial"/>
          <w:sz w:val="24"/>
          <w:szCs w:val="24"/>
        </w:rPr>
        <w:t xml:space="preserve">la publicidad dirigida a la promoción del voto por parte del Instituto Electoral del Estado de Puebla contenida en </w:t>
      </w:r>
      <w:r w:rsidRPr="004C3E8F">
        <w:rPr>
          <w:rFonts w:ascii="Arial" w:eastAsia="Times New Roman" w:hAnsi="Arial" w:cs="Arial"/>
          <w:sz w:val="24"/>
          <w:szCs w:val="24"/>
          <w:lang w:eastAsia="es-MX"/>
        </w:rPr>
        <w:t xml:space="preserve">doce espectaculares, cuatro pantallas </w:t>
      </w:r>
      <w:r w:rsidRPr="004C3E8F">
        <w:rPr>
          <w:rFonts w:ascii="Arial" w:eastAsia="Times New Roman" w:hAnsi="Arial" w:cs="Arial"/>
          <w:i/>
          <w:sz w:val="24"/>
          <w:szCs w:val="24"/>
          <w:lang w:eastAsia="es-MX"/>
        </w:rPr>
        <w:t>led</w:t>
      </w:r>
      <w:r w:rsidRPr="004C3E8F">
        <w:rPr>
          <w:rFonts w:ascii="Arial" w:eastAsia="Times New Roman" w:hAnsi="Arial" w:cs="Arial"/>
          <w:sz w:val="24"/>
          <w:szCs w:val="24"/>
          <w:lang w:eastAsia="es-MX"/>
        </w:rPr>
        <w:t xml:space="preserve"> ubicadas en la zona metropolitana de la citada entidad federativa, y en el sitio </w:t>
      </w:r>
      <w:r w:rsidRPr="004C3E8F">
        <w:rPr>
          <w:rFonts w:ascii="Arial" w:eastAsia="Times New Roman" w:hAnsi="Arial" w:cs="Arial"/>
          <w:i/>
          <w:sz w:val="24"/>
          <w:szCs w:val="24"/>
          <w:lang w:eastAsia="es-MX"/>
        </w:rPr>
        <w:t xml:space="preserve">web </w:t>
      </w:r>
      <w:r w:rsidRPr="004C3E8F">
        <w:rPr>
          <w:rFonts w:ascii="Arial" w:eastAsia="Times New Roman" w:hAnsi="Arial" w:cs="Arial"/>
          <w:sz w:val="24"/>
          <w:szCs w:val="24"/>
          <w:lang w:eastAsia="es-MX"/>
        </w:rPr>
        <w:t xml:space="preserve">de la autoridad responsable, cuya </w:t>
      </w:r>
      <w:r w:rsidRPr="004C3E8F">
        <w:rPr>
          <w:rFonts w:ascii="Arial" w:eastAsia="Times New Roman" w:hAnsi="Arial" w:cs="Arial"/>
          <w:i/>
          <w:sz w:val="24"/>
          <w:szCs w:val="24"/>
          <w:lang w:eastAsia="es-MX"/>
        </w:rPr>
        <w:t xml:space="preserve">identidad gráfica </w:t>
      </w:r>
      <w:r w:rsidRPr="004C3E8F">
        <w:rPr>
          <w:rFonts w:ascii="Arial" w:eastAsia="Times New Roman" w:hAnsi="Arial" w:cs="Arial"/>
          <w:sz w:val="24"/>
          <w:szCs w:val="24"/>
          <w:lang w:eastAsia="es-MX"/>
        </w:rPr>
        <w:t xml:space="preserve">se aprobó en el </w:t>
      </w:r>
      <w:r w:rsidRPr="004C3E8F">
        <w:rPr>
          <w:rFonts w:ascii="Arial" w:hAnsi="Arial" w:cs="Arial"/>
          <w:sz w:val="24"/>
          <w:szCs w:val="24"/>
        </w:rPr>
        <w:t>Acuerdo CG/AC/028/15, emitido por el Consejo General del referido organismo electoral el</w:t>
      </w:r>
      <w:r w:rsidRPr="004C3E8F">
        <w:rPr>
          <w:rFonts w:ascii="Arial" w:eastAsia="Times New Roman" w:hAnsi="Arial" w:cs="Arial"/>
          <w:sz w:val="24"/>
          <w:szCs w:val="24"/>
          <w:lang w:eastAsia="es-MX"/>
        </w:rPr>
        <w:t xml:space="preserve"> veintitrés de noviembre de dos mil quince, dado que, desde su perspectiva, contraviene los principios de igualdad, equidad de género y equidad en la contienda, con lo que afecta su derecho a votar y ser votadas consagrado en el artículo 35, fracción II, de la Constitución Federal.</w:t>
      </w:r>
    </w:p>
    <w:p w14:paraId="77C7FE29"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p>
    <w:p w14:paraId="4E6E50B9"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Las accionantes, como sustento de la impugnación, señalan que la autoridad administrativa responsable fue omisa en garantizar la equidad de género, la equidad en la contienda, dado que estiman que se alienta a que se vote solo por el género masculino.</w:t>
      </w:r>
    </w:p>
    <w:p w14:paraId="791B9D59"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p>
    <w:p w14:paraId="33705EDC"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 xml:space="preserve">Con ello, las actoras consideran que la identidad gráfica aprobada por el Organismo Público Electoral responsable y su ejecución a través de la promoción del voto ciudadano por medio de la colocación de doce espectaculares, cuatro pantallas </w:t>
      </w:r>
      <w:r w:rsidRPr="004C3E8F">
        <w:rPr>
          <w:rFonts w:ascii="Arial" w:eastAsia="Times New Roman" w:hAnsi="Arial" w:cs="Arial"/>
          <w:i/>
          <w:sz w:val="24"/>
          <w:szCs w:val="24"/>
          <w:lang w:eastAsia="es-MX"/>
        </w:rPr>
        <w:t xml:space="preserve">led, </w:t>
      </w:r>
      <w:r w:rsidRPr="004C3E8F">
        <w:rPr>
          <w:rFonts w:ascii="Arial" w:eastAsia="Times New Roman" w:hAnsi="Arial" w:cs="Arial"/>
          <w:sz w:val="24"/>
          <w:szCs w:val="24"/>
          <w:lang w:eastAsia="es-MX"/>
        </w:rPr>
        <w:t xml:space="preserve">y en el sitio </w:t>
      </w:r>
      <w:r w:rsidRPr="004C3E8F">
        <w:rPr>
          <w:rFonts w:ascii="Arial" w:eastAsia="Times New Roman" w:hAnsi="Arial" w:cs="Arial"/>
          <w:i/>
          <w:sz w:val="24"/>
          <w:szCs w:val="24"/>
          <w:lang w:eastAsia="es-MX"/>
        </w:rPr>
        <w:t xml:space="preserve">web </w:t>
      </w:r>
      <w:r w:rsidRPr="004C3E8F">
        <w:rPr>
          <w:rFonts w:ascii="Arial" w:eastAsia="Times New Roman" w:hAnsi="Arial" w:cs="Arial"/>
          <w:sz w:val="24"/>
          <w:szCs w:val="24"/>
          <w:lang w:eastAsia="es-MX"/>
        </w:rPr>
        <w:t>de la autoridad responsable, refleja a través del uso de la lengua, una discriminación hacia la mujer, que trasciende a la afectación de su derecho de votar y ser votadas.</w:t>
      </w:r>
    </w:p>
    <w:p w14:paraId="78F3FDC1"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p>
    <w:p w14:paraId="435ABB2A"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 xml:space="preserve">En concepto de las accionantes, la autoridad responsable transmite de forma trascendente, discriminatoria y desigual que el estereotipo deseado para la gubernatura del </w:t>
      </w:r>
    </w:p>
    <w:p w14:paraId="0ACB2363" w14:textId="77777777" w:rsidR="00991189" w:rsidRPr="004C3E8F" w:rsidRDefault="00991189" w:rsidP="00991189">
      <w:pPr>
        <w:spacing w:after="0" w:line="240" w:lineRule="auto"/>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Estado de Puebla debe ser un hombre, negando con ello el lugar que ocupan las mujeres, motivando a la sociedad poblana a que voten por un gobernador, sin dar la opción por medio del uso del lenguaje en el mensaje, de que se elija a una gobernadora, en detrimento de las tres mujeres candidatas que contienden el proceso electoral local.</w:t>
      </w:r>
    </w:p>
    <w:p w14:paraId="2E193A5F"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p>
    <w:p w14:paraId="18E12B33"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lastRenderedPageBreak/>
        <w:t xml:space="preserve">En virtud de lo anterior, las inconformes solicitan que se ordene la modificación de los doce espectaculares y cuatro pantallas </w:t>
      </w:r>
      <w:r w:rsidRPr="004C3E8F">
        <w:rPr>
          <w:rFonts w:ascii="Arial" w:eastAsia="Times New Roman" w:hAnsi="Arial" w:cs="Arial"/>
          <w:i/>
          <w:sz w:val="24"/>
          <w:szCs w:val="24"/>
          <w:lang w:eastAsia="es-MX"/>
        </w:rPr>
        <w:t>led</w:t>
      </w:r>
      <w:r w:rsidRPr="004C3E8F">
        <w:rPr>
          <w:rFonts w:ascii="Arial" w:eastAsia="Times New Roman" w:hAnsi="Arial" w:cs="Arial"/>
          <w:sz w:val="24"/>
          <w:szCs w:val="24"/>
          <w:lang w:eastAsia="es-MX"/>
        </w:rPr>
        <w:t xml:space="preserve"> colocadas en diversos puntos de Puebla y del sitio </w:t>
      </w:r>
      <w:r w:rsidRPr="004C3E8F">
        <w:rPr>
          <w:rFonts w:ascii="Arial" w:eastAsia="Times New Roman" w:hAnsi="Arial" w:cs="Arial"/>
          <w:i/>
          <w:sz w:val="24"/>
          <w:szCs w:val="24"/>
          <w:lang w:eastAsia="es-MX"/>
        </w:rPr>
        <w:t xml:space="preserve">web </w:t>
      </w:r>
      <w:r w:rsidRPr="004C3E8F">
        <w:rPr>
          <w:rFonts w:ascii="Arial" w:eastAsia="Times New Roman" w:hAnsi="Arial" w:cs="Arial"/>
          <w:sz w:val="24"/>
          <w:szCs w:val="24"/>
          <w:lang w:eastAsia="es-MX"/>
        </w:rPr>
        <w:t>de la autoridad responsable.</w:t>
      </w:r>
    </w:p>
    <w:p w14:paraId="11431175"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p>
    <w:p w14:paraId="55016562"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b/>
          <w:sz w:val="24"/>
          <w:szCs w:val="24"/>
          <w:lang w:eastAsia="es-MX"/>
        </w:rPr>
        <w:t xml:space="preserve">OCTAVO. Estudio de fondo. </w:t>
      </w:r>
      <w:r w:rsidRPr="004C3E8F">
        <w:rPr>
          <w:rFonts w:ascii="Arial" w:eastAsia="Times New Roman" w:hAnsi="Arial" w:cs="Arial"/>
          <w:sz w:val="24"/>
          <w:szCs w:val="24"/>
          <w:lang w:eastAsia="es-MX"/>
        </w:rPr>
        <w:t xml:space="preserve">En ese sentido, los agravios que han sido sintetizados </w:t>
      </w:r>
      <w:proofErr w:type="gramStart"/>
      <w:r w:rsidRPr="004C3E8F">
        <w:rPr>
          <w:rFonts w:ascii="Arial" w:eastAsia="Times New Roman" w:hAnsi="Arial" w:cs="Arial"/>
          <w:sz w:val="24"/>
          <w:szCs w:val="24"/>
          <w:lang w:eastAsia="es-MX"/>
        </w:rPr>
        <w:t>previamente,</w:t>
      </w:r>
      <w:proofErr w:type="gramEnd"/>
      <w:r w:rsidRPr="004C3E8F">
        <w:rPr>
          <w:rFonts w:ascii="Arial" w:eastAsia="Times New Roman" w:hAnsi="Arial" w:cs="Arial"/>
          <w:sz w:val="24"/>
          <w:szCs w:val="24"/>
          <w:lang w:eastAsia="es-MX"/>
        </w:rPr>
        <w:t xml:space="preserve"> se analizarán de manera conjunta, en atención a la estrecha vinculación que guardan, y bajo la premisa de que el completo acceso a la tutela judicial efectiva, se garantiza por el órgano jurisdiccional al analizar la totalidad de los planteamientos, con independencia de que el correspondiente análisis se verifique o no en el orden propuesto por el enjuiciante. </w:t>
      </w:r>
    </w:p>
    <w:p w14:paraId="319B3D10"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p>
    <w:p w14:paraId="2B826E33"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 xml:space="preserve">El señalado criterio de este órgano jurisdiccional se encuentra establecido en la jurisprudencia de rubro </w:t>
      </w:r>
      <w:r w:rsidRPr="004C3E8F">
        <w:rPr>
          <w:rFonts w:ascii="Arial" w:eastAsia="Times New Roman" w:hAnsi="Arial" w:cs="Arial"/>
          <w:b/>
          <w:i/>
          <w:sz w:val="24"/>
          <w:szCs w:val="24"/>
          <w:lang w:eastAsia="es-MX"/>
        </w:rPr>
        <w:t>“AGRAVIOS. SU EXAMEN CONJUNTO O SEPARADO NO CAUSA LESIÓN</w:t>
      </w:r>
      <w:r w:rsidRPr="004C3E8F">
        <w:rPr>
          <w:rFonts w:ascii="Arial" w:eastAsia="Times New Roman" w:hAnsi="Arial" w:cs="Arial"/>
          <w:sz w:val="24"/>
          <w:szCs w:val="24"/>
          <w:lang w:eastAsia="es-MX"/>
        </w:rPr>
        <w:t>”, consultable en la “Compilación 1997-2013. Jurisprudencia y tesis en materia electoral” Tomo Jurisprudencia, Volumen 1, página 125.</w:t>
      </w:r>
    </w:p>
    <w:p w14:paraId="45CA56C5"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p>
    <w:p w14:paraId="7E6F9EE7" w14:textId="77777777" w:rsidR="00991189" w:rsidRPr="004C3E8F" w:rsidRDefault="00991189" w:rsidP="00991189">
      <w:pPr>
        <w:pStyle w:val="Prrafodelista"/>
        <w:ind w:left="1428"/>
        <w:jc w:val="both"/>
        <w:rPr>
          <w:rFonts w:ascii="Arial" w:hAnsi="Arial" w:cs="Arial"/>
          <w:b/>
        </w:rPr>
      </w:pPr>
    </w:p>
    <w:p w14:paraId="1B2FEDDF" w14:textId="77777777" w:rsidR="00991189" w:rsidRPr="004C3E8F" w:rsidRDefault="00991189" w:rsidP="00991189">
      <w:pPr>
        <w:pStyle w:val="Prrafodelista"/>
        <w:numPr>
          <w:ilvl w:val="0"/>
          <w:numId w:val="3"/>
        </w:numPr>
        <w:jc w:val="both"/>
        <w:rPr>
          <w:rFonts w:ascii="Arial" w:hAnsi="Arial" w:cs="Arial"/>
          <w:b/>
        </w:rPr>
      </w:pPr>
      <w:r w:rsidRPr="004C3E8F">
        <w:rPr>
          <w:rFonts w:ascii="Arial" w:hAnsi="Arial" w:cs="Arial"/>
          <w:b/>
        </w:rPr>
        <w:t>Marco Jurídico.</w:t>
      </w:r>
    </w:p>
    <w:p w14:paraId="18C5317F"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p>
    <w:p w14:paraId="6008926D" w14:textId="77777777" w:rsidR="00991189" w:rsidRPr="004C3E8F" w:rsidRDefault="00991189" w:rsidP="00991189">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Para comenzar con el estudio, se considera oportuno precisar el marco jurídico:</w:t>
      </w:r>
    </w:p>
    <w:p w14:paraId="43E64FC4" w14:textId="77777777" w:rsidR="00991189" w:rsidRPr="00E83B93" w:rsidRDefault="00991189" w:rsidP="00991189">
      <w:pPr>
        <w:spacing w:line="360" w:lineRule="auto"/>
        <w:ind w:firstLine="708"/>
        <w:jc w:val="both"/>
        <w:rPr>
          <w:rFonts w:ascii="Arial" w:eastAsia="Times New Roman" w:hAnsi="Arial" w:cs="Arial"/>
          <w:sz w:val="27"/>
          <w:szCs w:val="27"/>
          <w:lang w:eastAsia="es-MX"/>
        </w:rPr>
      </w:pPr>
    </w:p>
    <w:p w14:paraId="758EE8D1" w14:textId="77777777" w:rsidR="00991189" w:rsidRPr="00F47164" w:rsidRDefault="00991189" w:rsidP="00991189">
      <w:pPr>
        <w:ind w:left="567" w:right="332"/>
        <w:jc w:val="center"/>
        <w:rPr>
          <w:rFonts w:ascii="Arial" w:eastAsia="Times New Roman" w:hAnsi="Arial" w:cs="Arial"/>
          <w:b/>
          <w:sz w:val="20"/>
          <w:szCs w:val="20"/>
          <w:lang w:eastAsia="es-MX"/>
        </w:rPr>
      </w:pPr>
    </w:p>
    <w:p w14:paraId="0686993C" w14:textId="77777777" w:rsidR="00991189" w:rsidRPr="00F47164" w:rsidRDefault="00991189" w:rsidP="00991189">
      <w:pPr>
        <w:ind w:left="567" w:right="332"/>
        <w:jc w:val="center"/>
        <w:rPr>
          <w:rFonts w:ascii="Arial" w:eastAsia="Times New Roman" w:hAnsi="Arial" w:cs="Arial"/>
          <w:b/>
          <w:sz w:val="20"/>
          <w:szCs w:val="20"/>
          <w:lang w:eastAsia="es-MX"/>
        </w:rPr>
      </w:pPr>
      <w:r w:rsidRPr="00F47164">
        <w:rPr>
          <w:rFonts w:ascii="Arial" w:eastAsia="Times New Roman" w:hAnsi="Arial" w:cs="Arial"/>
          <w:b/>
          <w:sz w:val="20"/>
          <w:szCs w:val="20"/>
          <w:lang w:eastAsia="es-MX"/>
        </w:rPr>
        <w:t>Pacto Internacional de Derechos Civiles y Políticos</w:t>
      </w:r>
    </w:p>
    <w:p w14:paraId="74B13749" w14:textId="77777777" w:rsidR="00991189" w:rsidRPr="00F47164" w:rsidRDefault="00991189" w:rsidP="00991189">
      <w:pPr>
        <w:ind w:left="567" w:right="332"/>
        <w:jc w:val="both"/>
        <w:rPr>
          <w:rFonts w:ascii="Arial" w:eastAsia="Times New Roman" w:hAnsi="Arial" w:cs="Arial"/>
          <w:b/>
          <w:sz w:val="20"/>
          <w:szCs w:val="20"/>
          <w:lang w:eastAsia="es-MX"/>
        </w:rPr>
      </w:pPr>
      <w:r w:rsidRPr="00F47164">
        <w:rPr>
          <w:rFonts w:ascii="Arial" w:eastAsia="Times New Roman" w:hAnsi="Arial" w:cs="Arial"/>
          <w:b/>
          <w:sz w:val="20"/>
          <w:szCs w:val="20"/>
          <w:lang w:eastAsia="es-MX"/>
        </w:rPr>
        <w:t>Artículo 2</w:t>
      </w:r>
    </w:p>
    <w:p w14:paraId="4DA2D6F7"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 xml:space="preserve">1. Cada uno de los </w:t>
      </w:r>
      <w:proofErr w:type="gramStart"/>
      <w:r w:rsidRPr="00F47164">
        <w:rPr>
          <w:rFonts w:ascii="Arial" w:eastAsia="Times New Roman" w:hAnsi="Arial" w:cs="Arial"/>
          <w:sz w:val="20"/>
          <w:szCs w:val="20"/>
          <w:lang w:eastAsia="es-MX"/>
        </w:rPr>
        <w:t>Estados Partes</w:t>
      </w:r>
      <w:proofErr w:type="gramEnd"/>
      <w:r w:rsidRPr="00F47164">
        <w:rPr>
          <w:rFonts w:ascii="Arial" w:eastAsia="Times New Roman" w:hAnsi="Arial" w:cs="Arial"/>
          <w:sz w:val="20"/>
          <w:szCs w:val="20"/>
          <w:lang w:eastAsia="es-MX"/>
        </w:rPr>
        <w:t xml:space="preserve"> en el presente Pacto se compromete a respetar y a garantizar a todos los individuos que se encuentren en su territorio y estén sujetos a su jurisdicción los derechos reconocidos en el presente Pacto, sin distinción alguna de raza, color, sexo, idioma, religión, opinión política o de otra índole, origen nacional o social, posición económica, nacimiento o cualquier otra condición social.</w:t>
      </w:r>
    </w:p>
    <w:p w14:paraId="7B1DADD9"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 xml:space="preserve">2. Cada </w:t>
      </w:r>
      <w:r w:rsidRPr="00F47164">
        <w:rPr>
          <w:rFonts w:ascii="Arial" w:eastAsia="Times New Roman" w:hAnsi="Arial" w:cs="Arial"/>
          <w:b/>
          <w:sz w:val="20"/>
          <w:szCs w:val="20"/>
          <w:lang w:eastAsia="es-MX"/>
        </w:rPr>
        <w:t>Estado Parte se compromete a adoptar, con arreglo a sus procedimientos constitucionales y a las disposiciones del presente Pacto, las medidas oportunas para dictar las disposiciones legislativas o de otro carácter que fueren necesarias para hacer efectivos los derechos reconocidos en el presente Pacto y que no estuviesen ya garantizados por disposiciones legislativas o de otro carácter</w:t>
      </w:r>
      <w:r w:rsidRPr="00F47164">
        <w:rPr>
          <w:rFonts w:ascii="Arial" w:eastAsia="Times New Roman" w:hAnsi="Arial" w:cs="Arial"/>
          <w:sz w:val="20"/>
          <w:szCs w:val="20"/>
          <w:lang w:eastAsia="es-MX"/>
        </w:rPr>
        <w:t>.</w:t>
      </w:r>
    </w:p>
    <w:p w14:paraId="3CA36228" w14:textId="77777777" w:rsidR="00991189"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w:t>
      </w:r>
    </w:p>
    <w:p w14:paraId="62F969FA" w14:textId="77777777" w:rsidR="00991189" w:rsidRPr="00F47164" w:rsidRDefault="00991189" w:rsidP="00991189">
      <w:pPr>
        <w:ind w:left="567" w:right="332"/>
        <w:jc w:val="both"/>
        <w:rPr>
          <w:rFonts w:ascii="Arial" w:eastAsia="Times New Roman" w:hAnsi="Arial" w:cs="Arial"/>
          <w:sz w:val="20"/>
          <w:szCs w:val="20"/>
          <w:lang w:eastAsia="es-MX"/>
        </w:rPr>
      </w:pPr>
    </w:p>
    <w:p w14:paraId="156386AC" w14:textId="77777777" w:rsidR="00991189" w:rsidRPr="00F47164" w:rsidRDefault="00991189" w:rsidP="00991189">
      <w:pPr>
        <w:ind w:left="567" w:right="332"/>
        <w:jc w:val="both"/>
        <w:rPr>
          <w:rFonts w:ascii="Arial" w:eastAsia="Times New Roman" w:hAnsi="Arial" w:cs="Arial"/>
          <w:b/>
          <w:sz w:val="20"/>
          <w:szCs w:val="20"/>
          <w:lang w:eastAsia="es-MX"/>
        </w:rPr>
      </w:pPr>
      <w:r w:rsidRPr="00F47164">
        <w:rPr>
          <w:rFonts w:ascii="Arial" w:eastAsia="Times New Roman" w:hAnsi="Arial" w:cs="Arial"/>
          <w:b/>
          <w:sz w:val="20"/>
          <w:szCs w:val="20"/>
          <w:lang w:eastAsia="es-MX"/>
        </w:rPr>
        <w:t>Artículo 3</w:t>
      </w:r>
    </w:p>
    <w:p w14:paraId="263228B6" w14:textId="77777777" w:rsidR="00991189"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 xml:space="preserve">Los </w:t>
      </w:r>
      <w:proofErr w:type="gramStart"/>
      <w:r w:rsidRPr="00F47164">
        <w:rPr>
          <w:rFonts w:ascii="Arial" w:eastAsia="Times New Roman" w:hAnsi="Arial" w:cs="Arial"/>
          <w:sz w:val="20"/>
          <w:szCs w:val="20"/>
          <w:lang w:eastAsia="es-MX"/>
        </w:rPr>
        <w:t>Estados Partes</w:t>
      </w:r>
      <w:proofErr w:type="gramEnd"/>
      <w:r w:rsidRPr="00F47164">
        <w:rPr>
          <w:rFonts w:ascii="Arial" w:eastAsia="Times New Roman" w:hAnsi="Arial" w:cs="Arial"/>
          <w:sz w:val="20"/>
          <w:szCs w:val="20"/>
          <w:lang w:eastAsia="es-MX"/>
        </w:rPr>
        <w:t xml:space="preserve"> en el presente Pacto se comprometen a </w:t>
      </w:r>
      <w:r w:rsidRPr="00F47164">
        <w:rPr>
          <w:rFonts w:ascii="Arial" w:eastAsia="Times New Roman" w:hAnsi="Arial" w:cs="Arial"/>
          <w:b/>
          <w:sz w:val="20"/>
          <w:szCs w:val="20"/>
          <w:lang w:eastAsia="es-MX"/>
        </w:rPr>
        <w:t xml:space="preserve">garantizar a hombres y mujeres la igualdad en el goce de todos los derechos civiles y políticos </w:t>
      </w:r>
      <w:r w:rsidRPr="00F47164">
        <w:rPr>
          <w:rFonts w:ascii="Arial" w:eastAsia="Times New Roman" w:hAnsi="Arial" w:cs="Arial"/>
          <w:sz w:val="20"/>
          <w:szCs w:val="20"/>
          <w:lang w:eastAsia="es-MX"/>
        </w:rPr>
        <w:t>enunciados en el presente Pacto.</w:t>
      </w:r>
    </w:p>
    <w:p w14:paraId="6D5098BE" w14:textId="77777777" w:rsidR="00991189" w:rsidRPr="00F47164" w:rsidRDefault="00991189" w:rsidP="00991189">
      <w:pPr>
        <w:ind w:left="567" w:right="332"/>
        <w:jc w:val="both"/>
        <w:rPr>
          <w:rFonts w:ascii="Arial" w:eastAsia="Times New Roman" w:hAnsi="Arial" w:cs="Arial"/>
          <w:sz w:val="20"/>
          <w:szCs w:val="20"/>
          <w:lang w:eastAsia="es-MX"/>
        </w:rPr>
      </w:pPr>
    </w:p>
    <w:p w14:paraId="4800ADEE" w14:textId="77777777" w:rsidR="00991189" w:rsidRPr="00F47164" w:rsidRDefault="00991189" w:rsidP="00991189">
      <w:pPr>
        <w:ind w:left="567" w:right="332"/>
        <w:jc w:val="both"/>
        <w:rPr>
          <w:rFonts w:ascii="Arial" w:eastAsia="Times New Roman" w:hAnsi="Arial" w:cs="Arial"/>
          <w:b/>
          <w:sz w:val="20"/>
          <w:szCs w:val="20"/>
          <w:lang w:eastAsia="es-MX"/>
        </w:rPr>
      </w:pPr>
      <w:r w:rsidRPr="00F47164">
        <w:rPr>
          <w:rFonts w:ascii="Arial" w:eastAsia="Times New Roman" w:hAnsi="Arial" w:cs="Arial"/>
          <w:b/>
          <w:sz w:val="20"/>
          <w:szCs w:val="20"/>
          <w:lang w:eastAsia="es-MX"/>
        </w:rPr>
        <w:lastRenderedPageBreak/>
        <w:t>Artículo 26</w:t>
      </w:r>
    </w:p>
    <w:p w14:paraId="5D1D5582"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b/>
          <w:sz w:val="20"/>
          <w:szCs w:val="20"/>
          <w:lang w:eastAsia="es-MX"/>
        </w:rPr>
        <w:t>Todas las personas son iguales ante la ley</w:t>
      </w:r>
      <w:r w:rsidRPr="00F47164">
        <w:rPr>
          <w:rFonts w:ascii="Arial" w:eastAsia="Times New Roman" w:hAnsi="Arial" w:cs="Arial"/>
          <w:sz w:val="20"/>
          <w:szCs w:val="20"/>
          <w:lang w:eastAsia="es-MX"/>
        </w:rPr>
        <w:t xml:space="preserve"> y tienen derecho sin discriminación a igual protección de la ley. A este respecto, la ley prohibirá toda discriminación y garantizará a todas las personas protección igual y efectiva contra cualquier discriminación por motivos de raza, color, sexo, idioma, religión, opiniones políticas o de cualquier índole, origen nacional o social, posición económica, nacimiento o cualquier otra condición social.</w:t>
      </w:r>
    </w:p>
    <w:p w14:paraId="49663218" w14:textId="77777777" w:rsidR="00991189" w:rsidRPr="00F47164" w:rsidRDefault="00991189" w:rsidP="00991189">
      <w:pPr>
        <w:ind w:right="332"/>
        <w:jc w:val="both"/>
        <w:rPr>
          <w:rFonts w:ascii="Arial" w:eastAsia="Times New Roman" w:hAnsi="Arial" w:cs="Arial"/>
          <w:sz w:val="20"/>
          <w:szCs w:val="20"/>
          <w:lang w:eastAsia="es-MX"/>
        </w:rPr>
      </w:pPr>
    </w:p>
    <w:p w14:paraId="709CA2B3" w14:textId="77777777" w:rsidR="00991189" w:rsidRPr="00F47164" w:rsidRDefault="00991189" w:rsidP="00991189">
      <w:pPr>
        <w:ind w:left="567" w:right="332"/>
        <w:jc w:val="center"/>
        <w:rPr>
          <w:rFonts w:ascii="Arial" w:eastAsia="Times New Roman" w:hAnsi="Arial" w:cs="Arial"/>
          <w:b/>
          <w:sz w:val="20"/>
          <w:szCs w:val="20"/>
          <w:lang w:eastAsia="es-MX"/>
        </w:rPr>
      </w:pPr>
      <w:r w:rsidRPr="00F47164">
        <w:rPr>
          <w:rFonts w:ascii="Arial" w:eastAsia="Times New Roman" w:hAnsi="Arial" w:cs="Arial"/>
          <w:b/>
          <w:sz w:val="20"/>
          <w:szCs w:val="20"/>
          <w:lang w:eastAsia="es-MX"/>
        </w:rPr>
        <w:t>Convención sobre la eliminación de todas las formas de discriminación contra la mujer</w:t>
      </w:r>
    </w:p>
    <w:p w14:paraId="441AA104" w14:textId="77777777" w:rsidR="00991189" w:rsidRPr="00F47164" w:rsidRDefault="00991189" w:rsidP="00991189">
      <w:pPr>
        <w:ind w:left="567" w:right="332"/>
        <w:jc w:val="both"/>
        <w:rPr>
          <w:rFonts w:ascii="Arial" w:eastAsia="Times New Roman" w:hAnsi="Arial" w:cs="Arial"/>
          <w:b/>
          <w:sz w:val="20"/>
          <w:szCs w:val="20"/>
          <w:lang w:eastAsia="es-MX"/>
        </w:rPr>
      </w:pPr>
      <w:r w:rsidRPr="00F47164">
        <w:rPr>
          <w:rFonts w:ascii="Arial" w:eastAsia="Times New Roman" w:hAnsi="Arial" w:cs="Arial"/>
          <w:b/>
          <w:sz w:val="20"/>
          <w:szCs w:val="20"/>
          <w:lang w:eastAsia="es-MX"/>
        </w:rPr>
        <w:t>Artículo 1</w:t>
      </w:r>
    </w:p>
    <w:p w14:paraId="4C9FF72F" w14:textId="77777777" w:rsidR="00991189"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 xml:space="preserve">A los efectos de la presente Convención, </w:t>
      </w:r>
      <w:r w:rsidRPr="00F47164">
        <w:rPr>
          <w:rFonts w:ascii="Arial" w:eastAsia="Times New Roman" w:hAnsi="Arial" w:cs="Arial"/>
          <w:b/>
          <w:sz w:val="20"/>
          <w:szCs w:val="20"/>
          <w:lang w:eastAsia="es-MX"/>
        </w:rPr>
        <w:t>la expresión "discriminación contra la mujer" denotará toda distinción, exclusión o restricción basada en el sexo que tenga por objeto o resultado menoscabar o anular el reconocimiento, goce o ejercicio por la mujer</w:t>
      </w:r>
      <w:r w:rsidRPr="00F47164">
        <w:rPr>
          <w:rFonts w:ascii="Arial" w:eastAsia="Times New Roman" w:hAnsi="Arial" w:cs="Arial"/>
          <w:sz w:val="20"/>
          <w:szCs w:val="20"/>
          <w:lang w:eastAsia="es-MX"/>
        </w:rPr>
        <w:t xml:space="preserve">, independientemente de su estado civil, </w:t>
      </w:r>
      <w:r w:rsidRPr="00F47164">
        <w:rPr>
          <w:rFonts w:ascii="Arial" w:eastAsia="Times New Roman" w:hAnsi="Arial" w:cs="Arial"/>
          <w:b/>
          <w:sz w:val="20"/>
          <w:szCs w:val="20"/>
          <w:lang w:eastAsia="es-MX"/>
        </w:rPr>
        <w:t>sobre la base de la igualdad del hombre y la mujer, de los derechos humanos y las libertades fundamentales en las esferas política, económica, social, cultural y civil</w:t>
      </w:r>
      <w:r w:rsidRPr="00F47164">
        <w:rPr>
          <w:rFonts w:ascii="Arial" w:eastAsia="Times New Roman" w:hAnsi="Arial" w:cs="Arial"/>
          <w:sz w:val="20"/>
          <w:szCs w:val="20"/>
          <w:lang w:eastAsia="es-MX"/>
        </w:rPr>
        <w:t xml:space="preserve"> o en cualquier otra esfera.</w:t>
      </w:r>
    </w:p>
    <w:p w14:paraId="2FDAB305" w14:textId="77777777" w:rsidR="00991189" w:rsidRPr="00F47164" w:rsidRDefault="00991189" w:rsidP="00991189">
      <w:pPr>
        <w:ind w:left="567" w:right="332"/>
        <w:jc w:val="both"/>
        <w:rPr>
          <w:rFonts w:ascii="Arial" w:eastAsia="Times New Roman" w:hAnsi="Arial" w:cs="Arial"/>
          <w:sz w:val="20"/>
          <w:szCs w:val="20"/>
          <w:lang w:eastAsia="es-MX"/>
        </w:rPr>
      </w:pPr>
    </w:p>
    <w:p w14:paraId="7412A4B3" w14:textId="77777777" w:rsidR="00991189" w:rsidRPr="00F47164" w:rsidRDefault="00991189" w:rsidP="00991189">
      <w:pPr>
        <w:ind w:left="567" w:right="332"/>
        <w:jc w:val="both"/>
        <w:rPr>
          <w:rFonts w:ascii="Arial" w:eastAsia="Times New Roman" w:hAnsi="Arial" w:cs="Arial"/>
          <w:b/>
          <w:sz w:val="20"/>
          <w:szCs w:val="20"/>
          <w:lang w:eastAsia="es-MX"/>
        </w:rPr>
      </w:pPr>
      <w:r w:rsidRPr="00F47164">
        <w:rPr>
          <w:rFonts w:ascii="Arial" w:eastAsia="Times New Roman" w:hAnsi="Arial" w:cs="Arial"/>
          <w:b/>
          <w:sz w:val="20"/>
          <w:szCs w:val="20"/>
          <w:lang w:eastAsia="es-MX"/>
        </w:rPr>
        <w:t>Artículo 2</w:t>
      </w:r>
    </w:p>
    <w:p w14:paraId="0A4557B9"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 xml:space="preserve">Los </w:t>
      </w:r>
      <w:proofErr w:type="gramStart"/>
      <w:r w:rsidRPr="00F47164">
        <w:rPr>
          <w:rFonts w:ascii="Arial" w:eastAsia="Times New Roman" w:hAnsi="Arial" w:cs="Arial"/>
          <w:sz w:val="20"/>
          <w:szCs w:val="20"/>
          <w:lang w:eastAsia="es-MX"/>
        </w:rPr>
        <w:t>Estados Partes</w:t>
      </w:r>
      <w:proofErr w:type="gramEnd"/>
      <w:r w:rsidRPr="00F47164">
        <w:rPr>
          <w:rFonts w:ascii="Arial" w:eastAsia="Times New Roman" w:hAnsi="Arial" w:cs="Arial"/>
          <w:sz w:val="20"/>
          <w:szCs w:val="20"/>
          <w:lang w:eastAsia="es-MX"/>
        </w:rPr>
        <w:t xml:space="preserve"> condenan la discriminación contra la mujer en todas sus formas, convienen en seguir, por todos los medios apropiados y sin dilaciones, una política encaminada a eliminar la discriminación contra la mujer y, con tal objeto, se comprometen a:</w:t>
      </w:r>
    </w:p>
    <w:p w14:paraId="21430EE1"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a) Consagrar, si aún no lo han hecho, en sus constituciones nacionales y en cualquier otra legislación apropiada el principio de la igualdad del hombre y de la mujer y asegurar por ley u otros medios apropiados la realización práctica de ese principio;</w:t>
      </w:r>
    </w:p>
    <w:p w14:paraId="249E89D5"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b) Adoptar medidas adecuadas, legislativas y de otro carácter, con las sanciones correspondientes, que prohíban toda discriminación contra la mujer;</w:t>
      </w:r>
    </w:p>
    <w:p w14:paraId="711A7DC7"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b/>
          <w:sz w:val="20"/>
          <w:szCs w:val="20"/>
          <w:lang w:eastAsia="es-MX"/>
        </w:rPr>
        <w:t>c) Establecer la protección jurídica de los derechos de la mujer sobre una base de igualdad con los del hombre y garantizar, por conducto de los tribunales nacionales competentes y de otras instituciones públicas</w:t>
      </w:r>
      <w:r w:rsidRPr="00F47164">
        <w:rPr>
          <w:rFonts w:ascii="Arial" w:eastAsia="Times New Roman" w:hAnsi="Arial" w:cs="Arial"/>
          <w:sz w:val="20"/>
          <w:szCs w:val="20"/>
          <w:lang w:eastAsia="es-MX"/>
        </w:rPr>
        <w:t>, la protección efectiva de la mujer contra todo acto de discriminación;</w:t>
      </w:r>
    </w:p>
    <w:p w14:paraId="20582D7C"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d) Abstenerse de incurrir en todo acto o práctica de discriminación contra la mujer y velar por que las autoridades e instituciones públicas actúen de conformidad con esta obligación;</w:t>
      </w:r>
    </w:p>
    <w:p w14:paraId="71D5C0FD"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e) Tomar todas las medidas apropiadas para eliminar la discriminación contra la mujer practicada por cualesquiera personas, organizaciones o empresas;</w:t>
      </w:r>
    </w:p>
    <w:p w14:paraId="3059AD09"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f) Adoptar todas las medidas adecuadas, incluso de carácter legislativo, para modificar o derogar leyes, reglamentos, usos y prácticas que constituyan discriminación contra la mujer;</w:t>
      </w:r>
    </w:p>
    <w:p w14:paraId="7B50074F"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w:t>
      </w:r>
    </w:p>
    <w:p w14:paraId="4835681F" w14:textId="77777777" w:rsidR="00991189" w:rsidRPr="00F47164" w:rsidRDefault="00991189" w:rsidP="00991189">
      <w:pPr>
        <w:ind w:left="567" w:right="332"/>
        <w:jc w:val="both"/>
        <w:rPr>
          <w:rFonts w:ascii="Arial" w:eastAsia="Times New Roman" w:hAnsi="Arial" w:cs="Arial"/>
          <w:sz w:val="20"/>
          <w:szCs w:val="20"/>
          <w:lang w:eastAsia="es-MX"/>
        </w:rPr>
      </w:pPr>
    </w:p>
    <w:p w14:paraId="43E84201" w14:textId="77777777" w:rsidR="00991189" w:rsidRPr="00F47164" w:rsidRDefault="00991189" w:rsidP="00991189">
      <w:pPr>
        <w:ind w:left="567" w:right="332"/>
        <w:jc w:val="both"/>
        <w:rPr>
          <w:rFonts w:ascii="Arial" w:eastAsia="Times New Roman" w:hAnsi="Arial" w:cs="Arial"/>
          <w:b/>
          <w:sz w:val="20"/>
          <w:szCs w:val="20"/>
          <w:lang w:eastAsia="es-MX"/>
        </w:rPr>
      </w:pPr>
      <w:r w:rsidRPr="00F47164">
        <w:rPr>
          <w:rFonts w:ascii="Arial" w:eastAsia="Times New Roman" w:hAnsi="Arial" w:cs="Arial"/>
          <w:b/>
          <w:sz w:val="20"/>
          <w:szCs w:val="20"/>
          <w:lang w:eastAsia="es-MX"/>
        </w:rPr>
        <w:lastRenderedPageBreak/>
        <w:t>Artículo 3</w:t>
      </w:r>
    </w:p>
    <w:p w14:paraId="40390AE9"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 xml:space="preserve">Los </w:t>
      </w:r>
      <w:proofErr w:type="gramStart"/>
      <w:r w:rsidRPr="00F47164">
        <w:rPr>
          <w:rFonts w:ascii="Arial" w:eastAsia="Times New Roman" w:hAnsi="Arial" w:cs="Arial"/>
          <w:sz w:val="20"/>
          <w:szCs w:val="20"/>
          <w:lang w:eastAsia="es-MX"/>
        </w:rPr>
        <w:t>Estados Partes</w:t>
      </w:r>
      <w:proofErr w:type="gramEnd"/>
      <w:r w:rsidRPr="00F47164">
        <w:rPr>
          <w:rFonts w:ascii="Arial" w:eastAsia="Times New Roman" w:hAnsi="Arial" w:cs="Arial"/>
          <w:sz w:val="20"/>
          <w:szCs w:val="20"/>
          <w:lang w:eastAsia="es-MX"/>
        </w:rPr>
        <w:t xml:space="preserve"> tomarán en todas las esferas, y en particular en las esferas política, social, económica y cultural, todas las medidas apropiadas, incluso de carácter legislativo, para asegurar el pleno desarrollo y adelanto de la mujer, con el objeto de garantizarle el ejercicio y el goce de los derechos humanos y las libertades fundamentales en igualdad de condiciones con el hombre.</w:t>
      </w:r>
    </w:p>
    <w:p w14:paraId="676471B9" w14:textId="77777777" w:rsidR="00991189" w:rsidRPr="00F47164" w:rsidRDefault="00991189" w:rsidP="00991189">
      <w:pPr>
        <w:ind w:left="567" w:right="332"/>
        <w:jc w:val="both"/>
        <w:rPr>
          <w:rFonts w:ascii="Arial" w:eastAsia="Times New Roman" w:hAnsi="Arial" w:cs="Arial"/>
          <w:sz w:val="20"/>
          <w:szCs w:val="20"/>
          <w:lang w:eastAsia="es-MX"/>
        </w:rPr>
      </w:pPr>
    </w:p>
    <w:p w14:paraId="136BA153" w14:textId="77777777" w:rsidR="00991189" w:rsidRPr="00F47164" w:rsidRDefault="00991189" w:rsidP="00991189">
      <w:pPr>
        <w:ind w:left="567" w:right="332"/>
        <w:jc w:val="both"/>
        <w:rPr>
          <w:rFonts w:ascii="Arial" w:eastAsia="Times New Roman" w:hAnsi="Arial" w:cs="Arial"/>
          <w:b/>
          <w:sz w:val="20"/>
          <w:szCs w:val="20"/>
          <w:lang w:eastAsia="es-MX"/>
        </w:rPr>
      </w:pPr>
      <w:r w:rsidRPr="00F47164">
        <w:rPr>
          <w:rFonts w:ascii="Arial" w:eastAsia="Times New Roman" w:hAnsi="Arial" w:cs="Arial"/>
          <w:b/>
          <w:sz w:val="20"/>
          <w:szCs w:val="20"/>
          <w:lang w:eastAsia="es-MX"/>
        </w:rPr>
        <w:t>Artículo 5</w:t>
      </w:r>
    </w:p>
    <w:p w14:paraId="23189BD6"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 xml:space="preserve">Los </w:t>
      </w:r>
      <w:proofErr w:type="gramStart"/>
      <w:r w:rsidRPr="00F47164">
        <w:rPr>
          <w:rFonts w:ascii="Arial" w:eastAsia="Times New Roman" w:hAnsi="Arial" w:cs="Arial"/>
          <w:sz w:val="20"/>
          <w:szCs w:val="20"/>
          <w:lang w:eastAsia="es-MX"/>
        </w:rPr>
        <w:t>Estados Partes</w:t>
      </w:r>
      <w:proofErr w:type="gramEnd"/>
      <w:r w:rsidRPr="00F47164">
        <w:rPr>
          <w:rFonts w:ascii="Arial" w:eastAsia="Times New Roman" w:hAnsi="Arial" w:cs="Arial"/>
          <w:sz w:val="20"/>
          <w:szCs w:val="20"/>
          <w:lang w:eastAsia="es-MX"/>
        </w:rPr>
        <w:t xml:space="preserve"> tomarán todas las medidas apropiadas para:</w:t>
      </w:r>
    </w:p>
    <w:p w14:paraId="021F1A71"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b/>
          <w:sz w:val="20"/>
          <w:szCs w:val="20"/>
          <w:lang w:eastAsia="es-MX"/>
        </w:rPr>
        <w:t>a) Modificar los patrones socioculturales de conducta de hombres y mujeres, con miras a alcanzar la eliminación de los prejuicios y las prácticas consuetudinarias y de cualquier otra índole que estén basados en la idea de la inferioridad o superioridad de cualquiera de los sexos o en funciones estereotipadas de hombres y mujeres</w:t>
      </w:r>
      <w:r w:rsidRPr="00F47164">
        <w:rPr>
          <w:rFonts w:ascii="Arial" w:eastAsia="Times New Roman" w:hAnsi="Arial" w:cs="Arial"/>
          <w:sz w:val="20"/>
          <w:szCs w:val="20"/>
          <w:lang w:eastAsia="es-MX"/>
        </w:rPr>
        <w:t>;</w:t>
      </w:r>
    </w:p>
    <w:p w14:paraId="7E460F47"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w:t>
      </w:r>
    </w:p>
    <w:p w14:paraId="60C519C5" w14:textId="77777777" w:rsidR="00991189" w:rsidRPr="00F47164" w:rsidRDefault="00991189" w:rsidP="00991189">
      <w:pPr>
        <w:ind w:right="332"/>
        <w:jc w:val="both"/>
        <w:rPr>
          <w:rFonts w:ascii="Arial" w:eastAsia="Times New Roman" w:hAnsi="Arial" w:cs="Arial"/>
          <w:sz w:val="20"/>
          <w:szCs w:val="20"/>
          <w:lang w:eastAsia="es-MX"/>
        </w:rPr>
      </w:pPr>
    </w:p>
    <w:p w14:paraId="047A789B" w14:textId="77777777" w:rsidR="00991189" w:rsidRPr="00F47164" w:rsidRDefault="00991189" w:rsidP="00991189">
      <w:pPr>
        <w:ind w:left="567" w:right="332"/>
        <w:jc w:val="both"/>
        <w:rPr>
          <w:rFonts w:ascii="Arial" w:eastAsia="Times New Roman" w:hAnsi="Arial" w:cs="Arial"/>
          <w:b/>
          <w:sz w:val="20"/>
          <w:szCs w:val="20"/>
          <w:lang w:eastAsia="es-MX"/>
        </w:rPr>
      </w:pPr>
      <w:r w:rsidRPr="00F47164">
        <w:rPr>
          <w:rFonts w:ascii="Arial" w:eastAsia="Times New Roman" w:hAnsi="Arial" w:cs="Arial"/>
          <w:b/>
          <w:sz w:val="20"/>
          <w:szCs w:val="20"/>
          <w:lang w:eastAsia="es-MX"/>
        </w:rPr>
        <w:t>Artículo 7</w:t>
      </w:r>
    </w:p>
    <w:p w14:paraId="69718435"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 xml:space="preserve">Los </w:t>
      </w:r>
      <w:proofErr w:type="gramStart"/>
      <w:r w:rsidRPr="00F47164">
        <w:rPr>
          <w:rFonts w:ascii="Arial" w:eastAsia="Times New Roman" w:hAnsi="Arial" w:cs="Arial"/>
          <w:sz w:val="20"/>
          <w:szCs w:val="20"/>
          <w:lang w:eastAsia="es-MX"/>
        </w:rPr>
        <w:t>Estados Partes</w:t>
      </w:r>
      <w:proofErr w:type="gramEnd"/>
      <w:r w:rsidRPr="00F47164">
        <w:rPr>
          <w:rFonts w:ascii="Arial" w:eastAsia="Times New Roman" w:hAnsi="Arial" w:cs="Arial"/>
          <w:sz w:val="20"/>
          <w:szCs w:val="20"/>
          <w:lang w:eastAsia="es-MX"/>
        </w:rPr>
        <w:t xml:space="preserve"> tomarán todas las medidas apropiadas para eliminar la discriminación contra la mujer en la vida política y pública del país y, en particular, </w:t>
      </w:r>
      <w:r w:rsidRPr="00F47164">
        <w:rPr>
          <w:rFonts w:ascii="Arial" w:eastAsia="Times New Roman" w:hAnsi="Arial" w:cs="Arial"/>
          <w:b/>
          <w:sz w:val="20"/>
          <w:szCs w:val="20"/>
          <w:lang w:eastAsia="es-MX"/>
        </w:rPr>
        <w:t>garantizarán a las mujeres, en igualdad de condiciones con los hombres</w:t>
      </w:r>
      <w:r w:rsidRPr="00F47164">
        <w:rPr>
          <w:rFonts w:ascii="Arial" w:eastAsia="Times New Roman" w:hAnsi="Arial" w:cs="Arial"/>
          <w:sz w:val="20"/>
          <w:szCs w:val="20"/>
          <w:lang w:eastAsia="es-MX"/>
        </w:rPr>
        <w:t>, el derecho a:</w:t>
      </w:r>
    </w:p>
    <w:p w14:paraId="42E9E468"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a) Votar en todas las elecciones y referéndums públicos y ser elegibles para todos los organismos cuyos miembros sean objeto de elecciones públicas;</w:t>
      </w:r>
    </w:p>
    <w:p w14:paraId="21EC4CFD"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b) Participar en la formulación de las políticas gubernamentales y en la ejecución de éstas, y ocupar cargos públicos y ejercer todas las funciones públicas en todos los planos gubernamentales;</w:t>
      </w:r>
    </w:p>
    <w:p w14:paraId="01524C46"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c) Participar en organizaciones y en asociaciones no gubernamentales que se ocupen de la vida pública y política del país.</w:t>
      </w:r>
    </w:p>
    <w:p w14:paraId="4D44BC0C" w14:textId="77777777" w:rsidR="00991189" w:rsidRPr="00F47164" w:rsidRDefault="00991189" w:rsidP="00991189">
      <w:pPr>
        <w:ind w:right="332"/>
        <w:jc w:val="both"/>
        <w:rPr>
          <w:rFonts w:ascii="Arial" w:eastAsia="Times New Roman" w:hAnsi="Arial" w:cs="Arial"/>
          <w:sz w:val="20"/>
          <w:szCs w:val="20"/>
          <w:lang w:eastAsia="es-MX"/>
        </w:rPr>
      </w:pPr>
    </w:p>
    <w:p w14:paraId="60EEEF0D" w14:textId="77777777" w:rsidR="00991189" w:rsidRPr="00F47164" w:rsidRDefault="00991189" w:rsidP="00991189">
      <w:pPr>
        <w:ind w:left="567" w:right="332"/>
        <w:jc w:val="center"/>
        <w:rPr>
          <w:rFonts w:ascii="Arial" w:eastAsia="Times New Roman" w:hAnsi="Arial" w:cs="Arial"/>
          <w:b/>
          <w:sz w:val="20"/>
          <w:szCs w:val="20"/>
          <w:lang w:eastAsia="es-MX"/>
        </w:rPr>
      </w:pPr>
      <w:r w:rsidRPr="00F47164">
        <w:rPr>
          <w:rFonts w:ascii="Arial" w:eastAsia="Times New Roman" w:hAnsi="Arial" w:cs="Arial"/>
          <w:b/>
          <w:sz w:val="20"/>
          <w:szCs w:val="20"/>
          <w:lang w:eastAsia="es-MX"/>
        </w:rPr>
        <w:t>Convención Americana sobre Derechos Humanos</w:t>
      </w:r>
    </w:p>
    <w:p w14:paraId="4955B118" w14:textId="77777777" w:rsidR="00991189" w:rsidRPr="00F47164" w:rsidRDefault="00991189" w:rsidP="00991189">
      <w:pPr>
        <w:ind w:left="567" w:right="332"/>
        <w:jc w:val="both"/>
        <w:rPr>
          <w:rFonts w:ascii="Arial" w:eastAsia="Times New Roman" w:hAnsi="Arial" w:cs="Arial"/>
          <w:b/>
          <w:sz w:val="20"/>
          <w:szCs w:val="20"/>
          <w:lang w:eastAsia="es-MX"/>
        </w:rPr>
      </w:pPr>
      <w:r w:rsidRPr="00F47164">
        <w:rPr>
          <w:rFonts w:ascii="Arial" w:eastAsia="Times New Roman" w:hAnsi="Arial" w:cs="Arial"/>
          <w:b/>
          <w:sz w:val="20"/>
          <w:szCs w:val="20"/>
          <w:lang w:eastAsia="es-MX"/>
        </w:rPr>
        <w:t>Artículo 1</w:t>
      </w:r>
    </w:p>
    <w:p w14:paraId="7777CAB8" w14:textId="77777777" w:rsidR="00991189" w:rsidRPr="00F47164" w:rsidRDefault="00991189" w:rsidP="00991189">
      <w:pPr>
        <w:ind w:left="567" w:right="332"/>
        <w:jc w:val="both"/>
        <w:rPr>
          <w:rFonts w:ascii="Arial" w:eastAsia="Times New Roman" w:hAnsi="Arial" w:cs="Arial"/>
          <w:b/>
          <w:sz w:val="20"/>
          <w:szCs w:val="20"/>
          <w:lang w:eastAsia="es-MX"/>
        </w:rPr>
      </w:pPr>
      <w:r w:rsidRPr="00F47164">
        <w:rPr>
          <w:rFonts w:ascii="Arial" w:eastAsia="Times New Roman" w:hAnsi="Arial" w:cs="Arial"/>
          <w:b/>
          <w:sz w:val="20"/>
          <w:szCs w:val="20"/>
          <w:lang w:eastAsia="es-MX"/>
        </w:rPr>
        <w:t>Obligación de Respetar los Derechos</w:t>
      </w:r>
    </w:p>
    <w:p w14:paraId="49A8EF5A"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 xml:space="preserve">1. Los </w:t>
      </w:r>
      <w:proofErr w:type="gramStart"/>
      <w:r w:rsidRPr="00F47164">
        <w:rPr>
          <w:rFonts w:ascii="Arial" w:eastAsia="Times New Roman" w:hAnsi="Arial" w:cs="Arial"/>
          <w:sz w:val="20"/>
          <w:szCs w:val="20"/>
          <w:lang w:eastAsia="es-MX"/>
        </w:rPr>
        <w:t>Estados Partes</w:t>
      </w:r>
      <w:proofErr w:type="gramEnd"/>
      <w:r w:rsidRPr="00F47164">
        <w:rPr>
          <w:rFonts w:ascii="Arial" w:eastAsia="Times New Roman" w:hAnsi="Arial" w:cs="Arial"/>
          <w:sz w:val="20"/>
          <w:szCs w:val="20"/>
          <w:lang w:eastAsia="es-MX"/>
        </w:rPr>
        <w:t xml:space="preserve">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w:t>
      </w:r>
    </w:p>
    <w:p w14:paraId="70F328EF"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w:t>
      </w:r>
    </w:p>
    <w:p w14:paraId="3B763F7A" w14:textId="77777777" w:rsidR="00991189" w:rsidRPr="00F47164" w:rsidRDefault="00991189" w:rsidP="00991189">
      <w:pPr>
        <w:ind w:right="332"/>
        <w:jc w:val="both"/>
        <w:rPr>
          <w:rFonts w:ascii="Arial" w:eastAsia="Times New Roman" w:hAnsi="Arial" w:cs="Arial"/>
          <w:sz w:val="20"/>
          <w:szCs w:val="20"/>
          <w:lang w:eastAsia="es-MX"/>
        </w:rPr>
      </w:pPr>
    </w:p>
    <w:p w14:paraId="426DFF77" w14:textId="77777777" w:rsidR="00991189" w:rsidRPr="00F47164" w:rsidRDefault="00991189" w:rsidP="00991189">
      <w:pPr>
        <w:ind w:left="567" w:right="332"/>
        <w:jc w:val="both"/>
        <w:rPr>
          <w:rFonts w:ascii="Arial" w:eastAsia="Times New Roman" w:hAnsi="Arial" w:cs="Arial"/>
          <w:b/>
          <w:sz w:val="20"/>
          <w:szCs w:val="20"/>
          <w:lang w:eastAsia="es-MX"/>
        </w:rPr>
      </w:pPr>
      <w:r w:rsidRPr="00F47164">
        <w:rPr>
          <w:rFonts w:ascii="Arial" w:eastAsia="Times New Roman" w:hAnsi="Arial" w:cs="Arial"/>
          <w:b/>
          <w:sz w:val="20"/>
          <w:szCs w:val="20"/>
          <w:lang w:eastAsia="es-MX"/>
        </w:rPr>
        <w:t>Artículo 24</w:t>
      </w:r>
    </w:p>
    <w:p w14:paraId="10EE5166" w14:textId="77777777" w:rsidR="00991189" w:rsidRPr="00F47164" w:rsidRDefault="00991189" w:rsidP="00991189">
      <w:pPr>
        <w:ind w:left="567" w:right="332"/>
        <w:jc w:val="both"/>
        <w:rPr>
          <w:rFonts w:ascii="Arial" w:eastAsia="Times New Roman" w:hAnsi="Arial" w:cs="Arial"/>
          <w:b/>
          <w:sz w:val="20"/>
          <w:szCs w:val="20"/>
          <w:lang w:eastAsia="es-MX"/>
        </w:rPr>
      </w:pPr>
      <w:r w:rsidRPr="00F47164">
        <w:rPr>
          <w:rFonts w:ascii="Arial" w:eastAsia="Times New Roman" w:hAnsi="Arial" w:cs="Arial"/>
          <w:b/>
          <w:sz w:val="20"/>
          <w:szCs w:val="20"/>
          <w:lang w:eastAsia="es-MX"/>
        </w:rPr>
        <w:lastRenderedPageBreak/>
        <w:t>Igualdad ante la Ley</w:t>
      </w:r>
    </w:p>
    <w:p w14:paraId="21B56F61"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b/>
          <w:sz w:val="20"/>
          <w:szCs w:val="20"/>
          <w:lang w:eastAsia="es-MX"/>
        </w:rPr>
        <w:t>Todas las personas son iguales ante la ley.</w:t>
      </w:r>
      <w:r w:rsidRPr="00F47164">
        <w:rPr>
          <w:rFonts w:ascii="Arial" w:eastAsia="Times New Roman" w:hAnsi="Arial" w:cs="Arial"/>
          <w:sz w:val="20"/>
          <w:szCs w:val="20"/>
          <w:lang w:eastAsia="es-MX"/>
        </w:rPr>
        <w:t xml:space="preserve"> En consecuencia, tienen derecho, sin discriminación, a igual protección de la ley.</w:t>
      </w:r>
    </w:p>
    <w:p w14:paraId="487E8DFE" w14:textId="77777777" w:rsidR="00991189" w:rsidRPr="00F47164" w:rsidRDefault="00991189" w:rsidP="00991189">
      <w:pPr>
        <w:ind w:right="332"/>
        <w:jc w:val="both"/>
        <w:rPr>
          <w:rFonts w:ascii="Arial" w:eastAsia="Times New Roman" w:hAnsi="Arial" w:cs="Arial"/>
          <w:sz w:val="20"/>
          <w:szCs w:val="20"/>
          <w:lang w:eastAsia="es-MX"/>
        </w:rPr>
      </w:pPr>
    </w:p>
    <w:p w14:paraId="3A1A1421" w14:textId="77777777" w:rsidR="00991189" w:rsidRDefault="00991189" w:rsidP="00991189">
      <w:pPr>
        <w:ind w:left="567" w:right="332"/>
        <w:jc w:val="center"/>
        <w:rPr>
          <w:rFonts w:ascii="Arial" w:eastAsia="Times New Roman" w:hAnsi="Arial" w:cs="Arial"/>
          <w:b/>
          <w:bCs/>
          <w:sz w:val="20"/>
          <w:szCs w:val="20"/>
          <w:lang w:eastAsia="es-MX"/>
        </w:rPr>
      </w:pPr>
      <w:r w:rsidRPr="00F47164">
        <w:rPr>
          <w:rFonts w:ascii="Arial" w:eastAsia="Times New Roman" w:hAnsi="Arial" w:cs="Arial"/>
          <w:b/>
          <w:bCs/>
          <w:sz w:val="20"/>
          <w:szCs w:val="20"/>
          <w:lang w:eastAsia="es-MX"/>
        </w:rPr>
        <w:t>Convención Interamericana Para Prevenir, Sancionar Y Erradicar La Violencia Contra La Mujer “Convención De Belem Do Para"</w:t>
      </w:r>
    </w:p>
    <w:p w14:paraId="1582FB13" w14:textId="77777777" w:rsidR="00991189" w:rsidRPr="00F47164" w:rsidRDefault="00991189" w:rsidP="00991189">
      <w:pPr>
        <w:ind w:left="567" w:right="332"/>
        <w:jc w:val="center"/>
        <w:rPr>
          <w:rFonts w:ascii="Arial" w:eastAsia="Times New Roman" w:hAnsi="Arial" w:cs="Arial"/>
          <w:b/>
          <w:bCs/>
          <w:sz w:val="20"/>
          <w:szCs w:val="20"/>
          <w:lang w:eastAsia="es-MX"/>
        </w:rPr>
      </w:pPr>
    </w:p>
    <w:p w14:paraId="5CE6CD82" w14:textId="77777777" w:rsidR="00991189" w:rsidRPr="00F47164" w:rsidRDefault="00991189" w:rsidP="00991189">
      <w:pPr>
        <w:ind w:left="567" w:right="332"/>
        <w:jc w:val="both"/>
        <w:rPr>
          <w:rFonts w:ascii="Arial" w:eastAsia="Times New Roman" w:hAnsi="Arial" w:cs="Arial"/>
          <w:b/>
          <w:sz w:val="20"/>
          <w:szCs w:val="20"/>
          <w:lang w:eastAsia="es-MX"/>
        </w:rPr>
      </w:pPr>
      <w:r w:rsidRPr="00F47164">
        <w:rPr>
          <w:rFonts w:ascii="Arial" w:eastAsia="Times New Roman" w:hAnsi="Arial" w:cs="Arial"/>
          <w:b/>
          <w:sz w:val="20"/>
          <w:szCs w:val="20"/>
          <w:lang w:eastAsia="es-MX"/>
        </w:rPr>
        <w:t>Artículo 4</w:t>
      </w:r>
    </w:p>
    <w:p w14:paraId="1D66EA9E"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 Toda mujer tiene derecho al reconocimiento, goce, ejercicio y protección de todos los derechos humanos y a las libertades consagradas por los instrumentos regionales e internacionales sobre derechos humanos.  Estos derechos comprenden, entre otros:</w:t>
      </w:r>
    </w:p>
    <w:p w14:paraId="10436294"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w:t>
      </w:r>
    </w:p>
    <w:p w14:paraId="04297D91"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b/>
          <w:sz w:val="20"/>
          <w:szCs w:val="20"/>
          <w:lang w:eastAsia="es-MX"/>
        </w:rPr>
        <w:t>j. el derecho a tener igualdad de acceso a las funciones públicas de su país y a participar en los asuntos públicos</w:t>
      </w:r>
      <w:r w:rsidRPr="00F47164">
        <w:rPr>
          <w:rFonts w:ascii="Arial" w:eastAsia="Times New Roman" w:hAnsi="Arial" w:cs="Arial"/>
          <w:sz w:val="20"/>
          <w:szCs w:val="20"/>
          <w:lang w:eastAsia="es-MX"/>
        </w:rPr>
        <w:t>, incluyendo la toma de decisiones.</w:t>
      </w:r>
    </w:p>
    <w:p w14:paraId="46C2E730" w14:textId="77777777" w:rsidR="00991189" w:rsidRPr="00F47164" w:rsidRDefault="00991189" w:rsidP="00991189">
      <w:pPr>
        <w:ind w:right="332"/>
        <w:jc w:val="both"/>
        <w:rPr>
          <w:rFonts w:ascii="Arial" w:eastAsia="Times New Roman" w:hAnsi="Arial" w:cs="Arial"/>
          <w:b/>
          <w:sz w:val="20"/>
          <w:szCs w:val="20"/>
          <w:lang w:eastAsia="es-MX"/>
        </w:rPr>
      </w:pPr>
    </w:p>
    <w:p w14:paraId="3E2BE92A" w14:textId="77777777" w:rsidR="00991189" w:rsidRPr="00FF0B72" w:rsidRDefault="00991189" w:rsidP="00991189">
      <w:pPr>
        <w:ind w:left="567" w:right="332"/>
        <w:jc w:val="both"/>
        <w:rPr>
          <w:rFonts w:ascii="Arial" w:eastAsia="Times New Roman" w:hAnsi="Arial" w:cs="Arial"/>
          <w:b/>
          <w:sz w:val="20"/>
          <w:szCs w:val="20"/>
          <w:lang w:eastAsia="es-MX"/>
        </w:rPr>
      </w:pPr>
      <w:r w:rsidRPr="00F47164">
        <w:rPr>
          <w:rFonts w:ascii="Arial" w:eastAsia="Times New Roman" w:hAnsi="Arial" w:cs="Arial"/>
          <w:b/>
          <w:sz w:val="20"/>
          <w:szCs w:val="20"/>
          <w:lang w:eastAsia="es-MX"/>
        </w:rPr>
        <w:t>Artículo 5</w:t>
      </w:r>
    </w:p>
    <w:p w14:paraId="359CCA19"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 xml:space="preserve">Toda mujer podrá ejercer libre y plenamente sus derechos civiles, políticos, económicos, sociales y culturales y contará con la total protección de esos derechos consagrados en los instrumentos regionales e internacionales sobre derechos humanos.  Los </w:t>
      </w:r>
      <w:proofErr w:type="gramStart"/>
      <w:r w:rsidRPr="00F47164">
        <w:rPr>
          <w:rFonts w:ascii="Arial" w:eastAsia="Times New Roman" w:hAnsi="Arial" w:cs="Arial"/>
          <w:sz w:val="20"/>
          <w:szCs w:val="20"/>
          <w:lang w:eastAsia="es-MX"/>
        </w:rPr>
        <w:t>Estados Partes</w:t>
      </w:r>
      <w:proofErr w:type="gramEnd"/>
      <w:r w:rsidRPr="00F47164">
        <w:rPr>
          <w:rFonts w:ascii="Arial" w:eastAsia="Times New Roman" w:hAnsi="Arial" w:cs="Arial"/>
          <w:sz w:val="20"/>
          <w:szCs w:val="20"/>
          <w:lang w:eastAsia="es-MX"/>
        </w:rPr>
        <w:t xml:space="preserve"> reconocen que la violencia contra la mujer impide y anula el ejercicio de esos derechos.</w:t>
      </w:r>
    </w:p>
    <w:p w14:paraId="5B01F2C1" w14:textId="77777777" w:rsidR="00991189" w:rsidRPr="00F47164" w:rsidRDefault="00991189" w:rsidP="00991189">
      <w:pPr>
        <w:ind w:right="332"/>
        <w:jc w:val="both"/>
        <w:rPr>
          <w:rFonts w:ascii="Arial" w:eastAsia="Times New Roman" w:hAnsi="Arial" w:cs="Arial"/>
          <w:sz w:val="20"/>
          <w:szCs w:val="20"/>
          <w:lang w:eastAsia="es-MX"/>
        </w:rPr>
      </w:pPr>
    </w:p>
    <w:p w14:paraId="74CAAF80" w14:textId="77777777" w:rsidR="00991189" w:rsidRPr="00F47164" w:rsidRDefault="00991189" w:rsidP="00991189">
      <w:pPr>
        <w:ind w:left="567" w:right="332"/>
        <w:jc w:val="both"/>
        <w:rPr>
          <w:rFonts w:ascii="Arial" w:eastAsia="Times New Roman" w:hAnsi="Arial" w:cs="Arial"/>
          <w:b/>
          <w:sz w:val="20"/>
          <w:szCs w:val="20"/>
          <w:lang w:eastAsia="es-MX"/>
        </w:rPr>
      </w:pPr>
      <w:r w:rsidRPr="00F47164">
        <w:rPr>
          <w:rFonts w:ascii="Arial" w:eastAsia="Times New Roman" w:hAnsi="Arial" w:cs="Arial"/>
          <w:b/>
          <w:sz w:val="20"/>
          <w:szCs w:val="20"/>
          <w:lang w:eastAsia="es-MX"/>
        </w:rPr>
        <w:t>Artículo 6</w:t>
      </w:r>
    </w:p>
    <w:p w14:paraId="1EBBB617" w14:textId="77777777" w:rsidR="00991189" w:rsidRPr="00F47164" w:rsidRDefault="00991189" w:rsidP="00991189">
      <w:pPr>
        <w:ind w:left="567" w:right="332"/>
        <w:jc w:val="both"/>
        <w:rPr>
          <w:rFonts w:ascii="Arial" w:eastAsia="Times New Roman" w:hAnsi="Arial" w:cs="Arial"/>
          <w:sz w:val="20"/>
          <w:szCs w:val="20"/>
          <w:lang w:eastAsia="es-MX"/>
        </w:rPr>
      </w:pPr>
    </w:p>
    <w:p w14:paraId="22455C1C"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El derecho de toda mujer a una vida libre de violencia incluye, entre otros:</w:t>
      </w:r>
    </w:p>
    <w:p w14:paraId="59EB6A26"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 a. el derecho de la mujer a ser libre de toda forma de discriminación, y</w:t>
      </w:r>
    </w:p>
    <w:p w14:paraId="375414B0"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 </w:t>
      </w:r>
      <w:r w:rsidRPr="00F47164">
        <w:rPr>
          <w:rFonts w:ascii="Arial" w:eastAsia="Times New Roman" w:hAnsi="Arial" w:cs="Arial"/>
          <w:b/>
          <w:sz w:val="20"/>
          <w:szCs w:val="20"/>
          <w:lang w:eastAsia="es-MX"/>
        </w:rPr>
        <w:t>b. el derecho de la mujer a ser valorada y educada libre de patrones estereotipados de comportamiento y prácticas sociales y culturales basadas en conceptos de inferioridad o subordinación</w:t>
      </w:r>
      <w:r w:rsidRPr="00F47164">
        <w:rPr>
          <w:rFonts w:ascii="Arial" w:eastAsia="Times New Roman" w:hAnsi="Arial" w:cs="Arial"/>
          <w:sz w:val="20"/>
          <w:szCs w:val="20"/>
          <w:lang w:eastAsia="es-MX"/>
        </w:rPr>
        <w:t>.</w:t>
      </w:r>
    </w:p>
    <w:p w14:paraId="2FAA7875" w14:textId="77777777" w:rsidR="00991189" w:rsidRPr="00F47164" w:rsidRDefault="00991189" w:rsidP="00991189">
      <w:pPr>
        <w:ind w:left="567" w:right="332"/>
        <w:jc w:val="both"/>
        <w:rPr>
          <w:rFonts w:ascii="Arial" w:eastAsia="Times New Roman" w:hAnsi="Arial" w:cs="Arial"/>
          <w:sz w:val="20"/>
          <w:szCs w:val="20"/>
          <w:lang w:eastAsia="es-MX"/>
        </w:rPr>
      </w:pPr>
    </w:p>
    <w:p w14:paraId="39DBF626" w14:textId="77777777" w:rsidR="00991189" w:rsidRDefault="00991189" w:rsidP="00991189">
      <w:pPr>
        <w:ind w:left="567" w:right="332"/>
        <w:jc w:val="center"/>
        <w:rPr>
          <w:rFonts w:ascii="Arial" w:eastAsia="Times New Roman" w:hAnsi="Arial" w:cs="Arial"/>
          <w:b/>
          <w:sz w:val="20"/>
          <w:szCs w:val="20"/>
          <w:lang w:eastAsia="es-MX"/>
        </w:rPr>
      </w:pPr>
      <w:r w:rsidRPr="00F47164">
        <w:rPr>
          <w:rFonts w:ascii="Arial" w:eastAsia="Times New Roman" w:hAnsi="Arial" w:cs="Arial"/>
          <w:b/>
          <w:sz w:val="20"/>
          <w:szCs w:val="20"/>
          <w:lang w:eastAsia="es-MX"/>
        </w:rPr>
        <w:t>Convención Interamericana Contra Toda Forma De Discriminación E Intolerancia</w:t>
      </w:r>
    </w:p>
    <w:p w14:paraId="467EDAE2" w14:textId="77777777" w:rsidR="00991189" w:rsidRPr="00FF0B72" w:rsidRDefault="00991189" w:rsidP="00991189">
      <w:pPr>
        <w:ind w:left="567" w:right="332"/>
        <w:jc w:val="center"/>
        <w:rPr>
          <w:rFonts w:ascii="Arial" w:eastAsia="Times New Roman" w:hAnsi="Arial" w:cs="Arial"/>
          <w:b/>
          <w:sz w:val="20"/>
          <w:szCs w:val="20"/>
          <w:lang w:eastAsia="es-MX"/>
        </w:rPr>
      </w:pPr>
    </w:p>
    <w:p w14:paraId="0B9FEA18" w14:textId="77777777" w:rsidR="00991189" w:rsidRPr="00F47164" w:rsidRDefault="00991189" w:rsidP="00991189">
      <w:pPr>
        <w:ind w:left="567" w:right="332"/>
        <w:jc w:val="both"/>
        <w:rPr>
          <w:rFonts w:ascii="Arial" w:eastAsia="Times New Roman" w:hAnsi="Arial" w:cs="Arial"/>
          <w:b/>
          <w:sz w:val="20"/>
          <w:szCs w:val="20"/>
          <w:lang w:eastAsia="es-MX"/>
        </w:rPr>
      </w:pPr>
      <w:r w:rsidRPr="00F47164">
        <w:rPr>
          <w:rFonts w:ascii="Arial" w:eastAsia="Times New Roman" w:hAnsi="Arial" w:cs="Arial"/>
          <w:b/>
          <w:sz w:val="20"/>
          <w:szCs w:val="20"/>
          <w:lang w:eastAsia="es-MX"/>
        </w:rPr>
        <w:t>Artículo 1</w:t>
      </w:r>
    </w:p>
    <w:p w14:paraId="10E453F8"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br/>
        <w:t>Para los efectos de esta Convención:</w:t>
      </w:r>
    </w:p>
    <w:p w14:paraId="2275FBE1" w14:textId="77777777" w:rsidR="00991189"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br/>
        <w:t xml:space="preserve">1. Discriminación es cualquier distinción, exclusión, restricción o preferencia, en cualquier </w:t>
      </w:r>
      <w:r w:rsidRPr="00F47164">
        <w:rPr>
          <w:rFonts w:ascii="Arial" w:eastAsia="Times New Roman" w:hAnsi="Arial" w:cs="Arial"/>
          <w:sz w:val="20"/>
          <w:szCs w:val="20"/>
          <w:lang w:eastAsia="es-MX"/>
        </w:rPr>
        <w:lastRenderedPageBreak/>
        <w:t xml:space="preserve">ámbito público o privado, que tenga el objetivo o el efecto de anular o limitar el reconocimiento, goce o ejercicio, en condiciones de igualdad, de uno o más derechos humanos o libertades fundamentales consagrados en los instrumentos internacionales aplicables a los </w:t>
      </w:r>
      <w:proofErr w:type="gramStart"/>
      <w:r w:rsidRPr="00F47164">
        <w:rPr>
          <w:rFonts w:ascii="Arial" w:eastAsia="Times New Roman" w:hAnsi="Arial" w:cs="Arial"/>
          <w:sz w:val="20"/>
          <w:szCs w:val="20"/>
          <w:lang w:eastAsia="es-MX"/>
        </w:rPr>
        <w:t>Estados Partes</w:t>
      </w:r>
      <w:proofErr w:type="gramEnd"/>
      <w:r w:rsidRPr="00F47164">
        <w:rPr>
          <w:rFonts w:ascii="Arial" w:eastAsia="Times New Roman" w:hAnsi="Arial" w:cs="Arial"/>
          <w:sz w:val="20"/>
          <w:szCs w:val="20"/>
          <w:lang w:eastAsia="es-MX"/>
        </w:rPr>
        <w:t>.</w:t>
      </w:r>
    </w:p>
    <w:p w14:paraId="234CB5B7"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br/>
        <w:t>La discriminación puede estar basada en motivos de nacionalidad, edad, sexo, orientación sexual, identidad y expresión de género, idioma, religión, identidad cultural, opiniones políticas o de cualquier otra naturaleza, origen social, posición socioeconómica, nivel de educación, condición migratoria, de refugiado, repatriado, apátrida o desplazado interno, discapacidad, característica genética, condición de salud mental o física, incluyendo infectocontagiosa, psíquica incapacitante o cualquier otra.</w:t>
      </w:r>
    </w:p>
    <w:p w14:paraId="50E3F230"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br/>
        <w:t xml:space="preserve">2. </w:t>
      </w:r>
      <w:r w:rsidRPr="00F47164">
        <w:rPr>
          <w:rFonts w:ascii="Arial" w:eastAsia="Times New Roman" w:hAnsi="Arial" w:cs="Arial"/>
          <w:b/>
          <w:sz w:val="20"/>
          <w:szCs w:val="20"/>
          <w:lang w:eastAsia="es-MX"/>
        </w:rPr>
        <w:t>Discriminación indirecta es la que se produce, en la esfera pública o privada, cuando una disposición, un criterio o una práctica, aparentemente neutro es susceptible de implicar una desventaja particular para las personas que pertenecen a un grupo específico, o los pone en desventaja</w:t>
      </w:r>
      <w:r w:rsidRPr="00F47164">
        <w:rPr>
          <w:rFonts w:ascii="Arial" w:eastAsia="Times New Roman" w:hAnsi="Arial" w:cs="Arial"/>
          <w:sz w:val="20"/>
          <w:szCs w:val="20"/>
          <w:lang w:eastAsia="es-MX"/>
        </w:rPr>
        <w:t>, a menos que dicha disposición, criterio o práctica tenga un objetivo o justificación razonable y legítimo a la luz del derecho internacional de los derechos humanos.</w:t>
      </w:r>
    </w:p>
    <w:p w14:paraId="53CF0AEE"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 […]</w:t>
      </w:r>
    </w:p>
    <w:p w14:paraId="48E33117" w14:textId="77777777" w:rsidR="00991189" w:rsidRPr="00F47164" w:rsidRDefault="00991189" w:rsidP="00991189">
      <w:pPr>
        <w:ind w:right="332"/>
        <w:jc w:val="both"/>
        <w:rPr>
          <w:rFonts w:ascii="Arial" w:eastAsia="Times New Roman" w:hAnsi="Arial" w:cs="Arial"/>
          <w:sz w:val="20"/>
          <w:szCs w:val="20"/>
          <w:lang w:eastAsia="es-MX"/>
        </w:rPr>
      </w:pPr>
    </w:p>
    <w:p w14:paraId="4EDF1705" w14:textId="77777777" w:rsidR="00991189" w:rsidRPr="00F47164" w:rsidRDefault="00991189" w:rsidP="00991189">
      <w:pPr>
        <w:ind w:left="567" w:right="332"/>
        <w:jc w:val="both"/>
        <w:rPr>
          <w:rFonts w:ascii="Arial" w:eastAsia="Times New Roman" w:hAnsi="Arial" w:cs="Arial"/>
          <w:b/>
          <w:sz w:val="20"/>
          <w:szCs w:val="20"/>
          <w:lang w:eastAsia="es-MX"/>
        </w:rPr>
      </w:pPr>
      <w:r w:rsidRPr="00F47164">
        <w:rPr>
          <w:rFonts w:ascii="Arial" w:eastAsia="Times New Roman" w:hAnsi="Arial" w:cs="Arial"/>
          <w:b/>
          <w:sz w:val="20"/>
          <w:szCs w:val="20"/>
          <w:lang w:eastAsia="es-MX"/>
        </w:rPr>
        <w:t>Artículo 2</w:t>
      </w:r>
    </w:p>
    <w:p w14:paraId="5F830896"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br/>
      </w:r>
      <w:r w:rsidRPr="00F47164">
        <w:rPr>
          <w:rFonts w:ascii="Arial" w:eastAsia="Times New Roman" w:hAnsi="Arial" w:cs="Arial"/>
          <w:b/>
          <w:sz w:val="20"/>
          <w:szCs w:val="20"/>
          <w:lang w:eastAsia="es-MX"/>
        </w:rPr>
        <w:t>Todo ser humano es igual ante la ley y tiene derecho a igual protección contra toda forma de discriminación e intolerancia en cualquier ámbito de la vida pública</w:t>
      </w:r>
      <w:r w:rsidRPr="00F47164">
        <w:rPr>
          <w:rFonts w:ascii="Arial" w:eastAsia="Times New Roman" w:hAnsi="Arial" w:cs="Arial"/>
          <w:sz w:val="20"/>
          <w:szCs w:val="20"/>
          <w:lang w:eastAsia="es-MX"/>
        </w:rPr>
        <w:t xml:space="preserve"> o privada.</w:t>
      </w:r>
    </w:p>
    <w:p w14:paraId="40ED404D" w14:textId="77777777" w:rsidR="00991189" w:rsidRPr="00F47164" w:rsidRDefault="00991189" w:rsidP="00991189">
      <w:pPr>
        <w:ind w:left="567" w:right="332"/>
        <w:jc w:val="both"/>
        <w:rPr>
          <w:rFonts w:ascii="Arial" w:eastAsia="Times New Roman" w:hAnsi="Arial" w:cs="Arial"/>
          <w:b/>
          <w:sz w:val="20"/>
          <w:szCs w:val="20"/>
          <w:lang w:eastAsia="es-MX"/>
        </w:rPr>
      </w:pPr>
      <w:r w:rsidRPr="00F47164">
        <w:rPr>
          <w:rFonts w:ascii="Arial" w:eastAsia="Times New Roman" w:hAnsi="Arial" w:cs="Arial"/>
          <w:sz w:val="20"/>
          <w:szCs w:val="20"/>
          <w:lang w:eastAsia="es-MX"/>
        </w:rPr>
        <w:br/>
      </w:r>
      <w:r w:rsidRPr="00F47164">
        <w:rPr>
          <w:rFonts w:ascii="Arial" w:eastAsia="Times New Roman" w:hAnsi="Arial" w:cs="Arial"/>
          <w:b/>
          <w:sz w:val="20"/>
          <w:szCs w:val="20"/>
          <w:lang w:eastAsia="es-MX"/>
        </w:rPr>
        <w:t>Artículo 3</w:t>
      </w:r>
    </w:p>
    <w:p w14:paraId="68C8B3B2"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br/>
        <w:t xml:space="preserve">Todo ser humano tiene derecho al reconocimiento, goce, ejercicio y protección, en condiciones de igualdad, de todos los derechos humanos y libertades fundamentales consagrados en sus leyes nacionales y en los instrumentos internacionales aplicables a los </w:t>
      </w:r>
      <w:proofErr w:type="gramStart"/>
      <w:r w:rsidRPr="00F47164">
        <w:rPr>
          <w:rFonts w:ascii="Arial" w:eastAsia="Times New Roman" w:hAnsi="Arial" w:cs="Arial"/>
          <w:sz w:val="20"/>
          <w:szCs w:val="20"/>
          <w:lang w:eastAsia="es-MX"/>
        </w:rPr>
        <w:t>Estados Partes</w:t>
      </w:r>
      <w:proofErr w:type="gramEnd"/>
      <w:r w:rsidRPr="00F47164">
        <w:rPr>
          <w:rFonts w:ascii="Arial" w:eastAsia="Times New Roman" w:hAnsi="Arial" w:cs="Arial"/>
          <w:sz w:val="20"/>
          <w:szCs w:val="20"/>
          <w:lang w:eastAsia="es-MX"/>
        </w:rPr>
        <w:t>, tanto a nivel individual como colectivo.</w:t>
      </w:r>
    </w:p>
    <w:p w14:paraId="76A298D0" w14:textId="77777777" w:rsidR="00991189" w:rsidRPr="00F47164" w:rsidRDefault="00991189" w:rsidP="00991189">
      <w:pPr>
        <w:ind w:right="332"/>
        <w:jc w:val="both"/>
        <w:rPr>
          <w:rFonts w:ascii="Arial" w:eastAsia="Times New Roman" w:hAnsi="Arial" w:cs="Arial"/>
          <w:sz w:val="20"/>
          <w:szCs w:val="20"/>
          <w:lang w:eastAsia="es-MX"/>
        </w:rPr>
      </w:pPr>
    </w:p>
    <w:p w14:paraId="56CD6C01" w14:textId="77777777" w:rsidR="00991189" w:rsidRPr="00F47164" w:rsidRDefault="00991189" w:rsidP="00991189">
      <w:pPr>
        <w:ind w:left="567" w:right="332"/>
        <w:jc w:val="both"/>
        <w:rPr>
          <w:rFonts w:ascii="Arial" w:eastAsia="Times New Roman" w:hAnsi="Arial" w:cs="Arial"/>
          <w:b/>
          <w:sz w:val="20"/>
          <w:szCs w:val="20"/>
          <w:lang w:eastAsia="es-MX"/>
        </w:rPr>
      </w:pPr>
      <w:r w:rsidRPr="00F47164">
        <w:rPr>
          <w:rFonts w:ascii="Arial" w:eastAsia="Times New Roman" w:hAnsi="Arial" w:cs="Arial"/>
          <w:b/>
          <w:sz w:val="20"/>
          <w:szCs w:val="20"/>
          <w:lang w:eastAsia="es-MX"/>
        </w:rPr>
        <w:t>Artículo 6</w:t>
      </w:r>
    </w:p>
    <w:p w14:paraId="21B559BA"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br/>
      </w:r>
      <w:r w:rsidRPr="00F47164">
        <w:rPr>
          <w:rFonts w:ascii="Arial" w:eastAsia="Times New Roman" w:hAnsi="Arial" w:cs="Arial"/>
          <w:b/>
          <w:sz w:val="20"/>
          <w:szCs w:val="20"/>
          <w:lang w:eastAsia="es-MX"/>
        </w:rPr>
        <w:t xml:space="preserve">Los </w:t>
      </w:r>
      <w:proofErr w:type="gramStart"/>
      <w:r w:rsidRPr="00F47164">
        <w:rPr>
          <w:rFonts w:ascii="Arial" w:eastAsia="Times New Roman" w:hAnsi="Arial" w:cs="Arial"/>
          <w:b/>
          <w:sz w:val="20"/>
          <w:szCs w:val="20"/>
          <w:lang w:eastAsia="es-MX"/>
        </w:rPr>
        <w:t>Estados Partes</w:t>
      </w:r>
      <w:proofErr w:type="gramEnd"/>
      <w:r w:rsidRPr="00F47164">
        <w:rPr>
          <w:rFonts w:ascii="Arial" w:eastAsia="Times New Roman" w:hAnsi="Arial" w:cs="Arial"/>
          <w:b/>
          <w:sz w:val="20"/>
          <w:szCs w:val="20"/>
          <w:lang w:eastAsia="es-MX"/>
        </w:rPr>
        <w:t xml:space="preserve"> se comprometen a formular y aplicar políticas que tengan por objetivo el trato equitativo y la generación de igualdad de oportunidades para todas las personas, de conformidad con el alcance de esta Convención</w:t>
      </w:r>
      <w:r w:rsidRPr="00F47164">
        <w:rPr>
          <w:rFonts w:ascii="Arial" w:eastAsia="Times New Roman" w:hAnsi="Arial" w:cs="Arial"/>
          <w:sz w:val="20"/>
          <w:szCs w:val="20"/>
          <w:lang w:eastAsia="es-MX"/>
        </w:rPr>
        <w:t xml:space="preserve">, entre ellas, políticas de tipo educativo, medidas de carácter laboral o social, o de cualquier otra índole de promoción, y la difusión de la legislación sobre la materia por todos los medios posibles, </w:t>
      </w:r>
      <w:r w:rsidRPr="00F47164">
        <w:rPr>
          <w:rFonts w:ascii="Arial" w:eastAsia="Times New Roman" w:hAnsi="Arial" w:cs="Arial"/>
          <w:b/>
          <w:sz w:val="20"/>
          <w:szCs w:val="20"/>
          <w:lang w:eastAsia="es-MX"/>
        </w:rPr>
        <w:t>incluida cualquier forma y medio de comunicación masiva</w:t>
      </w:r>
      <w:r w:rsidRPr="00F47164">
        <w:rPr>
          <w:rFonts w:ascii="Arial" w:eastAsia="Times New Roman" w:hAnsi="Arial" w:cs="Arial"/>
          <w:sz w:val="20"/>
          <w:szCs w:val="20"/>
          <w:lang w:eastAsia="es-MX"/>
        </w:rPr>
        <w:t xml:space="preserve"> e Internet. </w:t>
      </w:r>
    </w:p>
    <w:p w14:paraId="453FF59C" w14:textId="77777777" w:rsidR="00991189" w:rsidRPr="00F47164" w:rsidRDefault="00991189" w:rsidP="00991189">
      <w:pPr>
        <w:ind w:right="332"/>
        <w:rPr>
          <w:rFonts w:ascii="Arial" w:eastAsia="Times New Roman" w:hAnsi="Arial" w:cs="Arial"/>
          <w:b/>
          <w:sz w:val="20"/>
          <w:szCs w:val="20"/>
          <w:lang w:eastAsia="es-MX"/>
        </w:rPr>
      </w:pPr>
    </w:p>
    <w:p w14:paraId="41BE2EA0" w14:textId="77777777" w:rsidR="00991189" w:rsidRDefault="00991189" w:rsidP="00991189">
      <w:pPr>
        <w:ind w:left="567" w:right="332"/>
        <w:jc w:val="center"/>
        <w:rPr>
          <w:rFonts w:ascii="Arial" w:eastAsia="Times New Roman" w:hAnsi="Arial" w:cs="Arial"/>
          <w:b/>
          <w:sz w:val="20"/>
          <w:szCs w:val="20"/>
          <w:lang w:eastAsia="es-MX"/>
        </w:rPr>
      </w:pPr>
      <w:r w:rsidRPr="00F47164">
        <w:rPr>
          <w:rFonts w:ascii="Arial" w:eastAsia="Times New Roman" w:hAnsi="Arial" w:cs="Arial"/>
          <w:b/>
          <w:sz w:val="20"/>
          <w:szCs w:val="20"/>
          <w:lang w:eastAsia="es-MX"/>
        </w:rPr>
        <w:t>Constitución Política de los Estados Unidos Mexicanos</w:t>
      </w:r>
    </w:p>
    <w:p w14:paraId="380F7882" w14:textId="77777777" w:rsidR="00991189" w:rsidRPr="00F47164" w:rsidRDefault="00991189" w:rsidP="00991189">
      <w:pPr>
        <w:ind w:left="567" w:right="332"/>
        <w:jc w:val="center"/>
        <w:rPr>
          <w:rFonts w:ascii="Arial" w:eastAsia="Times New Roman" w:hAnsi="Arial" w:cs="Arial"/>
          <w:b/>
          <w:sz w:val="20"/>
          <w:szCs w:val="20"/>
          <w:lang w:eastAsia="es-MX"/>
        </w:rPr>
      </w:pPr>
    </w:p>
    <w:p w14:paraId="448ED889"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b/>
          <w:sz w:val="20"/>
          <w:szCs w:val="20"/>
          <w:lang w:eastAsia="es-MX"/>
        </w:rPr>
        <w:t>Artículo 1o</w:t>
      </w:r>
      <w:r w:rsidRPr="00F47164">
        <w:rPr>
          <w:rFonts w:ascii="Arial" w:eastAsia="Times New Roman" w:hAnsi="Arial" w:cs="Arial"/>
          <w:sz w:val="20"/>
          <w:szCs w:val="20"/>
          <w:lang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715DA49"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Las normas relativas a los derechos humanos se interpretarán de conformidad con esta Constitución y con los tratados internacionales de la materia favoreciendo en todo tiempo a las personas la protección más amplia.</w:t>
      </w:r>
    </w:p>
    <w:p w14:paraId="5C63E62E"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b/>
          <w:sz w:val="20"/>
          <w:szCs w:val="20"/>
          <w:lang w:eastAsia="es-MX"/>
        </w:rPr>
        <w:t>Todas las autoridades, en el ámbito de sus competencias, tienen la obligación de promover, respetar, proteger y garantizar los derechos humanos de conformidad con los principios de universalidad, interdependencia, indivisibilidad y progresividad</w:t>
      </w:r>
      <w:r w:rsidRPr="00F47164">
        <w:rPr>
          <w:rFonts w:ascii="Arial" w:eastAsia="Times New Roman" w:hAnsi="Arial" w:cs="Arial"/>
          <w:sz w:val="20"/>
          <w:szCs w:val="20"/>
          <w:lang w:eastAsia="es-MX"/>
        </w:rPr>
        <w:t>. En consecuencia, el Estado deberá prevenir, investigar, sancionar y reparar las violaciones a los derechos humanos, en los términos que establezca la ley.</w:t>
      </w:r>
    </w:p>
    <w:p w14:paraId="7F824D5F"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w:t>
      </w:r>
    </w:p>
    <w:p w14:paraId="44DF2D79"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b/>
          <w:sz w:val="20"/>
          <w:szCs w:val="20"/>
          <w:lang w:eastAsia="es-MX"/>
        </w:rPr>
        <w:t>Queda prohibida toda discriminación motivada por origen étnico o nacional, el género</w:t>
      </w:r>
      <w:r w:rsidRPr="00F47164">
        <w:rPr>
          <w:rFonts w:ascii="Arial" w:eastAsia="Times New Roman" w:hAnsi="Arial" w:cs="Arial"/>
          <w:sz w:val="20"/>
          <w:szCs w:val="20"/>
          <w:lang w:eastAsia="es-MX"/>
        </w:rPr>
        <w:t>,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40E04D74" w14:textId="77777777" w:rsidR="00991189" w:rsidRPr="00F47164" w:rsidRDefault="00991189" w:rsidP="00991189">
      <w:pPr>
        <w:ind w:right="332"/>
        <w:jc w:val="both"/>
        <w:rPr>
          <w:rFonts w:ascii="Arial" w:eastAsia="Times New Roman" w:hAnsi="Arial" w:cs="Arial"/>
          <w:sz w:val="20"/>
          <w:szCs w:val="20"/>
          <w:lang w:eastAsia="es-MX"/>
        </w:rPr>
      </w:pPr>
    </w:p>
    <w:p w14:paraId="78083474"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b/>
          <w:sz w:val="20"/>
          <w:szCs w:val="20"/>
          <w:lang w:eastAsia="es-MX"/>
        </w:rPr>
        <w:t>Artículo 4o.- El varón y la mujer son iguales ante la ley.</w:t>
      </w:r>
      <w:r w:rsidRPr="00F47164">
        <w:rPr>
          <w:rFonts w:ascii="Arial" w:eastAsia="Times New Roman" w:hAnsi="Arial" w:cs="Arial"/>
          <w:sz w:val="20"/>
          <w:szCs w:val="20"/>
          <w:lang w:eastAsia="es-MX"/>
        </w:rPr>
        <w:t xml:space="preserve"> Ésta protegerá la organización y el desarrollo de la familia.</w:t>
      </w:r>
    </w:p>
    <w:p w14:paraId="6DD133C2"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w:t>
      </w:r>
    </w:p>
    <w:p w14:paraId="0DBB8FCB" w14:textId="77777777" w:rsidR="00991189" w:rsidRPr="00F47164" w:rsidRDefault="00991189" w:rsidP="00991189">
      <w:pPr>
        <w:ind w:right="332"/>
        <w:jc w:val="both"/>
        <w:rPr>
          <w:rFonts w:ascii="Arial" w:eastAsia="Times New Roman" w:hAnsi="Arial" w:cs="Arial"/>
          <w:sz w:val="20"/>
          <w:szCs w:val="20"/>
          <w:lang w:eastAsia="es-MX"/>
        </w:rPr>
      </w:pPr>
    </w:p>
    <w:p w14:paraId="6F880B07"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b/>
          <w:sz w:val="20"/>
          <w:szCs w:val="20"/>
          <w:lang w:eastAsia="es-MX"/>
        </w:rPr>
        <w:t>Artículo 35</w:t>
      </w:r>
      <w:r w:rsidRPr="00F47164">
        <w:rPr>
          <w:rFonts w:ascii="Arial" w:eastAsia="Times New Roman" w:hAnsi="Arial" w:cs="Arial"/>
          <w:sz w:val="20"/>
          <w:szCs w:val="20"/>
          <w:lang w:eastAsia="es-MX"/>
        </w:rPr>
        <w:t>.- Son derechos del ciudadano:</w:t>
      </w:r>
    </w:p>
    <w:p w14:paraId="511BF2CB"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I. Votar en las elecciones populares;</w:t>
      </w:r>
    </w:p>
    <w:p w14:paraId="383E3B46"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 xml:space="preserve">II. Poder ser votado para todos los cargos de elección popular, teniendo las calidades que establezca la ley. El derecho de solicitar el registro de candidatos ante la autoridad electoral corresponde a los partidos </w:t>
      </w:r>
      <w:proofErr w:type="gramStart"/>
      <w:r w:rsidRPr="00F47164">
        <w:rPr>
          <w:rFonts w:ascii="Arial" w:eastAsia="Times New Roman" w:hAnsi="Arial" w:cs="Arial"/>
          <w:sz w:val="20"/>
          <w:szCs w:val="20"/>
          <w:lang w:eastAsia="es-MX"/>
        </w:rPr>
        <w:t>políticos</w:t>
      </w:r>
      <w:proofErr w:type="gramEnd"/>
      <w:r w:rsidRPr="00F47164">
        <w:rPr>
          <w:rFonts w:ascii="Arial" w:eastAsia="Times New Roman" w:hAnsi="Arial" w:cs="Arial"/>
          <w:sz w:val="20"/>
          <w:szCs w:val="20"/>
          <w:lang w:eastAsia="es-MX"/>
        </w:rPr>
        <w:t xml:space="preserve"> así como a los ciudadanos que soliciten su registro de manera independiente y cumplan con los requisitos, condiciones y términos que determine la legislación;</w:t>
      </w:r>
    </w:p>
    <w:p w14:paraId="4674CAFD"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w:t>
      </w:r>
    </w:p>
    <w:p w14:paraId="099C2E98" w14:textId="77777777" w:rsidR="00991189" w:rsidRPr="00F47164" w:rsidRDefault="00991189" w:rsidP="00991189">
      <w:pPr>
        <w:ind w:right="332"/>
        <w:jc w:val="both"/>
        <w:rPr>
          <w:rFonts w:ascii="Arial" w:eastAsia="Times New Roman" w:hAnsi="Arial" w:cs="Arial"/>
          <w:b/>
          <w:sz w:val="20"/>
          <w:szCs w:val="20"/>
          <w:lang w:eastAsia="es-MX"/>
        </w:rPr>
      </w:pPr>
    </w:p>
    <w:p w14:paraId="47B43929"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b/>
          <w:sz w:val="20"/>
          <w:szCs w:val="20"/>
          <w:lang w:eastAsia="es-MX"/>
        </w:rPr>
        <w:t>Artículo 41</w:t>
      </w:r>
      <w:r w:rsidRPr="00F47164">
        <w:rPr>
          <w:rFonts w:ascii="Arial" w:eastAsia="Times New Roman" w:hAnsi="Arial" w:cs="Arial"/>
          <w:sz w:val="20"/>
          <w:szCs w:val="20"/>
          <w:lang w:eastAsia="es-MX"/>
        </w:rPr>
        <w:t>. El pueblo ejerce su soberanía por medio de los Poderes de la Unión, en los casos de la competencia de éstos, y por los de los Estados y la Ciudad de México, en lo que toca a sus regímenes interiores, en los términos respectivamente establecidos por la presente Constitución Federal y las particulares de cada Estado y de la Ciudad de México, las que en ningún caso podrán contravenir las estipulaciones del Pacto Federal.</w:t>
      </w:r>
    </w:p>
    <w:p w14:paraId="6801BFB8"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La renovación de los poderes Legislativo y Ejecutivo se realizará mediante elecciones libres, auténticas y periódicas, conforme a las siguientes bases:</w:t>
      </w:r>
    </w:p>
    <w:p w14:paraId="2624F047"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lastRenderedPageBreak/>
        <w:t>[…]</w:t>
      </w:r>
    </w:p>
    <w:p w14:paraId="7222A5FD"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La renovación de los poderes Legislativo y Ejecutivo se realizará mediante elecciones libres, auténticas y periódicas, conforme a las siguientes bases:</w:t>
      </w:r>
    </w:p>
    <w:p w14:paraId="3646BEB7"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w:t>
      </w:r>
    </w:p>
    <w:p w14:paraId="530F4A38"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 xml:space="preserve">Los partidos políticos tienen como fin promover la participación del pueblo en la vida democrática, contribuir a la integración de los órganos de representación política y como organizaciones de ciudadanos, hacer posible el acceso de éstos al ejercicio del poder público, de acuerdo con los programas, principios e ideas que postulan y mediante el sufragio universal, libre, secreto y directo, así como las reglas para </w:t>
      </w:r>
      <w:r w:rsidRPr="00F47164">
        <w:rPr>
          <w:rFonts w:ascii="Arial" w:eastAsia="Times New Roman" w:hAnsi="Arial" w:cs="Arial"/>
          <w:b/>
          <w:sz w:val="20"/>
          <w:szCs w:val="20"/>
          <w:lang w:eastAsia="es-MX"/>
        </w:rPr>
        <w:t>garantizar la paridad entre los géneros</w:t>
      </w:r>
      <w:r w:rsidRPr="00F47164">
        <w:rPr>
          <w:rFonts w:ascii="Arial" w:eastAsia="Times New Roman" w:hAnsi="Arial" w:cs="Arial"/>
          <w:sz w:val="20"/>
          <w:szCs w:val="20"/>
          <w:lang w:eastAsia="es-MX"/>
        </w:rPr>
        <w:t>, en candidaturas a legisladores federales y locales. […]”</w:t>
      </w:r>
    </w:p>
    <w:p w14:paraId="0C9F3B16" w14:textId="77777777" w:rsidR="00991189" w:rsidRPr="00FF0B72"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w:t>
      </w:r>
    </w:p>
    <w:p w14:paraId="53AA6E51" w14:textId="77777777" w:rsidR="00991189" w:rsidRPr="00F47164" w:rsidRDefault="00991189" w:rsidP="00991189">
      <w:pPr>
        <w:ind w:left="567" w:right="332"/>
        <w:jc w:val="center"/>
        <w:rPr>
          <w:rFonts w:ascii="Arial" w:eastAsia="Times New Roman" w:hAnsi="Arial" w:cs="Arial"/>
          <w:b/>
          <w:sz w:val="20"/>
          <w:szCs w:val="20"/>
          <w:lang w:eastAsia="es-MX"/>
        </w:rPr>
      </w:pPr>
    </w:p>
    <w:p w14:paraId="4C570386" w14:textId="77777777" w:rsidR="00991189" w:rsidRPr="00F47164" w:rsidRDefault="00991189" w:rsidP="00991189">
      <w:pPr>
        <w:ind w:left="567" w:right="332"/>
        <w:jc w:val="center"/>
        <w:rPr>
          <w:rFonts w:ascii="Arial" w:eastAsia="Times New Roman" w:hAnsi="Arial" w:cs="Arial"/>
          <w:b/>
          <w:sz w:val="20"/>
          <w:szCs w:val="20"/>
          <w:lang w:eastAsia="es-MX"/>
        </w:rPr>
      </w:pPr>
      <w:r w:rsidRPr="00F47164">
        <w:rPr>
          <w:rFonts w:ascii="Arial" w:eastAsia="Times New Roman" w:hAnsi="Arial" w:cs="Arial"/>
          <w:b/>
          <w:sz w:val="20"/>
          <w:szCs w:val="20"/>
          <w:lang w:eastAsia="es-MX"/>
        </w:rPr>
        <w:t>Ley Federal para Prevenir y Eliminar la Discriminación</w:t>
      </w:r>
    </w:p>
    <w:p w14:paraId="412F0D50" w14:textId="77777777" w:rsidR="00991189"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b/>
          <w:sz w:val="20"/>
          <w:szCs w:val="20"/>
          <w:lang w:eastAsia="es-MX"/>
        </w:rPr>
        <w:t>Artículo 2</w:t>
      </w:r>
      <w:r w:rsidRPr="00F47164">
        <w:rPr>
          <w:rFonts w:ascii="Arial" w:eastAsia="Times New Roman" w:hAnsi="Arial" w:cs="Arial"/>
          <w:sz w:val="20"/>
          <w:szCs w:val="20"/>
          <w:lang w:eastAsia="es-MX"/>
        </w:rPr>
        <w:t xml:space="preserve">.- Corresponde al Estado promover las condiciones para que la libertad y la igualdad de las personas sean reales y efectivas. </w:t>
      </w:r>
      <w:r w:rsidRPr="00F47164">
        <w:rPr>
          <w:rFonts w:ascii="Arial" w:eastAsia="Times New Roman" w:hAnsi="Arial" w:cs="Arial"/>
          <w:b/>
          <w:sz w:val="20"/>
          <w:szCs w:val="20"/>
          <w:lang w:eastAsia="es-MX"/>
        </w:rPr>
        <w:t xml:space="preserve">Los poderes públicos federales deberán eliminar aquellos obstáculos que limiten en los hechos su ejercicio e impidan el pleno desarrollo de las </w:t>
      </w:r>
      <w:proofErr w:type="gramStart"/>
      <w:r w:rsidRPr="00F47164">
        <w:rPr>
          <w:rFonts w:ascii="Arial" w:eastAsia="Times New Roman" w:hAnsi="Arial" w:cs="Arial"/>
          <w:b/>
          <w:sz w:val="20"/>
          <w:szCs w:val="20"/>
          <w:lang w:eastAsia="es-MX"/>
        </w:rPr>
        <w:t>personas</w:t>
      </w:r>
      <w:proofErr w:type="gramEnd"/>
      <w:r w:rsidRPr="00F47164">
        <w:rPr>
          <w:rFonts w:ascii="Arial" w:eastAsia="Times New Roman" w:hAnsi="Arial" w:cs="Arial"/>
          <w:b/>
          <w:sz w:val="20"/>
          <w:szCs w:val="20"/>
          <w:lang w:eastAsia="es-MX"/>
        </w:rPr>
        <w:t xml:space="preserve"> así como su efectiva participación en la vida política</w:t>
      </w:r>
      <w:r w:rsidRPr="00F47164">
        <w:rPr>
          <w:rFonts w:ascii="Arial" w:eastAsia="Times New Roman" w:hAnsi="Arial" w:cs="Arial"/>
          <w:sz w:val="20"/>
          <w:szCs w:val="20"/>
          <w:lang w:eastAsia="es-MX"/>
        </w:rPr>
        <w:t>, económica, cultural y social del país y promoverán la participación de las autoridades de los demás órdenes de Gobierno y de los particulares en la eliminación de dichos obstáculos.</w:t>
      </w:r>
    </w:p>
    <w:p w14:paraId="451E838A" w14:textId="77777777" w:rsidR="00991189" w:rsidRPr="00F47164" w:rsidRDefault="00991189" w:rsidP="00991189">
      <w:pPr>
        <w:ind w:left="567" w:right="332"/>
        <w:jc w:val="both"/>
        <w:rPr>
          <w:rFonts w:ascii="Arial" w:eastAsia="Times New Roman" w:hAnsi="Arial" w:cs="Arial"/>
          <w:sz w:val="20"/>
          <w:szCs w:val="20"/>
          <w:lang w:eastAsia="es-MX"/>
        </w:rPr>
      </w:pPr>
    </w:p>
    <w:p w14:paraId="3EA917EE"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b/>
          <w:sz w:val="20"/>
          <w:szCs w:val="20"/>
          <w:lang w:eastAsia="es-MX"/>
        </w:rPr>
        <w:t>Artículo 4.</w:t>
      </w:r>
      <w:r w:rsidRPr="00F47164">
        <w:rPr>
          <w:rFonts w:ascii="Arial" w:eastAsia="Times New Roman" w:hAnsi="Arial" w:cs="Arial"/>
          <w:sz w:val="20"/>
          <w:szCs w:val="20"/>
          <w:lang w:eastAsia="es-MX"/>
        </w:rPr>
        <w:t>- Queda prohibida toda práctica discriminatoria que tenga por objeto o efecto impedir o anular el reconocimiento o ejercicio de los derechos y la igualdad real de oportunidades en términos del artículo 1o. constitucional y el artículo 1, párrafo segundo, fracción III de esta Ley.</w:t>
      </w:r>
    </w:p>
    <w:p w14:paraId="7807D448" w14:textId="77777777" w:rsidR="00991189" w:rsidRPr="00F47164" w:rsidRDefault="00991189" w:rsidP="00991189">
      <w:pPr>
        <w:ind w:left="567" w:right="332"/>
        <w:jc w:val="both"/>
        <w:rPr>
          <w:rFonts w:ascii="Arial" w:eastAsia="Times New Roman" w:hAnsi="Arial" w:cs="Arial"/>
          <w:sz w:val="20"/>
          <w:szCs w:val="20"/>
          <w:lang w:eastAsia="es-MX"/>
        </w:rPr>
      </w:pPr>
    </w:p>
    <w:p w14:paraId="5F67D1A7"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b/>
          <w:sz w:val="20"/>
          <w:szCs w:val="20"/>
          <w:lang w:eastAsia="es-MX"/>
        </w:rPr>
        <w:t>Artículo 6</w:t>
      </w:r>
      <w:r w:rsidRPr="00F47164">
        <w:rPr>
          <w:rFonts w:ascii="Arial" w:eastAsia="Times New Roman" w:hAnsi="Arial" w:cs="Arial"/>
          <w:sz w:val="20"/>
          <w:szCs w:val="20"/>
          <w:lang w:eastAsia="es-MX"/>
        </w:rPr>
        <w:t xml:space="preserve">.- </w:t>
      </w:r>
      <w:r w:rsidRPr="00F47164">
        <w:rPr>
          <w:rFonts w:ascii="Arial" w:eastAsia="Times New Roman" w:hAnsi="Arial" w:cs="Arial"/>
          <w:b/>
          <w:sz w:val="20"/>
          <w:szCs w:val="20"/>
          <w:lang w:eastAsia="es-MX"/>
        </w:rPr>
        <w:t>La interpretación del contenido de esta Ley, así como la actuación de los poderes públicos federales se ajustará con los instrumentos internacionales aplicables de los que el Estado Mexicano sea parte en materia de derechos humanos, así como con la jurisprudencia emitida por los órganos jurisdiccionales internacionales, las recomendaciones y resoluciones adoptadas por los organismos multilaterales y regionales y demás legislación aplicable.</w:t>
      </w:r>
    </w:p>
    <w:p w14:paraId="2CE2EB7B" w14:textId="77777777" w:rsidR="00991189" w:rsidRPr="00F47164" w:rsidRDefault="00991189" w:rsidP="00991189">
      <w:pPr>
        <w:ind w:left="567" w:right="332"/>
        <w:jc w:val="both"/>
        <w:rPr>
          <w:rFonts w:ascii="Arial" w:eastAsia="Times New Roman" w:hAnsi="Arial" w:cs="Arial"/>
          <w:sz w:val="20"/>
          <w:szCs w:val="20"/>
          <w:lang w:eastAsia="es-MX"/>
        </w:rPr>
      </w:pPr>
    </w:p>
    <w:p w14:paraId="1870922C"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b/>
          <w:sz w:val="20"/>
          <w:szCs w:val="20"/>
          <w:lang w:eastAsia="es-MX"/>
        </w:rPr>
        <w:t>Artículo 9</w:t>
      </w:r>
      <w:r w:rsidRPr="00F47164">
        <w:rPr>
          <w:rFonts w:ascii="Arial" w:eastAsia="Times New Roman" w:hAnsi="Arial" w:cs="Arial"/>
          <w:sz w:val="20"/>
          <w:szCs w:val="20"/>
          <w:lang w:eastAsia="es-MX"/>
        </w:rPr>
        <w:t>.- Con base en lo establecido en el artículo primero constitucional y el artículo 1, párrafo segundo, fracción III de esta Ley se consideran como discriminación, entre otras:</w:t>
      </w:r>
    </w:p>
    <w:p w14:paraId="31A45636"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w:t>
      </w:r>
    </w:p>
    <w:p w14:paraId="088C2040"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 xml:space="preserve">VIII. </w:t>
      </w:r>
      <w:r w:rsidRPr="00F47164">
        <w:rPr>
          <w:rFonts w:ascii="Arial" w:eastAsia="Times New Roman" w:hAnsi="Arial" w:cs="Arial"/>
          <w:b/>
          <w:sz w:val="20"/>
          <w:szCs w:val="20"/>
          <w:lang w:eastAsia="es-MX"/>
        </w:rPr>
        <w:t>Impedir la participación en condiciones equitativas en asociaciones civiles, políticas o de cualquier otra índole</w:t>
      </w:r>
      <w:r w:rsidRPr="00F47164">
        <w:rPr>
          <w:rFonts w:ascii="Arial" w:eastAsia="Times New Roman" w:hAnsi="Arial" w:cs="Arial"/>
          <w:sz w:val="20"/>
          <w:szCs w:val="20"/>
          <w:lang w:eastAsia="es-MX"/>
        </w:rPr>
        <w:t>;</w:t>
      </w:r>
    </w:p>
    <w:p w14:paraId="02BDE76F"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w:t>
      </w:r>
    </w:p>
    <w:p w14:paraId="4A6438EF"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 xml:space="preserve">XIII. </w:t>
      </w:r>
      <w:r w:rsidRPr="00F47164">
        <w:rPr>
          <w:rFonts w:ascii="Arial" w:eastAsia="Times New Roman" w:hAnsi="Arial" w:cs="Arial"/>
          <w:b/>
          <w:sz w:val="20"/>
          <w:szCs w:val="20"/>
          <w:lang w:eastAsia="es-MX"/>
        </w:rPr>
        <w:t>Aplicar cualquier tipo de uso o costumbre que atente contra la igualdad</w:t>
      </w:r>
      <w:r w:rsidRPr="00F47164">
        <w:rPr>
          <w:rFonts w:ascii="Arial" w:eastAsia="Times New Roman" w:hAnsi="Arial" w:cs="Arial"/>
          <w:sz w:val="20"/>
          <w:szCs w:val="20"/>
          <w:lang w:eastAsia="es-MX"/>
        </w:rPr>
        <w:t>, dignidad e integridad humana;</w:t>
      </w:r>
    </w:p>
    <w:p w14:paraId="01E8F7BB" w14:textId="77777777" w:rsidR="00991189" w:rsidRPr="00F47164" w:rsidRDefault="00991189" w:rsidP="00991189">
      <w:pPr>
        <w:ind w:left="567" w:right="332"/>
        <w:jc w:val="both"/>
        <w:rPr>
          <w:rFonts w:ascii="Arial" w:eastAsia="Times New Roman" w:hAnsi="Arial" w:cs="Arial"/>
          <w:sz w:val="20"/>
          <w:szCs w:val="20"/>
          <w:lang w:eastAsia="es-MX"/>
        </w:rPr>
      </w:pPr>
    </w:p>
    <w:p w14:paraId="61746F50"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b/>
          <w:sz w:val="20"/>
          <w:szCs w:val="20"/>
          <w:lang w:eastAsia="es-MX"/>
        </w:rPr>
        <w:t xml:space="preserve">Artículo 15 </w:t>
      </w:r>
      <w:proofErr w:type="gramStart"/>
      <w:r w:rsidRPr="00F47164">
        <w:rPr>
          <w:rFonts w:ascii="Arial" w:eastAsia="Times New Roman" w:hAnsi="Arial" w:cs="Arial"/>
          <w:b/>
          <w:sz w:val="20"/>
          <w:szCs w:val="20"/>
          <w:lang w:eastAsia="es-MX"/>
        </w:rPr>
        <w:t>Bis</w:t>
      </w:r>
      <w:r w:rsidRPr="00F47164">
        <w:rPr>
          <w:rFonts w:ascii="Arial" w:eastAsia="Times New Roman" w:hAnsi="Arial" w:cs="Arial"/>
          <w:sz w:val="20"/>
          <w:szCs w:val="20"/>
          <w:lang w:eastAsia="es-MX"/>
        </w:rPr>
        <w:t>.-</w:t>
      </w:r>
      <w:proofErr w:type="gramEnd"/>
      <w:r w:rsidRPr="00F47164">
        <w:rPr>
          <w:rFonts w:ascii="Arial" w:eastAsia="Times New Roman" w:hAnsi="Arial" w:cs="Arial"/>
          <w:sz w:val="20"/>
          <w:szCs w:val="20"/>
          <w:lang w:eastAsia="es-MX"/>
        </w:rPr>
        <w:t xml:space="preserve"> </w:t>
      </w:r>
      <w:r w:rsidRPr="00F47164">
        <w:rPr>
          <w:rFonts w:ascii="Arial" w:eastAsia="Times New Roman" w:hAnsi="Arial" w:cs="Arial"/>
          <w:b/>
          <w:sz w:val="20"/>
          <w:szCs w:val="20"/>
          <w:lang w:eastAsia="es-MX"/>
        </w:rPr>
        <w:t>Cada uno de los poderes públicos federales y aquellas instituciones que estén bajo su regulación o competencia, están obligados a realizar las medidas de nivelación</w:t>
      </w:r>
      <w:r w:rsidRPr="00F47164">
        <w:rPr>
          <w:rFonts w:ascii="Arial" w:eastAsia="Times New Roman" w:hAnsi="Arial" w:cs="Arial"/>
          <w:sz w:val="20"/>
          <w:szCs w:val="20"/>
          <w:lang w:eastAsia="es-MX"/>
        </w:rPr>
        <w:t xml:space="preserve">, las medidas de inclusión y las acciones afirmativas necesarias para garantizar a toda persona la igualdad real de oportunidades y el derecho a la no discriminación. </w:t>
      </w:r>
    </w:p>
    <w:p w14:paraId="4ADF3A9D"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b/>
          <w:sz w:val="20"/>
          <w:szCs w:val="20"/>
          <w:lang w:eastAsia="es-MX"/>
        </w:rPr>
        <w:t>La adopción de estas medidas forma parte de la perspectiva antidiscriminatoria, la cual debe ser incorporada de manera transversal y progresiva en el quehacer público</w:t>
      </w:r>
      <w:r w:rsidRPr="00F47164">
        <w:rPr>
          <w:rFonts w:ascii="Arial" w:eastAsia="Times New Roman" w:hAnsi="Arial" w:cs="Arial"/>
          <w:sz w:val="20"/>
          <w:szCs w:val="20"/>
          <w:lang w:eastAsia="es-MX"/>
        </w:rPr>
        <w:t xml:space="preserve">, y de manera particular en el diseño, implementación y evaluación de las políticas públicas que lleven a cabo cada uno de los poderes públicos federales. </w:t>
      </w:r>
    </w:p>
    <w:p w14:paraId="70D86EC0" w14:textId="77777777" w:rsidR="00991189" w:rsidRPr="00F47164" w:rsidRDefault="00991189" w:rsidP="00991189">
      <w:pPr>
        <w:ind w:left="567" w:right="332"/>
        <w:jc w:val="both"/>
        <w:rPr>
          <w:rFonts w:ascii="Arial" w:eastAsia="Times New Roman" w:hAnsi="Arial" w:cs="Arial"/>
          <w:sz w:val="20"/>
          <w:szCs w:val="20"/>
          <w:lang w:eastAsia="es-MX"/>
        </w:rPr>
      </w:pPr>
    </w:p>
    <w:p w14:paraId="3A1DB429"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b/>
          <w:sz w:val="20"/>
          <w:szCs w:val="20"/>
          <w:lang w:eastAsia="es-MX"/>
        </w:rPr>
        <w:t xml:space="preserve">Artículo 15 </w:t>
      </w:r>
      <w:proofErr w:type="gramStart"/>
      <w:r w:rsidRPr="00F47164">
        <w:rPr>
          <w:rFonts w:ascii="Arial" w:eastAsia="Times New Roman" w:hAnsi="Arial" w:cs="Arial"/>
          <w:b/>
          <w:sz w:val="20"/>
          <w:szCs w:val="20"/>
          <w:lang w:eastAsia="es-MX"/>
        </w:rPr>
        <w:t>Ter</w:t>
      </w:r>
      <w:r w:rsidRPr="00F47164">
        <w:rPr>
          <w:rFonts w:ascii="Arial" w:eastAsia="Times New Roman" w:hAnsi="Arial" w:cs="Arial"/>
          <w:sz w:val="20"/>
          <w:szCs w:val="20"/>
          <w:lang w:eastAsia="es-MX"/>
        </w:rPr>
        <w:t>.-</w:t>
      </w:r>
      <w:proofErr w:type="gramEnd"/>
      <w:r w:rsidRPr="00F47164">
        <w:rPr>
          <w:rFonts w:ascii="Arial" w:eastAsia="Times New Roman" w:hAnsi="Arial" w:cs="Arial"/>
          <w:sz w:val="20"/>
          <w:szCs w:val="20"/>
          <w:lang w:eastAsia="es-MX"/>
        </w:rPr>
        <w:t xml:space="preserve"> </w:t>
      </w:r>
      <w:r w:rsidRPr="00F47164">
        <w:rPr>
          <w:rFonts w:ascii="Arial" w:eastAsia="Times New Roman" w:hAnsi="Arial" w:cs="Arial"/>
          <w:b/>
          <w:sz w:val="20"/>
          <w:szCs w:val="20"/>
          <w:lang w:eastAsia="es-MX"/>
        </w:rPr>
        <w:t>Las medidas de nivelación son aquellas que buscan hacer efectivo el acceso de todas las personas a la igualdad real de oportunidades eliminando las barreras físicas, comunicacionales, normativas o de otro tipo, que obstaculizan el ejercicio de derechos y libertades prioritariamente a las mujeres</w:t>
      </w:r>
      <w:r w:rsidRPr="00F47164">
        <w:rPr>
          <w:rFonts w:ascii="Arial" w:eastAsia="Times New Roman" w:hAnsi="Arial" w:cs="Arial"/>
          <w:sz w:val="20"/>
          <w:szCs w:val="20"/>
          <w:lang w:eastAsia="es-MX"/>
        </w:rPr>
        <w:t xml:space="preserve"> y a los grupos en situación de discriminación o vulnerabilidad.</w:t>
      </w:r>
    </w:p>
    <w:p w14:paraId="20955ED7" w14:textId="77777777" w:rsidR="00991189" w:rsidRPr="00F47164" w:rsidRDefault="00991189" w:rsidP="00991189">
      <w:pPr>
        <w:ind w:right="332"/>
        <w:jc w:val="both"/>
        <w:rPr>
          <w:rFonts w:ascii="Arial" w:eastAsia="Times New Roman" w:hAnsi="Arial" w:cs="Arial"/>
          <w:sz w:val="20"/>
          <w:szCs w:val="20"/>
          <w:lang w:eastAsia="es-MX"/>
        </w:rPr>
      </w:pPr>
    </w:p>
    <w:p w14:paraId="1D641EB2"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b/>
          <w:sz w:val="20"/>
          <w:szCs w:val="20"/>
          <w:lang w:eastAsia="es-MX"/>
        </w:rPr>
        <w:t xml:space="preserve">Artículo 15 </w:t>
      </w:r>
      <w:proofErr w:type="spellStart"/>
      <w:proofErr w:type="gramStart"/>
      <w:r w:rsidRPr="00F47164">
        <w:rPr>
          <w:rFonts w:ascii="Arial" w:eastAsia="Times New Roman" w:hAnsi="Arial" w:cs="Arial"/>
          <w:b/>
          <w:sz w:val="20"/>
          <w:szCs w:val="20"/>
          <w:lang w:eastAsia="es-MX"/>
        </w:rPr>
        <w:t>Quáter</w:t>
      </w:r>
      <w:proofErr w:type="spellEnd"/>
      <w:r w:rsidRPr="00F47164">
        <w:rPr>
          <w:rFonts w:ascii="Arial" w:eastAsia="Times New Roman" w:hAnsi="Arial" w:cs="Arial"/>
          <w:sz w:val="20"/>
          <w:szCs w:val="20"/>
          <w:lang w:eastAsia="es-MX"/>
        </w:rPr>
        <w:t>.-</w:t>
      </w:r>
      <w:proofErr w:type="gramEnd"/>
      <w:r w:rsidRPr="00F47164">
        <w:rPr>
          <w:rFonts w:ascii="Arial" w:eastAsia="Times New Roman" w:hAnsi="Arial" w:cs="Arial"/>
          <w:sz w:val="20"/>
          <w:szCs w:val="20"/>
          <w:lang w:eastAsia="es-MX"/>
        </w:rPr>
        <w:t xml:space="preserve"> Las medidas de nivelación incluyen, entre otras: </w:t>
      </w:r>
    </w:p>
    <w:p w14:paraId="24FA5C2C"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 xml:space="preserve">I. </w:t>
      </w:r>
      <w:r w:rsidRPr="00F47164">
        <w:rPr>
          <w:rFonts w:ascii="Arial" w:eastAsia="Times New Roman" w:hAnsi="Arial" w:cs="Arial"/>
          <w:b/>
          <w:sz w:val="20"/>
          <w:szCs w:val="20"/>
          <w:lang w:eastAsia="es-MX"/>
        </w:rPr>
        <w:t>Ajustes razonables en materia de accesibilidad física, de información y comunicaciones</w:t>
      </w:r>
      <w:r w:rsidRPr="00F47164">
        <w:rPr>
          <w:rFonts w:ascii="Arial" w:eastAsia="Times New Roman" w:hAnsi="Arial" w:cs="Arial"/>
          <w:sz w:val="20"/>
          <w:szCs w:val="20"/>
          <w:lang w:eastAsia="es-MX"/>
        </w:rPr>
        <w:t>;</w:t>
      </w:r>
    </w:p>
    <w:p w14:paraId="33AEBEBB" w14:textId="77777777" w:rsidR="00991189"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w:t>
      </w:r>
    </w:p>
    <w:p w14:paraId="51D7CEFE" w14:textId="77777777" w:rsidR="00991189" w:rsidRPr="00F47164" w:rsidRDefault="00991189" w:rsidP="00991189">
      <w:pPr>
        <w:ind w:left="567" w:right="332"/>
        <w:jc w:val="both"/>
        <w:rPr>
          <w:rFonts w:ascii="Arial" w:eastAsia="Times New Roman" w:hAnsi="Arial" w:cs="Arial"/>
          <w:sz w:val="20"/>
          <w:szCs w:val="20"/>
          <w:lang w:eastAsia="es-MX"/>
        </w:rPr>
      </w:pPr>
    </w:p>
    <w:p w14:paraId="5F2CD5EA"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b/>
          <w:sz w:val="20"/>
          <w:szCs w:val="20"/>
          <w:lang w:eastAsia="es-MX"/>
        </w:rPr>
        <w:t>Artículo 20.- Son atribuciones del Consejo</w:t>
      </w:r>
      <w:r w:rsidRPr="00F47164">
        <w:rPr>
          <w:rFonts w:ascii="Arial" w:eastAsia="Times New Roman" w:hAnsi="Arial" w:cs="Arial"/>
          <w:sz w:val="20"/>
          <w:szCs w:val="20"/>
          <w:lang w:eastAsia="es-MX"/>
        </w:rPr>
        <w:t xml:space="preserve">: </w:t>
      </w:r>
    </w:p>
    <w:p w14:paraId="56176492"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w:t>
      </w:r>
    </w:p>
    <w:p w14:paraId="5A7A2AD3"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 xml:space="preserve">XXXIII. </w:t>
      </w:r>
      <w:r w:rsidRPr="00F47164">
        <w:rPr>
          <w:rFonts w:ascii="Arial" w:eastAsia="Times New Roman" w:hAnsi="Arial" w:cs="Arial"/>
          <w:b/>
          <w:sz w:val="20"/>
          <w:szCs w:val="20"/>
          <w:lang w:eastAsia="es-MX"/>
        </w:rPr>
        <w:t>Promover el uso no sexista del lenguaje e introducir formas de comunicación incluyentes en el ámbito público y privado</w:t>
      </w:r>
      <w:r w:rsidRPr="00F47164">
        <w:rPr>
          <w:rFonts w:ascii="Arial" w:eastAsia="Times New Roman" w:hAnsi="Arial" w:cs="Arial"/>
          <w:sz w:val="20"/>
          <w:szCs w:val="20"/>
          <w:lang w:eastAsia="es-MX"/>
        </w:rPr>
        <w:t>;</w:t>
      </w:r>
    </w:p>
    <w:p w14:paraId="1BC9CF2D"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w:t>
      </w:r>
    </w:p>
    <w:p w14:paraId="281DA1C1" w14:textId="77777777" w:rsidR="00991189" w:rsidRPr="00F47164" w:rsidRDefault="00991189" w:rsidP="00991189">
      <w:pPr>
        <w:ind w:right="332"/>
        <w:jc w:val="both"/>
        <w:rPr>
          <w:rFonts w:ascii="Arial" w:eastAsia="Times New Roman" w:hAnsi="Arial" w:cs="Arial"/>
          <w:sz w:val="20"/>
          <w:szCs w:val="20"/>
          <w:lang w:eastAsia="es-MX"/>
        </w:rPr>
      </w:pPr>
    </w:p>
    <w:p w14:paraId="13D329A1" w14:textId="77777777" w:rsidR="00991189" w:rsidRPr="00F47164" w:rsidRDefault="00991189" w:rsidP="00991189">
      <w:pPr>
        <w:ind w:left="567" w:right="332"/>
        <w:jc w:val="center"/>
        <w:rPr>
          <w:rFonts w:ascii="Arial" w:eastAsia="Times New Roman" w:hAnsi="Arial" w:cs="Arial"/>
          <w:b/>
          <w:sz w:val="20"/>
          <w:szCs w:val="20"/>
          <w:lang w:eastAsia="es-MX"/>
        </w:rPr>
      </w:pPr>
      <w:r w:rsidRPr="00F47164">
        <w:rPr>
          <w:rFonts w:ascii="Arial" w:eastAsia="Times New Roman" w:hAnsi="Arial" w:cs="Arial"/>
          <w:b/>
          <w:sz w:val="20"/>
          <w:szCs w:val="20"/>
          <w:lang w:eastAsia="es-MX"/>
        </w:rPr>
        <w:t>Ley General para la Igualdad entre Mujeres y Hombres.</w:t>
      </w:r>
    </w:p>
    <w:p w14:paraId="26F0C807" w14:textId="77777777" w:rsidR="00991189" w:rsidRPr="00F47164" w:rsidRDefault="00991189" w:rsidP="00991189">
      <w:pPr>
        <w:ind w:left="567" w:right="332"/>
        <w:jc w:val="both"/>
        <w:rPr>
          <w:rFonts w:ascii="Arial" w:eastAsia="Times New Roman" w:hAnsi="Arial" w:cs="Arial"/>
          <w:sz w:val="20"/>
          <w:szCs w:val="20"/>
          <w:lang w:eastAsia="es-MX"/>
        </w:rPr>
      </w:pPr>
    </w:p>
    <w:p w14:paraId="7E367368"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b/>
          <w:sz w:val="20"/>
          <w:szCs w:val="20"/>
          <w:lang w:eastAsia="es-MX"/>
        </w:rPr>
        <w:t>Artículo 2.-</w:t>
      </w:r>
      <w:r w:rsidRPr="00F47164">
        <w:rPr>
          <w:rFonts w:eastAsia="Times New Roman"/>
          <w:sz w:val="20"/>
          <w:szCs w:val="20"/>
          <w:lang w:eastAsia="es-MX"/>
        </w:rPr>
        <w:t> </w:t>
      </w:r>
      <w:r w:rsidRPr="00F47164">
        <w:rPr>
          <w:rFonts w:ascii="Arial" w:eastAsia="Times New Roman" w:hAnsi="Arial" w:cs="Arial"/>
          <w:sz w:val="20"/>
          <w:szCs w:val="20"/>
          <w:lang w:eastAsia="es-MX"/>
        </w:rPr>
        <w:t>Son principios rectores de la presente Ley: la igualdad, la no discriminación, la equidad y todos aquellos contenidos en la Constitución Política de los Estados Unidos Mexicanos.</w:t>
      </w:r>
    </w:p>
    <w:p w14:paraId="09F645D6" w14:textId="77777777" w:rsidR="00991189" w:rsidRPr="00F47164" w:rsidRDefault="00991189" w:rsidP="00991189">
      <w:pPr>
        <w:ind w:left="567" w:right="332"/>
        <w:jc w:val="both"/>
        <w:rPr>
          <w:rFonts w:ascii="Arial" w:eastAsia="Times New Roman" w:hAnsi="Arial" w:cs="Arial"/>
          <w:sz w:val="20"/>
          <w:szCs w:val="20"/>
          <w:lang w:eastAsia="es-MX"/>
        </w:rPr>
      </w:pPr>
    </w:p>
    <w:p w14:paraId="47E1C955"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b/>
          <w:sz w:val="20"/>
          <w:szCs w:val="20"/>
          <w:lang w:eastAsia="es-MX"/>
        </w:rPr>
        <w:t>Artículo 6</w:t>
      </w:r>
      <w:r w:rsidRPr="00F47164">
        <w:rPr>
          <w:rFonts w:ascii="Arial" w:eastAsia="Times New Roman" w:hAnsi="Arial" w:cs="Arial"/>
          <w:sz w:val="20"/>
          <w:szCs w:val="20"/>
          <w:lang w:eastAsia="es-MX"/>
        </w:rPr>
        <w:t>.-</w:t>
      </w:r>
      <w:r w:rsidRPr="00F47164">
        <w:rPr>
          <w:rFonts w:eastAsia="Times New Roman"/>
          <w:sz w:val="20"/>
          <w:szCs w:val="20"/>
          <w:lang w:eastAsia="es-MX"/>
        </w:rPr>
        <w:t> </w:t>
      </w:r>
      <w:r w:rsidRPr="00F47164">
        <w:rPr>
          <w:rFonts w:ascii="Arial" w:eastAsia="Times New Roman" w:hAnsi="Arial" w:cs="Arial"/>
          <w:sz w:val="20"/>
          <w:szCs w:val="20"/>
          <w:lang w:eastAsia="es-MX"/>
        </w:rPr>
        <w:t>La igualdad entre mujeres y hombres implica la eliminación de toda forma de discriminación en cualquiera de los ámbitos de la vida, que se genere por pertenecer a cualquier sexo.</w:t>
      </w:r>
    </w:p>
    <w:p w14:paraId="3BF58A43" w14:textId="77777777" w:rsidR="00991189" w:rsidRPr="00F47164" w:rsidRDefault="00991189" w:rsidP="00991189">
      <w:pPr>
        <w:ind w:right="332"/>
        <w:jc w:val="both"/>
        <w:rPr>
          <w:rFonts w:ascii="Arial" w:eastAsia="Times New Roman" w:hAnsi="Arial" w:cs="Arial"/>
          <w:sz w:val="20"/>
          <w:szCs w:val="20"/>
          <w:lang w:eastAsia="es-MX"/>
        </w:rPr>
      </w:pPr>
    </w:p>
    <w:p w14:paraId="55C5F1A6"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b/>
          <w:sz w:val="20"/>
          <w:szCs w:val="20"/>
          <w:lang w:eastAsia="es-MX"/>
        </w:rPr>
        <w:lastRenderedPageBreak/>
        <w:t>Artículo 7</w:t>
      </w:r>
      <w:r w:rsidRPr="00F47164">
        <w:rPr>
          <w:rFonts w:ascii="Arial" w:eastAsia="Times New Roman" w:hAnsi="Arial" w:cs="Arial"/>
          <w:sz w:val="20"/>
          <w:szCs w:val="20"/>
          <w:lang w:eastAsia="es-MX"/>
        </w:rPr>
        <w:t>.-</w:t>
      </w:r>
      <w:r w:rsidRPr="00F47164">
        <w:rPr>
          <w:rFonts w:eastAsia="Times New Roman"/>
          <w:sz w:val="20"/>
          <w:szCs w:val="20"/>
          <w:lang w:eastAsia="es-MX"/>
        </w:rPr>
        <w:t> </w:t>
      </w:r>
      <w:r w:rsidRPr="00F47164">
        <w:rPr>
          <w:rFonts w:ascii="Arial" w:eastAsia="Times New Roman" w:hAnsi="Arial" w:cs="Arial"/>
          <w:sz w:val="20"/>
          <w:szCs w:val="20"/>
          <w:lang w:eastAsia="es-MX"/>
        </w:rPr>
        <w:t>La Federación, los Estados, el Distrito Federal y los Municipios ejercerán sus atribuciones en materia de esta Ley de conformidad con la distribución de competencias previstas en la misma y en otros ordenamientos aplicables a los tres órdenes de gobierno.</w:t>
      </w:r>
    </w:p>
    <w:p w14:paraId="25D447D2" w14:textId="77777777" w:rsidR="00991189" w:rsidRPr="00F47164" w:rsidRDefault="00991189" w:rsidP="00991189">
      <w:pPr>
        <w:ind w:right="332"/>
        <w:jc w:val="both"/>
        <w:rPr>
          <w:rFonts w:ascii="Arial" w:eastAsia="Times New Roman" w:hAnsi="Arial" w:cs="Arial"/>
          <w:b/>
          <w:sz w:val="20"/>
          <w:szCs w:val="20"/>
          <w:lang w:eastAsia="es-MX"/>
        </w:rPr>
      </w:pPr>
    </w:p>
    <w:p w14:paraId="5BD406F3"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b/>
          <w:sz w:val="20"/>
          <w:szCs w:val="20"/>
          <w:lang w:eastAsia="es-MX"/>
        </w:rPr>
        <w:t>Artículo 17</w:t>
      </w:r>
      <w:r w:rsidRPr="00F47164">
        <w:rPr>
          <w:rFonts w:ascii="Arial" w:eastAsia="Times New Roman" w:hAnsi="Arial" w:cs="Arial"/>
          <w:sz w:val="20"/>
          <w:szCs w:val="20"/>
          <w:lang w:eastAsia="es-MX"/>
        </w:rPr>
        <w:t>.-</w:t>
      </w:r>
      <w:r w:rsidRPr="00F47164">
        <w:rPr>
          <w:rFonts w:eastAsia="Times New Roman"/>
          <w:sz w:val="20"/>
          <w:szCs w:val="20"/>
          <w:lang w:eastAsia="es-MX"/>
        </w:rPr>
        <w:t> </w:t>
      </w:r>
      <w:r w:rsidRPr="00F47164">
        <w:rPr>
          <w:rFonts w:ascii="Arial" w:eastAsia="Times New Roman" w:hAnsi="Arial" w:cs="Arial"/>
          <w:sz w:val="20"/>
          <w:szCs w:val="20"/>
          <w:lang w:eastAsia="es-MX"/>
        </w:rPr>
        <w:t>La Política Nacional en Materia de Igualdad entre mujeres y hombres deberá establecer las acciones conducentes a lograr la igualdad sustantiva en el ámbito, económico, político, social y cultural.</w:t>
      </w:r>
    </w:p>
    <w:p w14:paraId="701B72F0"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w:t>
      </w:r>
    </w:p>
    <w:p w14:paraId="68155925" w14:textId="77777777" w:rsidR="00991189" w:rsidRPr="00F47164" w:rsidRDefault="00991189" w:rsidP="00991189">
      <w:pPr>
        <w:ind w:left="567" w:right="332"/>
        <w:jc w:val="both"/>
        <w:rPr>
          <w:rFonts w:ascii="Arial" w:eastAsia="Times New Roman" w:hAnsi="Arial" w:cs="Arial"/>
          <w:sz w:val="20"/>
          <w:szCs w:val="20"/>
          <w:lang w:eastAsia="es-MX"/>
        </w:rPr>
      </w:pPr>
    </w:p>
    <w:p w14:paraId="1609D94E"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b/>
          <w:sz w:val="20"/>
          <w:szCs w:val="20"/>
          <w:lang w:eastAsia="es-MX"/>
        </w:rPr>
        <w:t>Artículo 36</w:t>
      </w:r>
      <w:r w:rsidRPr="00F47164">
        <w:rPr>
          <w:rFonts w:ascii="Arial" w:eastAsia="Times New Roman" w:hAnsi="Arial" w:cs="Arial"/>
          <w:sz w:val="20"/>
          <w:szCs w:val="20"/>
          <w:lang w:eastAsia="es-MX"/>
        </w:rPr>
        <w:t>.-</w:t>
      </w:r>
      <w:r w:rsidRPr="00F47164">
        <w:rPr>
          <w:rFonts w:eastAsia="Times New Roman"/>
          <w:sz w:val="20"/>
          <w:szCs w:val="20"/>
          <w:lang w:eastAsia="es-MX"/>
        </w:rPr>
        <w:t> </w:t>
      </w:r>
      <w:r w:rsidRPr="00F47164">
        <w:rPr>
          <w:rFonts w:ascii="Arial" w:eastAsia="Times New Roman" w:hAnsi="Arial" w:cs="Arial"/>
          <w:sz w:val="20"/>
          <w:szCs w:val="20"/>
          <w:lang w:eastAsia="es-MX"/>
        </w:rPr>
        <w:t>Para los efectos de lo previsto en el artículo anterior, las autoridades correspondientes desarrollarán las siguientes acciones:</w:t>
      </w:r>
    </w:p>
    <w:p w14:paraId="12E2384A"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  […]</w:t>
      </w:r>
    </w:p>
    <w:p w14:paraId="0B963625"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  III. Evaluar por medio del área competente de la Comisión Nacional de los Derechos Humanos, la participación equilibrada entre mujeres y hombres en los cargos de elección popular;</w:t>
      </w:r>
    </w:p>
    <w:p w14:paraId="1CA7D2F4"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  […]</w:t>
      </w:r>
    </w:p>
    <w:p w14:paraId="6D54A63E"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  V. Fomentar la participación equitativa de mujeres y hombres en altos cargos públicos;</w:t>
      </w:r>
    </w:p>
    <w:p w14:paraId="637A7CED"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  […]</w:t>
      </w:r>
    </w:p>
    <w:p w14:paraId="6D177938"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  </w:t>
      </w:r>
      <w:r w:rsidRPr="00F47164">
        <w:rPr>
          <w:rFonts w:ascii="Arial" w:eastAsia="Times New Roman" w:hAnsi="Arial" w:cs="Arial"/>
          <w:b/>
          <w:sz w:val="20"/>
          <w:szCs w:val="20"/>
          <w:lang w:eastAsia="es-MX"/>
        </w:rPr>
        <w:t>VI. Promover la eliminación de estereotipos establecidos en función del sexo</w:t>
      </w:r>
      <w:r w:rsidRPr="00F47164">
        <w:rPr>
          <w:rFonts w:ascii="Arial" w:eastAsia="Times New Roman" w:hAnsi="Arial" w:cs="Arial"/>
          <w:sz w:val="20"/>
          <w:szCs w:val="20"/>
          <w:lang w:eastAsia="es-MX"/>
        </w:rPr>
        <w:t>.</w:t>
      </w:r>
    </w:p>
    <w:p w14:paraId="3892537A" w14:textId="77777777" w:rsidR="00991189" w:rsidRPr="00F47164" w:rsidRDefault="00991189" w:rsidP="00991189">
      <w:pPr>
        <w:rPr>
          <w:sz w:val="20"/>
          <w:szCs w:val="20"/>
        </w:rPr>
      </w:pPr>
    </w:p>
    <w:p w14:paraId="60994C28" w14:textId="77777777" w:rsidR="00991189" w:rsidRPr="00F47164" w:rsidRDefault="00991189" w:rsidP="00991189">
      <w:pPr>
        <w:ind w:left="567" w:right="332"/>
        <w:jc w:val="center"/>
        <w:rPr>
          <w:rFonts w:ascii="Arial" w:eastAsia="Times New Roman" w:hAnsi="Arial" w:cs="Arial"/>
          <w:sz w:val="20"/>
          <w:szCs w:val="20"/>
          <w:lang w:eastAsia="es-MX"/>
        </w:rPr>
      </w:pPr>
      <w:r w:rsidRPr="00F47164">
        <w:rPr>
          <w:rFonts w:ascii="Arial" w:eastAsia="Times New Roman" w:hAnsi="Arial" w:cs="Arial"/>
          <w:b/>
          <w:sz w:val="20"/>
          <w:szCs w:val="20"/>
          <w:lang w:eastAsia="es-MX"/>
        </w:rPr>
        <w:t>Constitución Política del Estado Libre y Soberano de Puebla</w:t>
      </w:r>
      <w:r w:rsidRPr="00F47164">
        <w:rPr>
          <w:rFonts w:ascii="Arial" w:eastAsia="Times New Roman" w:hAnsi="Arial" w:cs="Arial"/>
          <w:sz w:val="20"/>
          <w:szCs w:val="20"/>
          <w:lang w:eastAsia="es-MX"/>
        </w:rPr>
        <w:t xml:space="preserve"> </w:t>
      </w:r>
    </w:p>
    <w:p w14:paraId="740B7664" w14:textId="77777777" w:rsidR="00991189" w:rsidRPr="00F47164" w:rsidRDefault="00991189" w:rsidP="00991189">
      <w:pPr>
        <w:ind w:right="332"/>
        <w:rPr>
          <w:rFonts w:ascii="Arial" w:eastAsia="Times New Roman" w:hAnsi="Arial" w:cs="Arial"/>
          <w:sz w:val="20"/>
          <w:szCs w:val="20"/>
          <w:lang w:eastAsia="es-MX"/>
        </w:rPr>
      </w:pPr>
    </w:p>
    <w:p w14:paraId="76C9CEB0" w14:textId="77777777" w:rsidR="00991189" w:rsidRPr="00F47164" w:rsidRDefault="00991189" w:rsidP="00991189">
      <w:pPr>
        <w:ind w:left="567" w:right="332"/>
        <w:rPr>
          <w:rFonts w:ascii="Arial" w:eastAsia="Times New Roman" w:hAnsi="Arial" w:cs="Arial"/>
          <w:b/>
          <w:sz w:val="20"/>
          <w:szCs w:val="20"/>
          <w:lang w:eastAsia="es-MX"/>
        </w:rPr>
      </w:pPr>
      <w:r w:rsidRPr="00F47164">
        <w:rPr>
          <w:rFonts w:ascii="Arial" w:eastAsia="Times New Roman" w:hAnsi="Arial" w:cs="Arial"/>
          <w:b/>
          <w:sz w:val="20"/>
          <w:szCs w:val="20"/>
          <w:lang w:eastAsia="es-MX"/>
        </w:rPr>
        <w:t>Artículo 11</w:t>
      </w:r>
    </w:p>
    <w:p w14:paraId="370B3996"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b/>
          <w:sz w:val="20"/>
          <w:szCs w:val="20"/>
          <w:lang w:eastAsia="es-MX"/>
        </w:rPr>
        <w:t>Las mujeres y los hombres son iguales ante la Ley</w:t>
      </w:r>
      <w:r w:rsidRPr="00F47164">
        <w:rPr>
          <w:rFonts w:ascii="Arial" w:eastAsia="Times New Roman" w:hAnsi="Arial" w:cs="Arial"/>
          <w:sz w:val="20"/>
          <w:szCs w:val="20"/>
          <w:lang w:eastAsia="es-MX"/>
        </w:rPr>
        <w:t>. En el Estado de Puebla se reconoce el valor de la igualdad radicado en el respeto a las diferencias y a la libertad.</w:t>
      </w:r>
    </w:p>
    <w:p w14:paraId="44AD0EE0" w14:textId="77777777" w:rsidR="00991189" w:rsidRPr="00F47164" w:rsidRDefault="00991189" w:rsidP="00991189">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 xml:space="preserve">Queda prohibida toda acción tendiente al menoscabo de los derechos humanos, </w:t>
      </w:r>
      <w:proofErr w:type="gramStart"/>
      <w:r w:rsidRPr="00F47164">
        <w:rPr>
          <w:rFonts w:ascii="Arial" w:eastAsia="Times New Roman" w:hAnsi="Arial" w:cs="Arial"/>
          <w:sz w:val="20"/>
          <w:szCs w:val="20"/>
          <w:lang w:eastAsia="es-MX"/>
        </w:rPr>
        <w:t>en razón de</w:t>
      </w:r>
      <w:proofErr w:type="gramEnd"/>
      <w:r w:rsidRPr="00F47164">
        <w:rPr>
          <w:rFonts w:ascii="Arial" w:eastAsia="Times New Roman" w:hAnsi="Arial" w:cs="Arial"/>
          <w:sz w:val="20"/>
          <w:szCs w:val="20"/>
          <w:lang w:eastAsia="es-MX"/>
        </w:rPr>
        <w:t xml:space="preserve"> discriminación por raza, origen étnico o nacional, género, edad, discapacidad, condición social o económica, condiciones de salud, preferencias sexuales, filiación, instrucción y nivel cultural, apariencia física, estado civil, creencia religiosa, ideología política, opiniones expresadas, o cualquier otra que atente contra la dignidad, la libertad o la igualdad</w:t>
      </w:r>
    </w:p>
    <w:p w14:paraId="3E2089FB" w14:textId="77777777" w:rsidR="00991189" w:rsidRDefault="00991189" w:rsidP="00991189">
      <w:pPr>
        <w:shd w:val="clear" w:color="auto" w:fill="FFFFFF"/>
        <w:spacing w:after="0" w:line="240" w:lineRule="auto"/>
        <w:jc w:val="both"/>
        <w:rPr>
          <w:rFonts w:ascii="Arial" w:hAnsi="Arial" w:cs="Arial"/>
          <w:b/>
          <w:sz w:val="24"/>
          <w:szCs w:val="24"/>
        </w:rPr>
      </w:pPr>
    </w:p>
    <w:p w14:paraId="015A3D86" w14:textId="77777777" w:rsidR="00991189" w:rsidRPr="00840EE3" w:rsidRDefault="00991189" w:rsidP="00991189">
      <w:pPr>
        <w:shd w:val="clear" w:color="auto" w:fill="FFFFFF"/>
        <w:spacing w:after="0" w:line="240" w:lineRule="auto"/>
        <w:jc w:val="both"/>
        <w:rPr>
          <w:rFonts w:ascii="Arial" w:hAnsi="Arial" w:cs="Arial"/>
          <w:b/>
          <w:sz w:val="24"/>
          <w:szCs w:val="24"/>
        </w:rPr>
      </w:pPr>
    </w:p>
    <w:p w14:paraId="7DF70143" w14:textId="77777777" w:rsidR="00991189" w:rsidRPr="00840EE3" w:rsidRDefault="00991189" w:rsidP="00991189">
      <w:pPr>
        <w:pStyle w:val="Prrafodelista"/>
        <w:numPr>
          <w:ilvl w:val="0"/>
          <w:numId w:val="3"/>
        </w:numPr>
        <w:shd w:val="clear" w:color="auto" w:fill="FFFFFF"/>
        <w:jc w:val="both"/>
        <w:rPr>
          <w:rFonts w:ascii="Arial" w:hAnsi="Arial" w:cs="Arial"/>
          <w:b/>
        </w:rPr>
      </w:pPr>
      <w:r w:rsidRPr="00840EE3">
        <w:rPr>
          <w:rFonts w:ascii="Arial" w:hAnsi="Arial" w:cs="Arial"/>
          <w:b/>
        </w:rPr>
        <w:t>Marco Preliminar.</w:t>
      </w:r>
    </w:p>
    <w:p w14:paraId="07F86167" w14:textId="77777777" w:rsidR="00991189" w:rsidRPr="00840EE3" w:rsidRDefault="00991189" w:rsidP="00991189">
      <w:pPr>
        <w:spacing w:after="0" w:line="240" w:lineRule="auto"/>
        <w:ind w:firstLine="708"/>
        <w:jc w:val="both"/>
        <w:rPr>
          <w:rFonts w:ascii="Arial" w:eastAsia="Times New Roman" w:hAnsi="Arial" w:cs="Arial"/>
          <w:sz w:val="24"/>
          <w:szCs w:val="24"/>
          <w:lang w:eastAsia="es-MX"/>
        </w:rPr>
      </w:pPr>
    </w:p>
    <w:p w14:paraId="5EBD6763" w14:textId="77777777" w:rsidR="00991189" w:rsidRPr="00840EE3" w:rsidRDefault="00991189" w:rsidP="00991189">
      <w:pPr>
        <w:spacing w:after="0" w:line="240" w:lineRule="auto"/>
        <w:ind w:firstLine="708"/>
        <w:jc w:val="both"/>
        <w:rPr>
          <w:rFonts w:ascii="Arial" w:eastAsia="Times New Roman" w:hAnsi="Arial" w:cs="Arial"/>
          <w:sz w:val="24"/>
          <w:szCs w:val="24"/>
          <w:lang w:eastAsia="es-MX"/>
        </w:rPr>
      </w:pPr>
      <w:r w:rsidRPr="00840EE3">
        <w:rPr>
          <w:rFonts w:ascii="Arial" w:eastAsia="Times New Roman" w:hAnsi="Arial" w:cs="Arial"/>
          <w:sz w:val="24"/>
          <w:szCs w:val="24"/>
          <w:lang w:eastAsia="es-MX"/>
        </w:rPr>
        <w:t>Se estima conveniente para el análisis de los motivos de inconformidad, atendiendo a su naturaleza, elaborar un marco conceptual preliminar.</w:t>
      </w:r>
    </w:p>
    <w:p w14:paraId="233418EF" w14:textId="77777777" w:rsidR="00991189" w:rsidRPr="00840EE3" w:rsidRDefault="00991189" w:rsidP="00991189">
      <w:pPr>
        <w:spacing w:after="0" w:line="240" w:lineRule="auto"/>
        <w:ind w:firstLine="708"/>
        <w:jc w:val="both"/>
        <w:rPr>
          <w:rFonts w:ascii="Arial" w:eastAsia="Times New Roman" w:hAnsi="Arial" w:cs="Arial"/>
          <w:sz w:val="24"/>
          <w:szCs w:val="24"/>
          <w:lang w:eastAsia="es-MX"/>
        </w:rPr>
      </w:pPr>
    </w:p>
    <w:p w14:paraId="20AD45BE" w14:textId="77777777" w:rsidR="00991189" w:rsidRPr="00840EE3" w:rsidRDefault="00991189" w:rsidP="00991189">
      <w:pPr>
        <w:spacing w:after="0" w:line="240" w:lineRule="auto"/>
        <w:ind w:firstLine="708"/>
        <w:jc w:val="both"/>
        <w:rPr>
          <w:rFonts w:ascii="Arial" w:eastAsia="Times New Roman" w:hAnsi="Arial" w:cs="Arial"/>
          <w:sz w:val="24"/>
          <w:szCs w:val="24"/>
          <w:lang w:eastAsia="es-MX"/>
        </w:rPr>
      </w:pPr>
      <w:r w:rsidRPr="00840EE3">
        <w:rPr>
          <w:rFonts w:ascii="Arial" w:eastAsia="Times New Roman" w:hAnsi="Arial" w:cs="Arial"/>
          <w:sz w:val="24"/>
          <w:szCs w:val="24"/>
          <w:lang w:eastAsia="es-MX"/>
        </w:rPr>
        <w:lastRenderedPageBreak/>
        <w:t>Dentro de este marco, se debe precisar la génesis del desarrollo constitucional del principio de igualdad consagrado en el artículo cuarto constitucional.</w:t>
      </w:r>
    </w:p>
    <w:p w14:paraId="3259575A" w14:textId="77777777" w:rsidR="00991189" w:rsidRPr="00840EE3" w:rsidRDefault="00991189" w:rsidP="00991189">
      <w:pPr>
        <w:spacing w:after="0" w:line="240" w:lineRule="auto"/>
        <w:ind w:firstLine="708"/>
        <w:jc w:val="both"/>
        <w:rPr>
          <w:rFonts w:ascii="Arial" w:eastAsia="Times New Roman" w:hAnsi="Arial" w:cs="Arial"/>
          <w:sz w:val="24"/>
          <w:szCs w:val="24"/>
          <w:lang w:eastAsia="es-MX"/>
        </w:rPr>
      </w:pPr>
    </w:p>
    <w:p w14:paraId="2878DC8E" w14:textId="77777777" w:rsidR="00991189" w:rsidRPr="00840EE3" w:rsidRDefault="00991189" w:rsidP="00991189">
      <w:pPr>
        <w:spacing w:after="0" w:line="240" w:lineRule="auto"/>
        <w:ind w:firstLine="708"/>
        <w:jc w:val="both"/>
        <w:rPr>
          <w:rFonts w:ascii="Arial" w:eastAsia="Times New Roman" w:hAnsi="Arial" w:cs="Arial"/>
          <w:sz w:val="24"/>
          <w:szCs w:val="24"/>
          <w:lang w:eastAsia="es-MX"/>
        </w:rPr>
      </w:pPr>
      <w:r w:rsidRPr="00840EE3">
        <w:rPr>
          <w:rFonts w:ascii="Arial" w:eastAsia="Times New Roman" w:hAnsi="Arial" w:cs="Arial"/>
          <w:sz w:val="24"/>
          <w:szCs w:val="24"/>
          <w:lang w:eastAsia="es-MX"/>
        </w:rPr>
        <w:t>El artículo citado se adicionó mediante reforma publicada en el Diario Oficial de la Federación el treinta y uno de diciembre de mil novecientos setenta y cuatro, teniendo como base fáctica un largo procedimiento de lucha femenina, para lograr una igualdad jurídica entre hombres y mujeres.</w:t>
      </w:r>
    </w:p>
    <w:p w14:paraId="3FB20AA7" w14:textId="77777777" w:rsidR="00991189" w:rsidRPr="00840EE3" w:rsidRDefault="00991189" w:rsidP="00991189">
      <w:pPr>
        <w:spacing w:after="0" w:line="240" w:lineRule="auto"/>
        <w:ind w:firstLine="708"/>
        <w:jc w:val="both"/>
        <w:rPr>
          <w:rFonts w:ascii="Arial" w:eastAsia="Times New Roman" w:hAnsi="Arial" w:cs="Arial"/>
          <w:sz w:val="24"/>
          <w:szCs w:val="24"/>
          <w:lang w:eastAsia="es-MX"/>
        </w:rPr>
      </w:pPr>
    </w:p>
    <w:p w14:paraId="2C4F850E" w14:textId="77777777" w:rsidR="00991189" w:rsidRPr="00840EE3" w:rsidRDefault="00991189" w:rsidP="00991189">
      <w:pPr>
        <w:spacing w:after="0" w:line="240" w:lineRule="auto"/>
        <w:ind w:firstLine="708"/>
        <w:jc w:val="both"/>
        <w:rPr>
          <w:rFonts w:ascii="Arial" w:eastAsia="Times New Roman" w:hAnsi="Arial" w:cs="Arial"/>
          <w:sz w:val="24"/>
          <w:szCs w:val="24"/>
          <w:lang w:eastAsia="es-MX"/>
        </w:rPr>
      </w:pPr>
      <w:r w:rsidRPr="00840EE3">
        <w:rPr>
          <w:rFonts w:ascii="Arial" w:eastAsia="Times New Roman" w:hAnsi="Arial" w:cs="Arial"/>
          <w:sz w:val="24"/>
          <w:szCs w:val="24"/>
          <w:lang w:eastAsia="es-MX"/>
        </w:rPr>
        <w:t xml:space="preserve">En esa tesitura, de la correspondiente exposición de motivos de la iniciativa para la mencionada reforma a la Constitución Política de los Estados Unidos Mexicanos, enviada por el </w:t>
      </w:r>
      <w:proofErr w:type="gramStart"/>
      <w:r w:rsidRPr="00840EE3">
        <w:rPr>
          <w:rFonts w:ascii="Arial" w:eastAsia="Times New Roman" w:hAnsi="Arial" w:cs="Arial"/>
          <w:sz w:val="24"/>
          <w:szCs w:val="24"/>
          <w:lang w:eastAsia="es-MX"/>
        </w:rPr>
        <w:t>Presidente</w:t>
      </w:r>
      <w:proofErr w:type="gramEnd"/>
      <w:r w:rsidRPr="00840EE3">
        <w:rPr>
          <w:rFonts w:ascii="Arial" w:eastAsia="Times New Roman" w:hAnsi="Arial" w:cs="Arial"/>
          <w:sz w:val="24"/>
          <w:szCs w:val="24"/>
          <w:lang w:eastAsia="es-MX"/>
        </w:rPr>
        <w:t xml:space="preserve"> de la República al Congreso de la Unión, el veinticuatro de septiembre de mil novecientos setenta y cuatro, se destaca lo siguiente:</w:t>
      </w:r>
    </w:p>
    <w:p w14:paraId="01B04281" w14:textId="77777777" w:rsidR="00991189" w:rsidRDefault="00991189" w:rsidP="00991189">
      <w:pPr>
        <w:ind w:left="567" w:right="332"/>
        <w:jc w:val="both"/>
        <w:rPr>
          <w:rFonts w:ascii="Arial" w:eastAsia="Times New Roman" w:hAnsi="Arial" w:cs="Arial"/>
          <w:lang w:eastAsia="es-MX"/>
        </w:rPr>
      </w:pPr>
    </w:p>
    <w:p w14:paraId="61F40F3A" w14:textId="77777777" w:rsidR="00991189" w:rsidRPr="000A556C" w:rsidRDefault="00991189" w:rsidP="00991189">
      <w:pPr>
        <w:ind w:left="567" w:right="332"/>
        <w:jc w:val="both"/>
        <w:rPr>
          <w:rFonts w:ascii="Arial" w:eastAsia="Times New Roman" w:hAnsi="Arial" w:cs="Arial"/>
          <w:sz w:val="20"/>
          <w:szCs w:val="20"/>
          <w:lang w:eastAsia="es-MX"/>
        </w:rPr>
      </w:pPr>
      <w:r w:rsidRPr="000A556C">
        <w:rPr>
          <w:rFonts w:ascii="Arial" w:eastAsia="Times New Roman" w:hAnsi="Arial" w:cs="Arial"/>
          <w:sz w:val="20"/>
          <w:szCs w:val="20"/>
          <w:lang w:eastAsia="es-MX"/>
        </w:rPr>
        <w:t>“Dentro de este marco de intereses y tareas, la Revolución Mexicana promovió la integración solidaria de la mujer al proceso político, de manera que aquélla participase, con libertad y responsabilidad, al lado del varón, en la toma de las grandes decisiones nacionales. Para ello, en 1953 se reformó el artículo 34 de la Constitución General de la República a fin de conferir plenitud de derechos políticos a la mujer y de expresar, de este modo, la decisión popular de conceder a los mexicanos, sin distinción de sexo, la elevada calidad de ciudadanos.</w:t>
      </w:r>
    </w:p>
    <w:p w14:paraId="6AF8FF09" w14:textId="77777777" w:rsidR="00991189" w:rsidRPr="000A556C" w:rsidRDefault="00991189" w:rsidP="00991189">
      <w:pPr>
        <w:ind w:left="567" w:right="332"/>
        <w:jc w:val="both"/>
        <w:rPr>
          <w:rFonts w:ascii="Arial" w:eastAsia="Times New Roman" w:hAnsi="Arial" w:cs="Arial"/>
          <w:sz w:val="20"/>
          <w:szCs w:val="20"/>
          <w:lang w:eastAsia="es-MX"/>
        </w:rPr>
      </w:pPr>
    </w:p>
    <w:p w14:paraId="6D5CDA61" w14:textId="77777777" w:rsidR="00991189" w:rsidRPr="000A556C" w:rsidRDefault="00991189" w:rsidP="00991189">
      <w:pPr>
        <w:ind w:left="567" w:right="332"/>
        <w:jc w:val="both"/>
        <w:rPr>
          <w:rFonts w:ascii="Arial" w:eastAsia="Times New Roman" w:hAnsi="Arial" w:cs="Arial"/>
          <w:sz w:val="20"/>
          <w:szCs w:val="20"/>
          <w:lang w:eastAsia="es-MX"/>
        </w:rPr>
      </w:pPr>
      <w:r w:rsidRPr="000A556C">
        <w:rPr>
          <w:rFonts w:ascii="Arial" w:eastAsia="Times New Roman" w:hAnsi="Arial" w:cs="Arial"/>
          <w:sz w:val="20"/>
          <w:szCs w:val="20"/>
          <w:lang w:eastAsia="es-MX"/>
        </w:rPr>
        <w:t xml:space="preserve">Reconocida la aptitud política de la mujer, la Constitución Federal </w:t>
      </w:r>
      <w:proofErr w:type="gramStart"/>
      <w:r w:rsidRPr="000A556C">
        <w:rPr>
          <w:rFonts w:ascii="Arial" w:eastAsia="Times New Roman" w:hAnsi="Arial" w:cs="Arial"/>
          <w:sz w:val="20"/>
          <w:szCs w:val="20"/>
          <w:lang w:eastAsia="es-MX"/>
        </w:rPr>
        <w:t>conservó</w:t>
      </w:r>
      <w:proofErr w:type="gramEnd"/>
      <w:r w:rsidRPr="000A556C">
        <w:rPr>
          <w:rFonts w:ascii="Arial" w:eastAsia="Times New Roman" w:hAnsi="Arial" w:cs="Arial"/>
          <w:sz w:val="20"/>
          <w:szCs w:val="20"/>
          <w:lang w:eastAsia="es-MX"/>
        </w:rPr>
        <w:t xml:space="preserve"> no obstante, diversas normas proteccionistas, ciertamente justificadas en una época en que resultaba excepcional, casi insólito, que las mujeres asumieran tareas de responsabilidad social pública. Hoy día, la situación general se ha modificado profundamente y por ello resulta indispensable proceder a una completa revisión de los ordenamientos que, en una u otro ámbito, contemplan la participación de la mujer en los procesos educativos, cultural, económico y social […]</w:t>
      </w:r>
    </w:p>
    <w:p w14:paraId="1E329A79" w14:textId="77777777" w:rsidR="00991189" w:rsidRPr="000A556C" w:rsidRDefault="00991189" w:rsidP="00991189">
      <w:pPr>
        <w:ind w:left="567" w:right="332"/>
        <w:jc w:val="both"/>
        <w:rPr>
          <w:rFonts w:ascii="Arial" w:eastAsia="Times New Roman" w:hAnsi="Arial" w:cs="Arial"/>
          <w:sz w:val="20"/>
          <w:szCs w:val="20"/>
          <w:lang w:eastAsia="es-MX"/>
        </w:rPr>
      </w:pPr>
    </w:p>
    <w:p w14:paraId="165CE8B4" w14:textId="77777777" w:rsidR="00991189" w:rsidRPr="000A556C" w:rsidRDefault="00991189" w:rsidP="00991189">
      <w:pPr>
        <w:ind w:left="567" w:right="332"/>
        <w:jc w:val="both"/>
        <w:rPr>
          <w:rFonts w:ascii="Arial" w:eastAsia="Times New Roman" w:hAnsi="Arial" w:cs="Arial"/>
          <w:sz w:val="20"/>
          <w:szCs w:val="20"/>
          <w:lang w:eastAsia="es-MX"/>
        </w:rPr>
      </w:pPr>
      <w:r w:rsidRPr="000A556C">
        <w:rPr>
          <w:rFonts w:ascii="Arial" w:eastAsia="Times New Roman" w:hAnsi="Arial" w:cs="Arial"/>
          <w:sz w:val="20"/>
          <w:szCs w:val="20"/>
          <w:lang w:eastAsia="es-MX"/>
        </w:rPr>
        <w:t>En efecto, no es por azar que el nuevo artículo cuarto que propongo a vuestra soberanía está precedido de la norma constitucional que regula la educación del pueblo mexicano. El artículo tercero de la Constitución de la República garantiza la educación fundamental de todas las generaciones orientándola a través de criterios de libertad, democracia, solidaridad nacional e internacional y convivencia humana; sus profundos ideales de fraternidad los enraíza en el sustrato igualitario y los fortalece en el rechazo de cualquier privilegio derivado de supuestas superioridades o jerarquías de razas, sectas, grupos, sexos o individuos.</w:t>
      </w:r>
    </w:p>
    <w:p w14:paraId="05580594" w14:textId="77777777" w:rsidR="00991189" w:rsidRPr="000A556C" w:rsidRDefault="00991189" w:rsidP="00991189">
      <w:pPr>
        <w:ind w:left="567" w:right="332"/>
        <w:jc w:val="both"/>
        <w:rPr>
          <w:rFonts w:ascii="Arial" w:eastAsia="Times New Roman" w:hAnsi="Arial" w:cs="Arial"/>
          <w:sz w:val="20"/>
          <w:szCs w:val="20"/>
          <w:lang w:eastAsia="es-MX"/>
        </w:rPr>
      </w:pPr>
    </w:p>
    <w:p w14:paraId="1CDABD7C" w14:textId="77777777" w:rsidR="00991189" w:rsidRPr="000A556C" w:rsidRDefault="00991189" w:rsidP="00991189">
      <w:pPr>
        <w:ind w:left="567" w:right="332"/>
        <w:jc w:val="both"/>
        <w:rPr>
          <w:rFonts w:ascii="Arial" w:eastAsia="Times New Roman" w:hAnsi="Arial" w:cs="Arial"/>
          <w:sz w:val="20"/>
          <w:szCs w:val="20"/>
          <w:lang w:eastAsia="es-MX"/>
        </w:rPr>
      </w:pPr>
      <w:r w:rsidRPr="000A556C">
        <w:rPr>
          <w:rFonts w:ascii="Arial" w:eastAsia="Times New Roman" w:hAnsi="Arial" w:cs="Arial"/>
          <w:sz w:val="20"/>
          <w:szCs w:val="20"/>
          <w:lang w:eastAsia="es-MX"/>
        </w:rPr>
        <w:t xml:space="preserve">Precisamente esta iniciativa enriquece la ideología libertaria y de solidaridad social de nuestra Constitución, ordenando la igualdad jurídica entre los sexos y enmarcándola entre los derechos a la educación y al trabajo; consagra la plena, indiscutible e impostergable igualdad de los varones y mujeres ante la ley, hace explícita una decisión de humanismo y solidaridad y recoge una demanda precisa e inequívoca de las mujeres. La elevación a norma constitucional de la iniciativa </w:t>
      </w:r>
      <w:proofErr w:type="gramStart"/>
      <w:r w:rsidRPr="000A556C">
        <w:rPr>
          <w:rFonts w:ascii="Arial" w:eastAsia="Times New Roman" w:hAnsi="Arial" w:cs="Arial"/>
          <w:sz w:val="20"/>
          <w:szCs w:val="20"/>
          <w:lang w:eastAsia="es-MX"/>
        </w:rPr>
        <w:t>presentada,</w:t>
      </w:r>
      <w:proofErr w:type="gramEnd"/>
      <w:r w:rsidRPr="000A556C">
        <w:rPr>
          <w:rFonts w:ascii="Arial" w:eastAsia="Times New Roman" w:hAnsi="Arial" w:cs="Arial"/>
          <w:sz w:val="20"/>
          <w:szCs w:val="20"/>
          <w:lang w:eastAsia="es-MX"/>
        </w:rPr>
        <w:t xml:space="preserve"> servirá de pauta para modificar leyes </w:t>
      </w:r>
      <w:r w:rsidRPr="000A556C">
        <w:rPr>
          <w:rFonts w:ascii="Arial" w:eastAsia="Times New Roman" w:hAnsi="Arial" w:cs="Arial"/>
          <w:sz w:val="20"/>
          <w:szCs w:val="20"/>
          <w:lang w:eastAsia="es-MX"/>
        </w:rPr>
        <w:lastRenderedPageBreak/>
        <w:t>secundarias, federales y locales, que incluyen para las mujeres modos sutiles de discriminación, congruentes con las condiciones de desigualdad que éstas sufren en la vida familiar y colectiva. De ahí, que el Gobierno de la República esté empeñado en elevar la calidad de vida de sus hombres y mujeres de igual manera y formar en la conciencia de cada mexicano el sentido pleno de su responsabilidad histórica frente a la existencia cotidiana. En ello, las mujeres deben ser factor determinante, para alcanzar junto con los varones la máxima capacidad para la aplicación de su inteligencia y la prevención racional del porvenir.</w:t>
      </w:r>
    </w:p>
    <w:p w14:paraId="0EA3F2CD" w14:textId="77777777" w:rsidR="00991189" w:rsidRPr="000A556C" w:rsidRDefault="00991189" w:rsidP="00991189">
      <w:pPr>
        <w:ind w:left="567" w:right="332"/>
        <w:jc w:val="both"/>
        <w:rPr>
          <w:rFonts w:ascii="Arial" w:eastAsia="Times New Roman" w:hAnsi="Arial" w:cs="Arial"/>
          <w:sz w:val="20"/>
          <w:szCs w:val="20"/>
          <w:lang w:eastAsia="es-MX"/>
        </w:rPr>
      </w:pPr>
    </w:p>
    <w:p w14:paraId="42A65127" w14:textId="77777777" w:rsidR="00991189" w:rsidRPr="000A556C" w:rsidRDefault="00991189" w:rsidP="00991189">
      <w:pPr>
        <w:ind w:left="567" w:right="332"/>
        <w:jc w:val="both"/>
        <w:rPr>
          <w:rFonts w:ascii="Arial" w:eastAsia="Times New Roman" w:hAnsi="Arial" w:cs="Arial"/>
          <w:sz w:val="20"/>
          <w:szCs w:val="20"/>
          <w:lang w:eastAsia="es-MX"/>
        </w:rPr>
      </w:pPr>
      <w:r w:rsidRPr="000A556C">
        <w:rPr>
          <w:rFonts w:ascii="Arial" w:eastAsia="Times New Roman" w:hAnsi="Arial" w:cs="Arial"/>
          <w:sz w:val="20"/>
          <w:szCs w:val="20"/>
          <w:lang w:eastAsia="es-MX"/>
        </w:rPr>
        <w:t>Para elevar el nivel de desarrollo en los más diversos órdenes, simultáneamente a la igualdad de hombres y mujeres, la iniciativa para incorporar la Constitución un nuevo artículo cuarto ordena a la ley proteger la organización y el desarrollo familiar. Es en el seno de la familia donde se conservan con más pureza las formas de convivencia que dan a la sociedad mexicana su carácter singular y donde se generan las más limpias y auténticas aspiraciones y transformaciones. No es aventurado afirmar que la familia mexicana suscribe diariamente el plebiscito de la nación, que su preservación es garantía de permanencia social y de legítimo cambio […]”</w:t>
      </w:r>
    </w:p>
    <w:p w14:paraId="0184253B" w14:textId="77777777" w:rsidR="00991189" w:rsidRDefault="00991189" w:rsidP="00991189">
      <w:pPr>
        <w:pStyle w:val="NormalWeb"/>
        <w:spacing w:before="0" w:after="0" w:line="360" w:lineRule="auto"/>
        <w:ind w:firstLine="709"/>
        <w:jc w:val="both"/>
        <w:rPr>
          <w:rFonts w:ascii="Univers" w:hAnsi="Univers" w:cs="Arial"/>
          <w:sz w:val="28"/>
          <w:szCs w:val="28"/>
        </w:rPr>
      </w:pPr>
    </w:p>
    <w:p w14:paraId="4594F6AA"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 xml:space="preserve">En la iniciativa de reforma a tal precepto, se propuso </w:t>
      </w:r>
      <w:r w:rsidRPr="000A556C">
        <w:rPr>
          <w:rFonts w:ascii="Arial" w:eastAsia="Times New Roman" w:hAnsi="Arial" w:cs="Arial"/>
          <w:b/>
          <w:sz w:val="24"/>
          <w:szCs w:val="24"/>
          <w:lang w:eastAsia="es-MX"/>
        </w:rPr>
        <w:t>elevar a la categoría de norma constitucional la igualdad jurídica entre mujeres y hombres, y se indicó que ésta serviría de pauta para modificar leyes secundarias, que tuvieran modos sutiles de discriminación de la mujer</w:t>
      </w:r>
      <w:r w:rsidRPr="000A556C">
        <w:rPr>
          <w:rFonts w:ascii="Arial" w:eastAsia="Times New Roman" w:hAnsi="Arial" w:cs="Arial"/>
          <w:sz w:val="24"/>
          <w:szCs w:val="24"/>
          <w:lang w:eastAsia="es-MX"/>
        </w:rPr>
        <w:t>.</w:t>
      </w:r>
    </w:p>
    <w:p w14:paraId="7EC7B45E"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p>
    <w:p w14:paraId="4E5F72EF"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De igual forma, del procedimiento legislativo de reforma se advierte que tuvo como finalidad facilitar la participación plena de la mujer en cuatro ámbitos esenciales: 1) Educativo; 2) Laboral; 3) Revalidación de la vida familiar; y 4</w:t>
      </w:r>
      <w:r w:rsidRPr="000A556C">
        <w:rPr>
          <w:rFonts w:ascii="Arial" w:eastAsia="Times New Roman" w:hAnsi="Arial" w:cs="Arial"/>
          <w:b/>
          <w:sz w:val="24"/>
          <w:szCs w:val="24"/>
          <w:lang w:eastAsia="es-MX"/>
        </w:rPr>
        <w:t>) Estructuras públicas o políticas</w:t>
      </w:r>
      <w:r w:rsidRPr="000A556C">
        <w:rPr>
          <w:rFonts w:ascii="Arial" w:eastAsia="Times New Roman" w:hAnsi="Arial" w:cs="Arial"/>
          <w:sz w:val="24"/>
          <w:szCs w:val="24"/>
          <w:lang w:eastAsia="es-MX"/>
        </w:rPr>
        <w:t>.</w:t>
      </w:r>
    </w:p>
    <w:p w14:paraId="3EC90D2C"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p>
    <w:p w14:paraId="420B1C5D"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 xml:space="preserve">Esto es, entre otros aspectos, se trató de garantizar la igualdad de oportunidades, para que la mujer intervenga activamente en la vida social, económica, política y jurídica del país, sin distinción alguna por causa de género, atendiendo fundamentalmente a su calidad jurídica de persona. </w:t>
      </w:r>
    </w:p>
    <w:p w14:paraId="3F4BEB49"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En ese sentido, la Constitución Política de los Estados Unidos Mexicanos establece que todos los seres humanos son iguales ante la ley, sin que pueda prevalecer discriminación alguna por razón de nacionalidad, raza, sexo, religión o cualquier otra condición o circunstancia personal o social, de manera que los poderes públicos han de tener en cuenta que los particulares que estén en la misma situación deben ser tratados igualmente, sin privilegio ni favor.</w:t>
      </w:r>
    </w:p>
    <w:p w14:paraId="5E8E1EA4"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p>
    <w:p w14:paraId="0D3A7297"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b/>
          <w:sz w:val="24"/>
          <w:szCs w:val="24"/>
          <w:lang w:eastAsia="es-MX"/>
        </w:rPr>
        <w:t>Por tanto, el principio de igualdad se configura como un valor superior del sistema jurídico nacional, lo que significa que ha de servir de criterio básico para la producción normativa y su posterior interpretación y aplicación</w:t>
      </w:r>
      <w:r w:rsidRPr="000A556C">
        <w:rPr>
          <w:rFonts w:ascii="Arial" w:eastAsia="Times New Roman" w:hAnsi="Arial" w:cs="Arial"/>
          <w:sz w:val="24"/>
          <w:szCs w:val="24"/>
          <w:lang w:eastAsia="es-MX"/>
        </w:rPr>
        <w:t>.</w:t>
      </w:r>
    </w:p>
    <w:p w14:paraId="164ACBBF"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p>
    <w:p w14:paraId="4E771D67"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 xml:space="preserve">La introducción constitucional del principio de igualdad en nuestro </w:t>
      </w:r>
      <w:proofErr w:type="gramStart"/>
      <w:r w:rsidRPr="000A556C">
        <w:rPr>
          <w:rFonts w:ascii="Arial" w:eastAsia="Times New Roman" w:hAnsi="Arial" w:cs="Arial"/>
          <w:sz w:val="24"/>
          <w:szCs w:val="24"/>
          <w:lang w:eastAsia="es-MX"/>
        </w:rPr>
        <w:t>país,</w:t>
      </w:r>
      <w:proofErr w:type="gramEnd"/>
      <w:r w:rsidRPr="000A556C">
        <w:rPr>
          <w:rFonts w:ascii="Arial" w:eastAsia="Times New Roman" w:hAnsi="Arial" w:cs="Arial"/>
          <w:sz w:val="24"/>
          <w:szCs w:val="24"/>
          <w:lang w:eastAsia="es-MX"/>
        </w:rPr>
        <w:t xml:space="preserve"> encuentra simetría con el desarrollo del citado principio en el plano internacional.</w:t>
      </w:r>
    </w:p>
    <w:p w14:paraId="4AAFC90A"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p>
    <w:p w14:paraId="54C06F8E"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Así, ya la Declaración Universal de Derechos Humanos, afirmaba -como pilar del desarrollo de las naciones- que todos los seres humanos nacen libres e iguales en dignidad y derechos y, dotados como están de razón y conciencia, se deben comportar fraternalmente los unos con los otros (artículo 1); asimismo, que toda persona tiene los derechos y libertades proclamados en la Declaración, sin distinción alguna, entre otras, por razón de sexo (artículo 2).</w:t>
      </w:r>
    </w:p>
    <w:p w14:paraId="75847C24"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p>
    <w:p w14:paraId="769B5DF2"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De igual forma, el Pacto Internacional de Derechos Civiles y Políticos, establece que cada uno de los Estados parte del Pacto se comprometen a respetar y a garantizar a todas las personas que estén en su territorio y bajo su jurisdicción no hacer distinción alguna, entre otras causas, por razón de sexo (artículo 2); y a garantizar a hombres y mujeres la igualdad en el goce de sus derechos civiles y políticos (artículo 3); en el entendido de que todas las personas son iguales ante la ley y tienen derecho sin discriminación a igual protección, ya sea entre otros motivos, por razón de sexo (artículo 26).</w:t>
      </w:r>
    </w:p>
    <w:p w14:paraId="41700A45"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p>
    <w:p w14:paraId="0246CE90"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 xml:space="preserve">Por su parte, la Declaración Americana de los Derechos y Deberes del Hombre, determinó que todas las personas son </w:t>
      </w:r>
    </w:p>
    <w:p w14:paraId="716F2774" w14:textId="77777777" w:rsidR="00991189" w:rsidRPr="000A556C" w:rsidRDefault="00991189" w:rsidP="00991189">
      <w:pPr>
        <w:spacing w:after="0" w:line="240" w:lineRule="auto"/>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iguales ante la Ley y tienen los derechos y deberes consagrados en la Declaración sin distinción de raza, sexo, idioma, credo ni otra alguna (preámbulo y numeral II).</w:t>
      </w:r>
    </w:p>
    <w:p w14:paraId="50496F60"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p>
    <w:p w14:paraId="2C428560"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Con relación a la Convención Americana sobre Derechos Humanos, de la cual cabe señalar que el Estado Mexicano está sujeto desde el veinticuatro de marzo de mil novecientos ochenta y uno, en la parte que interesa establece que, los Estados Partes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 además, en su artículo 24, expresamente determina que todas las personas son iguales ante la ley.</w:t>
      </w:r>
    </w:p>
    <w:p w14:paraId="0F038301"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p>
    <w:p w14:paraId="14C569A6"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p>
    <w:p w14:paraId="7472C631" w14:textId="77777777" w:rsidR="00991189" w:rsidRPr="000A556C" w:rsidRDefault="00991189" w:rsidP="00991189">
      <w:pPr>
        <w:pStyle w:val="Prrafodelista"/>
        <w:numPr>
          <w:ilvl w:val="0"/>
          <w:numId w:val="5"/>
        </w:numPr>
        <w:ind w:left="567"/>
        <w:jc w:val="both"/>
        <w:rPr>
          <w:rFonts w:ascii="Arial" w:hAnsi="Arial" w:cs="Arial"/>
          <w:b/>
        </w:rPr>
      </w:pPr>
      <w:r w:rsidRPr="000A556C">
        <w:rPr>
          <w:rFonts w:ascii="Arial" w:hAnsi="Arial" w:cs="Arial"/>
          <w:b/>
        </w:rPr>
        <w:t>Ejercicio Jurisdiccional Comunitario respecto del principio de igualdad.</w:t>
      </w:r>
    </w:p>
    <w:p w14:paraId="722A2B2D"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p>
    <w:p w14:paraId="56C75468"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Sobre el sentido y alcance de los preceptos convencionales citados, la Corte Interamericana de Derechos Humanos ha emitido diversos criterios, de entre los cuales, son de destacar los siguientes:</w:t>
      </w:r>
    </w:p>
    <w:p w14:paraId="37FE0BBF"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p>
    <w:p w14:paraId="281582CB" w14:textId="77777777" w:rsidR="00991189" w:rsidRDefault="00991189" w:rsidP="00991189">
      <w:pPr>
        <w:pStyle w:val="Prrafodelista"/>
        <w:numPr>
          <w:ilvl w:val="0"/>
          <w:numId w:val="4"/>
        </w:numPr>
        <w:ind w:left="284"/>
        <w:jc w:val="both"/>
        <w:rPr>
          <w:rFonts w:ascii="Arial" w:hAnsi="Arial" w:cs="Arial"/>
        </w:rPr>
      </w:pPr>
      <w:r w:rsidRPr="000A556C">
        <w:rPr>
          <w:rFonts w:ascii="Arial" w:hAnsi="Arial" w:cs="Arial"/>
        </w:rPr>
        <w:t xml:space="preserve">Sentencia emitida el veinticuatro de febrero de dos mil doce, en el caso denominado </w:t>
      </w:r>
      <w:proofErr w:type="spellStart"/>
      <w:r w:rsidRPr="000A556C">
        <w:rPr>
          <w:rFonts w:ascii="Arial" w:hAnsi="Arial" w:cs="Arial"/>
        </w:rPr>
        <w:t>Atala</w:t>
      </w:r>
      <w:proofErr w:type="spellEnd"/>
      <w:r w:rsidRPr="000A556C">
        <w:rPr>
          <w:rFonts w:ascii="Arial" w:hAnsi="Arial" w:cs="Arial"/>
        </w:rPr>
        <w:t xml:space="preserve"> Riffo y niñas vs. Chile, estableció lo siguiente:</w:t>
      </w:r>
    </w:p>
    <w:p w14:paraId="5C476881" w14:textId="77777777" w:rsidR="00991189" w:rsidRPr="000A556C" w:rsidRDefault="00991189" w:rsidP="00991189">
      <w:pPr>
        <w:pStyle w:val="Prrafodelista"/>
        <w:ind w:left="284"/>
        <w:jc w:val="both"/>
        <w:rPr>
          <w:rFonts w:ascii="Arial" w:hAnsi="Arial" w:cs="Arial"/>
        </w:rPr>
      </w:pPr>
    </w:p>
    <w:p w14:paraId="3A8116FF" w14:textId="77777777" w:rsidR="00991189" w:rsidRPr="000A556C" w:rsidRDefault="00991189" w:rsidP="00991189">
      <w:pPr>
        <w:ind w:left="567" w:right="332"/>
        <w:jc w:val="both"/>
        <w:rPr>
          <w:rFonts w:ascii="Arial" w:eastAsia="Times New Roman" w:hAnsi="Arial" w:cs="Arial"/>
          <w:sz w:val="20"/>
          <w:szCs w:val="20"/>
          <w:lang w:eastAsia="es-MX"/>
        </w:rPr>
      </w:pPr>
      <w:r w:rsidRPr="000A556C">
        <w:rPr>
          <w:rFonts w:ascii="Arial" w:eastAsia="Times New Roman" w:hAnsi="Arial" w:cs="Arial"/>
          <w:sz w:val="20"/>
          <w:szCs w:val="20"/>
          <w:lang w:eastAsia="es-MX"/>
        </w:rPr>
        <w:t>[…]</w:t>
      </w:r>
    </w:p>
    <w:p w14:paraId="055C1154" w14:textId="77777777" w:rsidR="00991189" w:rsidRPr="000A556C" w:rsidRDefault="00991189" w:rsidP="00991189">
      <w:pPr>
        <w:ind w:left="567" w:right="332"/>
        <w:jc w:val="both"/>
        <w:rPr>
          <w:rFonts w:ascii="Arial" w:eastAsia="Times New Roman" w:hAnsi="Arial" w:cs="Arial"/>
          <w:sz w:val="20"/>
          <w:szCs w:val="20"/>
          <w:lang w:eastAsia="es-MX"/>
        </w:rPr>
      </w:pPr>
      <w:r w:rsidRPr="000A556C">
        <w:rPr>
          <w:rFonts w:ascii="Arial" w:eastAsia="Times New Roman" w:hAnsi="Arial" w:cs="Arial"/>
          <w:sz w:val="20"/>
          <w:szCs w:val="20"/>
          <w:lang w:eastAsia="es-MX"/>
        </w:rPr>
        <w:t xml:space="preserve">79. </w:t>
      </w:r>
      <w:r w:rsidRPr="000A556C">
        <w:rPr>
          <w:rFonts w:ascii="Arial" w:eastAsia="Times New Roman" w:hAnsi="Arial" w:cs="Arial"/>
          <w:b/>
          <w:sz w:val="20"/>
          <w:szCs w:val="20"/>
          <w:lang w:eastAsia="es-MX"/>
        </w:rPr>
        <w:t xml:space="preserve">Sobre el principio de igualdad ante la ley y la no discriminación, la Corte ha señalado que la noción de igualdad se desprende directamente de la unidad de naturaleza del género humano y es inseparable de la dignidad esencial de la </w:t>
      </w:r>
      <w:r w:rsidRPr="000A556C">
        <w:rPr>
          <w:rFonts w:ascii="Arial" w:eastAsia="Times New Roman" w:hAnsi="Arial" w:cs="Arial"/>
          <w:b/>
          <w:sz w:val="20"/>
          <w:szCs w:val="20"/>
          <w:lang w:eastAsia="es-MX"/>
        </w:rPr>
        <w:lastRenderedPageBreak/>
        <w:t>persona, frente a la cual es incompatible toda situación que, por considerar superior a un determinado grupo, conduzca a tratarlo con privilegio; o que, a la inversa, por considerarlo inferior, lo trate con hostilidad o de cualquier forma lo discrimine del goce de derechos que sí se reconocen a quienes no se consideran incursos en tal situación</w:t>
      </w:r>
      <w:r w:rsidRPr="000A556C">
        <w:rPr>
          <w:rFonts w:ascii="Arial" w:eastAsia="Times New Roman" w:hAnsi="Arial" w:cs="Arial"/>
          <w:sz w:val="20"/>
          <w:szCs w:val="20"/>
          <w:lang w:eastAsia="es-MX"/>
        </w:rPr>
        <w:t xml:space="preserve">. La jurisprudencia de la Corte también ha indicado </w:t>
      </w:r>
      <w:proofErr w:type="gramStart"/>
      <w:r w:rsidRPr="000A556C">
        <w:rPr>
          <w:rFonts w:ascii="Arial" w:eastAsia="Times New Roman" w:hAnsi="Arial" w:cs="Arial"/>
          <w:sz w:val="20"/>
          <w:szCs w:val="20"/>
          <w:lang w:eastAsia="es-MX"/>
        </w:rPr>
        <w:t>que</w:t>
      </w:r>
      <w:proofErr w:type="gramEnd"/>
      <w:r w:rsidRPr="000A556C">
        <w:rPr>
          <w:rFonts w:ascii="Arial" w:eastAsia="Times New Roman" w:hAnsi="Arial" w:cs="Arial"/>
          <w:sz w:val="20"/>
          <w:szCs w:val="20"/>
          <w:lang w:eastAsia="es-MX"/>
        </w:rPr>
        <w:t xml:space="preserve"> en la actual etapa de la evolución del derecho internacional, el principio fundamental de igualdad y no discriminación ha ingresado en el dominio del </w:t>
      </w:r>
      <w:proofErr w:type="spellStart"/>
      <w:r w:rsidRPr="000A556C">
        <w:rPr>
          <w:rFonts w:ascii="Arial" w:eastAsia="Times New Roman" w:hAnsi="Arial" w:cs="Arial"/>
          <w:sz w:val="20"/>
          <w:szCs w:val="20"/>
          <w:lang w:eastAsia="es-MX"/>
        </w:rPr>
        <w:t>jus</w:t>
      </w:r>
      <w:proofErr w:type="spellEnd"/>
      <w:r w:rsidRPr="000A556C">
        <w:rPr>
          <w:rFonts w:ascii="Arial" w:eastAsia="Times New Roman" w:hAnsi="Arial" w:cs="Arial"/>
          <w:sz w:val="20"/>
          <w:szCs w:val="20"/>
          <w:lang w:eastAsia="es-MX"/>
        </w:rPr>
        <w:t xml:space="preserve"> cogens. Sobre él descansa el andamiaje jurídico del orden público nacional e internacional y permean todo el ordenamiento jurídico.</w:t>
      </w:r>
    </w:p>
    <w:p w14:paraId="38116B14" w14:textId="77777777" w:rsidR="00991189" w:rsidRPr="000A556C" w:rsidRDefault="00991189" w:rsidP="00991189">
      <w:pPr>
        <w:ind w:left="567" w:right="332"/>
        <w:jc w:val="both"/>
        <w:rPr>
          <w:rFonts w:ascii="Arial" w:eastAsia="Times New Roman" w:hAnsi="Arial" w:cs="Arial"/>
          <w:sz w:val="20"/>
          <w:szCs w:val="20"/>
          <w:lang w:eastAsia="es-MX"/>
        </w:rPr>
      </w:pPr>
      <w:r w:rsidRPr="000A556C">
        <w:rPr>
          <w:rFonts w:ascii="Arial" w:eastAsia="Times New Roman" w:hAnsi="Arial" w:cs="Arial"/>
          <w:sz w:val="20"/>
          <w:szCs w:val="20"/>
          <w:lang w:eastAsia="es-MX"/>
        </w:rPr>
        <w:t xml:space="preserve"> 80. Además, el Tribunal ha establecido que los Estados deben abstenerse de realizar acciones que de cualquier manera vayan dirigidas, directa o indirectamente, a crear situaciones de discriminación de jure o de facto. Los Estados están obligados a adoptar medidas positivas para revertir o cambiar situaciones discriminatorias existentes en sus sociedades, en perjuicio de determinado grupo de personas. Esto implica el deber especial de protección que el Estado debe ejercer con respecto a actuaciones y prácticas de terceros que, bajo su tolerancia o aquiescencia, creen, mantengan o favorezcan las situaciones discriminatorias.</w:t>
      </w:r>
    </w:p>
    <w:p w14:paraId="0F45B483" w14:textId="77777777" w:rsidR="00991189" w:rsidRPr="000A556C" w:rsidRDefault="00991189" w:rsidP="00991189">
      <w:pPr>
        <w:ind w:left="567" w:right="332"/>
        <w:jc w:val="both"/>
        <w:rPr>
          <w:rFonts w:ascii="Arial" w:eastAsia="Times New Roman" w:hAnsi="Arial" w:cs="Arial"/>
          <w:sz w:val="20"/>
          <w:szCs w:val="20"/>
          <w:lang w:eastAsia="es-MX"/>
        </w:rPr>
      </w:pPr>
      <w:r w:rsidRPr="000A556C">
        <w:rPr>
          <w:rFonts w:ascii="Arial" w:eastAsia="Times New Roman" w:hAnsi="Arial" w:cs="Arial"/>
          <w:sz w:val="20"/>
          <w:szCs w:val="20"/>
          <w:lang w:eastAsia="es-MX"/>
        </w:rPr>
        <w:t>[…]</w:t>
      </w:r>
    </w:p>
    <w:p w14:paraId="002ABBB1"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p>
    <w:p w14:paraId="026F2E53" w14:textId="77777777" w:rsidR="00991189" w:rsidRDefault="00991189" w:rsidP="00991189">
      <w:pPr>
        <w:pStyle w:val="Prrafodelista"/>
        <w:numPr>
          <w:ilvl w:val="0"/>
          <w:numId w:val="4"/>
        </w:numPr>
        <w:ind w:left="426"/>
        <w:jc w:val="both"/>
        <w:rPr>
          <w:rFonts w:ascii="Arial" w:hAnsi="Arial" w:cs="Arial"/>
        </w:rPr>
      </w:pPr>
      <w:r w:rsidRPr="000A556C">
        <w:rPr>
          <w:rFonts w:ascii="Arial" w:hAnsi="Arial" w:cs="Arial"/>
        </w:rPr>
        <w:t xml:space="preserve">Sentencia dictada en el Caso de las Niñas </w:t>
      </w:r>
      <w:proofErr w:type="spellStart"/>
      <w:r w:rsidRPr="000A556C">
        <w:rPr>
          <w:rFonts w:ascii="Arial" w:hAnsi="Arial" w:cs="Arial"/>
        </w:rPr>
        <w:t>Yean</w:t>
      </w:r>
      <w:proofErr w:type="spellEnd"/>
      <w:r w:rsidRPr="000A556C">
        <w:rPr>
          <w:rFonts w:ascii="Arial" w:hAnsi="Arial" w:cs="Arial"/>
        </w:rPr>
        <w:t xml:space="preserve"> y </w:t>
      </w:r>
      <w:proofErr w:type="spellStart"/>
      <w:r w:rsidRPr="000A556C">
        <w:rPr>
          <w:rFonts w:ascii="Arial" w:hAnsi="Arial" w:cs="Arial"/>
        </w:rPr>
        <w:t>Bosico</w:t>
      </w:r>
      <w:proofErr w:type="spellEnd"/>
      <w:r w:rsidRPr="000A556C">
        <w:rPr>
          <w:rFonts w:ascii="Arial" w:hAnsi="Arial" w:cs="Arial"/>
        </w:rPr>
        <w:t xml:space="preserve"> Vs. República Dominicana, </w:t>
      </w:r>
    </w:p>
    <w:p w14:paraId="7E50E265" w14:textId="77777777" w:rsidR="00991189" w:rsidRPr="000A556C" w:rsidRDefault="00991189" w:rsidP="00991189">
      <w:pPr>
        <w:pStyle w:val="Prrafodelista"/>
        <w:ind w:left="426"/>
        <w:jc w:val="both"/>
        <w:rPr>
          <w:rFonts w:ascii="Arial" w:hAnsi="Arial" w:cs="Arial"/>
        </w:rPr>
      </w:pPr>
    </w:p>
    <w:p w14:paraId="000A2668" w14:textId="77777777" w:rsidR="00991189" w:rsidRPr="000A556C" w:rsidRDefault="00991189" w:rsidP="00991189">
      <w:pPr>
        <w:ind w:left="567" w:right="332"/>
        <w:jc w:val="both"/>
        <w:rPr>
          <w:rFonts w:ascii="Arial" w:eastAsia="Times New Roman" w:hAnsi="Arial" w:cs="Arial"/>
          <w:sz w:val="20"/>
          <w:szCs w:val="20"/>
          <w:lang w:eastAsia="es-MX"/>
        </w:rPr>
      </w:pPr>
      <w:r w:rsidRPr="000A556C">
        <w:rPr>
          <w:rFonts w:ascii="Arial" w:eastAsia="Times New Roman" w:hAnsi="Arial" w:cs="Arial"/>
          <w:sz w:val="20"/>
          <w:szCs w:val="20"/>
          <w:lang w:eastAsia="es-MX"/>
        </w:rPr>
        <w:t>[…]</w:t>
      </w:r>
    </w:p>
    <w:p w14:paraId="207022CC" w14:textId="77777777" w:rsidR="00991189" w:rsidRPr="000A556C" w:rsidRDefault="00991189" w:rsidP="00991189">
      <w:pPr>
        <w:ind w:left="567" w:right="332"/>
        <w:jc w:val="both"/>
        <w:rPr>
          <w:rFonts w:ascii="Arial" w:eastAsia="Times New Roman" w:hAnsi="Arial" w:cs="Arial"/>
          <w:sz w:val="20"/>
          <w:szCs w:val="20"/>
          <w:lang w:eastAsia="es-MX"/>
        </w:rPr>
      </w:pPr>
      <w:r w:rsidRPr="000A556C">
        <w:rPr>
          <w:rFonts w:ascii="Arial" w:eastAsia="Times New Roman" w:hAnsi="Arial" w:cs="Arial"/>
          <w:sz w:val="20"/>
          <w:szCs w:val="20"/>
          <w:lang w:eastAsia="es-MX"/>
        </w:rPr>
        <w:t xml:space="preserve">141. La Corte considera que el principio de derecho imperativo de protección igualitaria y efectiva de la ley y no discriminación determina que los Estados, al regular los mecanismos de otorgamiento de la nacionalidad, deben abstenerse de producir regulaciones discriminatorias o que tengan efectos discriminatorios en los diferentes grupos de una población al momento de ejercer sus derechos. Además, </w:t>
      </w:r>
      <w:r w:rsidRPr="000A556C">
        <w:rPr>
          <w:rFonts w:ascii="Arial" w:eastAsia="Times New Roman" w:hAnsi="Arial" w:cs="Arial"/>
          <w:b/>
          <w:sz w:val="20"/>
          <w:szCs w:val="20"/>
          <w:lang w:eastAsia="es-MX"/>
        </w:rPr>
        <w:t>los Estados deben combatir las prácticas discriminatorias en todos sus niveles, en especial en los órganos públicos,</w:t>
      </w:r>
      <w:r w:rsidRPr="000A556C">
        <w:rPr>
          <w:rFonts w:ascii="Arial" w:eastAsia="Times New Roman" w:hAnsi="Arial" w:cs="Arial"/>
          <w:sz w:val="20"/>
          <w:szCs w:val="20"/>
          <w:lang w:eastAsia="es-MX"/>
        </w:rPr>
        <w:t xml:space="preserve"> y finalmente debe adoptar las medidas afirmativas necesarias para asegurar una efectiva igualdad ante la ley de todas las personas.</w:t>
      </w:r>
    </w:p>
    <w:p w14:paraId="08F3BCBD" w14:textId="77777777" w:rsidR="00991189" w:rsidRPr="000A556C" w:rsidRDefault="00991189" w:rsidP="00991189">
      <w:pPr>
        <w:spacing w:after="0" w:line="240" w:lineRule="auto"/>
        <w:ind w:left="567" w:right="332"/>
        <w:jc w:val="both"/>
        <w:rPr>
          <w:rFonts w:ascii="Arial" w:eastAsia="Times New Roman" w:hAnsi="Arial" w:cs="Arial"/>
          <w:sz w:val="20"/>
          <w:szCs w:val="20"/>
          <w:lang w:eastAsia="es-MX"/>
        </w:rPr>
      </w:pPr>
      <w:r w:rsidRPr="000A556C">
        <w:rPr>
          <w:rFonts w:ascii="Arial" w:eastAsia="Times New Roman" w:hAnsi="Arial" w:cs="Arial"/>
          <w:sz w:val="20"/>
          <w:szCs w:val="20"/>
          <w:lang w:eastAsia="es-MX"/>
        </w:rPr>
        <w:t>[…]</w:t>
      </w:r>
    </w:p>
    <w:p w14:paraId="099C4A7F" w14:textId="77777777" w:rsidR="00991189" w:rsidRDefault="00991189" w:rsidP="00991189">
      <w:pPr>
        <w:spacing w:after="0" w:line="240" w:lineRule="auto"/>
        <w:jc w:val="both"/>
        <w:rPr>
          <w:rFonts w:ascii="Arial" w:eastAsia="Times New Roman" w:hAnsi="Arial" w:cs="Arial"/>
          <w:sz w:val="27"/>
          <w:szCs w:val="27"/>
          <w:lang w:eastAsia="es-MX"/>
        </w:rPr>
      </w:pPr>
    </w:p>
    <w:p w14:paraId="4BE2A794" w14:textId="77777777" w:rsidR="00991189" w:rsidRPr="000A556C" w:rsidRDefault="00991189" w:rsidP="00991189">
      <w:pPr>
        <w:pStyle w:val="Prrafodelista"/>
        <w:numPr>
          <w:ilvl w:val="0"/>
          <w:numId w:val="4"/>
        </w:numPr>
        <w:ind w:left="425" w:hanging="357"/>
        <w:jc w:val="both"/>
        <w:rPr>
          <w:rFonts w:ascii="Arial" w:hAnsi="Arial" w:cs="Arial"/>
        </w:rPr>
      </w:pPr>
      <w:r w:rsidRPr="000A556C">
        <w:rPr>
          <w:rFonts w:ascii="Arial" w:hAnsi="Arial" w:cs="Arial"/>
        </w:rPr>
        <w:t xml:space="preserve">Sentencia dictada en el caso de la Comunidad Indígena </w:t>
      </w:r>
      <w:proofErr w:type="spellStart"/>
      <w:r w:rsidRPr="000A556C">
        <w:rPr>
          <w:rFonts w:ascii="Arial" w:hAnsi="Arial" w:cs="Arial"/>
        </w:rPr>
        <w:t>Xákmok</w:t>
      </w:r>
      <w:proofErr w:type="spellEnd"/>
      <w:r w:rsidRPr="000A556C">
        <w:rPr>
          <w:rFonts w:ascii="Arial" w:hAnsi="Arial" w:cs="Arial"/>
        </w:rPr>
        <w:t xml:space="preserve"> </w:t>
      </w:r>
      <w:proofErr w:type="spellStart"/>
      <w:r w:rsidRPr="000A556C">
        <w:rPr>
          <w:rFonts w:ascii="Arial" w:hAnsi="Arial" w:cs="Arial"/>
        </w:rPr>
        <w:t>Kásek</w:t>
      </w:r>
      <w:proofErr w:type="spellEnd"/>
      <w:r w:rsidRPr="000A556C">
        <w:rPr>
          <w:rFonts w:ascii="Arial" w:hAnsi="Arial" w:cs="Arial"/>
        </w:rPr>
        <w:t xml:space="preserve"> Vs. Paraguay, el veinticuatro de agosto de dos mil diez: </w:t>
      </w:r>
    </w:p>
    <w:p w14:paraId="5143B082" w14:textId="77777777" w:rsidR="00991189" w:rsidRPr="000A556C" w:rsidRDefault="00991189" w:rsidP="00991189">
      <w:pPr>
        <w:pStyle w:val="Prrafodelista"/>
        <w:ind w:left="426"/>
        <w:jc w:val="both"/>
        <w:rPr>
          <w:rFonts w:ascii="Arial" w:hAnsi="Arial" w:cs="Arial"/>
          <w:sz w:val="20"/>
          <w:szCs w:val="20"/>
        </w:rPr>
      </w:pPr>
    </w:p>
    <w:p w14:paraId="2CD7399A" w14:textId="77777777" w:rsidR="00991189" w:rsidRPr="000A556C" w:rsidRDefault="00991189" w:rsidP="00991189">
      <w:pPr>
        <w:spacing w:after="0" w:line="240" w:lineRule="auto"/>
        <w:ind w:left="567" w:right="332"/>
        <w:jc w:val="both"/>
        <w:rPr>
          <w:rFonts w:ascii="Arial" w:eastAsia="Times New Roman" w:hAnsi="Arial" w:cs="Arial"/>
          <w:sz w:val="20"/>
          <w:szCs w:val="20"/>
          <w:lang w:eastAsia="es-MX"/>
        </w:rPr>
      </w:pPr>
      <w:r w:rsidRPr="000A556C">
        <w:rPr>
          <w:rFonts w:ascii="Arial" w:eastAsia="Times New Roman" w:hAnsi="Arial" w:cs="Arial"/>
          <w:sz w:val="20"/>
          <w:szCs w:val="20"/>
          <w:lang w:eastAsia="es-MX"/>
        </w:rPr>
        <w:t>[…]</w:t>
      </w:r>
    </w:p>
    <w:p w14:paraId="57C9A2A2" w14:textId="77777777" w:rsidR="00991189" w:rsidRPr="000A556C" w:rsidRDefault="00991189" w:rsidP="00991189">
      <w:pPr>
        <w:spacing w:after="0" w:line="240" w:lineRule="auto"/>
        <w:ind w:left="567" w:right="332"/>
        <w:jc w:val="both"/>
        <w:rPr>
          <w:rFonts w:ascii="Arial" w:eastAsia="Times New Roman" w:hAnsi="Arial" w:cs="Arial"/>
          <w:sz w:val="20"/>
          <w:szCs w:val="20"/>
          <w:lang w:eastAsia="es-MX"/>
        </w:rPr>
      </w:pPr>
      <w:r w:rsidRPr="000A556C">
        <w:rPr>
          <w:rFonts w:ascii="Arial" w:eastAsia="Times New Roman" w:hAnsi="Arial" w:cs="Arial"/>
          <w:sz w:val="20"/>
          <w:szCs w:val="20"/>
          <w:lang w:eastAsia="es-MX"/>
        </w:rPr>
        <w:t xml:space="preserve">269. </w:t>
      </w:r>
      <w:r w:rsidRPr="000A556C">
        <w:rPr>
          <w:rFonts w:ascii="Arial" w:eastAsia="Times New Roman" w:hAnsi="Arial" w:cs="Arial"/>
          <w:b/>
          <w:sz w:val="20"/>
          <w:szCs w:val="20"/>
          <w:lang w:eastAsia="es-MX"/>
        </w:rPr>
        <w:t>El principio de la protección igualitaria y efectiva de la ley y de la no discriminación constituye un dato sobresaliente en el sistema tutelar de los derechos humanos consagrado en varios instrumentos internacionales</w:t>
      </w:r>
      <w:r w:rsidRPr="000A556C">
        <w:rPr>
          <w:rFonts w:ascii="Arial" w:eastAsia="Times New Roman" w:hAnsi="Arial" w:cs="Arial"/>
          <w:sz w:val="20"/>
          <w:szCs w:val="20"/>
          <w:vertAlign w:val="superscript"/>
          <w:lang w:eastAsia="es-MX"/>
        </w:rPr>
        <w:t>296 [</w:t>
      </w:r>
      <w:r w:rsidRPr="000A556C">
        <w:rPr>
          <w:rStyle w:val="Refdenotaalpie"/>
          <w:rFonts w:ascii="Arial" w:eastAsia="Times New Roman" w:hAnsi="Arial" w:cs="Arial"/>
          <w:sz w:val="20"/>
          <w:szCs w:val="20"/>
          <w:lang w:eastAsia="es-MX"/>
        </w:rPr>
        <w:footnoteReference w:id="3"/>
      </w:r>
      <w:r w:rsidRPr="000A556C">
        <w:rPr>
          <w:rFonts w:ascii="Arial" w:eastAsia="Times New Roman" w:hAnsi="Arial" w:cs="Arial"/>
          <w:sz w:val="20"/>
          <w:szCs w:val="20"/>
          <w:vertAlign w:val="superscript"/>
          <w:lang w:eastAsia="es-MX"/>
        </w:rPr>
        <w:t>]</w:t>
      </w:r>
      <w:r w:rsidRPr="000A556C">
        <w:rPr>
          <w:rFonts w:ascii="Arial" w:eastAsia="Times New Roman" w:hAnsi="Arial" w:cs="Arial"/>
          <w:sz w:val="20"/>
          <w:szCs w:val="20"/>
          <w:lang w:eastAsia="es-MX"/>
        </w:rPr>
        <w:t xml:space="preserve"> y </w:t>
      </w:r>
      <w:r w:rsidRPr="000A556C">
        <w:rPr>
          <w:rFonts w:ascii="Arial" w:eastAsia="Times New Roman" w:hAnsi="Arial" w:cs="Arial"/>
          <w:sz w:val="20"/>
          <w:szCs w:val="20"/>
          <w:lang w:eastAsia="es-MX"/>
        </w:rPr>
        <w:lastRenderedPageBreak/>
        <w:t xml:space="preserve">desarrollado por la doctrina y jurisprudencia. En la actual etapa de la evolución del derecho internacional, el principio fundamental de igualdad y no discriminación ha ingresado en el dominio del </w:t>
      </w:r>
      <w:proofErr w:type="spellStart"/>
      <w:r w:rsidRPr="000A556C">
        <w:rPr>
          <w:rFonts w:ascii="Arial" w:eastAsia="Times New Roman" w:hAnsi="Arial" w:cs="Arial"/>
          <w:sz w:val="20"/>
          <w:szCs w:val="20"/>
          <w:lang w:eastAsia="es-MX"/>
        </w:rPr>
        <w:t>jus</w:t>
      </w:r>
      <w:proofErr w:type="spellEnd"/>
      <w:r w:rsidRPr="000A556C">
        <w:rPr>
          <w:rFonts w:ascii="Arial" w:eastAsia="Times New Roman" w:hAnsi="Arial" w:cs="Arial"/>
          <w:sz w:val="20"/>
          <w:szCs w:val="20"/>
          <w:lang w:eastAsia="es-MX"/>
        </w:rPr>
        <w:t xml:space="preserve"> cogens. Sobre él descansa el andamiaje jurídico del orden público nacional e internacional y permean todo el ordenamiento jurídico.</w:t>
      </w:r>
    </w:p>
    <w:p w14:paraId="6D710AF3" w14:textId="77777777" w:rsidR="00991189" w:rsidRPr="000A556C" w:rsidRDefault="00991189" w:rsidP="00991189">
      <w:pPr>
        <w:pStyle w:val="Prrafodelista"/>
        <w:ind w:left="426"/>
        <w:jc w:val="both"/>
        <w:rPr>
          <w:rFonts w:ascii="Arial" w:hAnsi="Arial" w:cs="Arial"/>
          <w:sz w:val="20"/>
          <w:szCs w:val="20"/>
        </w:rPr>
      </w:pPr>
    </w:p>
    <w:p w14:paraId="24BDEDE9" w14:textId="77777777" w:rsidR="00991189" w:rsidRPr="000A556C" w:rsidRDefault="00991189" w:rsidP="00991189">
      <w:pPr>
        <w:pStyle w:val="Prrafodelista"/>
        <w:ind w:left="426"/>
        <w:jc w:val="both"/>
        <w:rPr>
          <w:rFonts w:ascii="Arial" w:hAnsi="Arial" w:cs="Arial"/>
          <w:sz w:val="20"/>
          <w:szCs w:val="20"/>
        </w:rPr>
      </w:pPr>
    </w:p>
    <w:p w14:paraId="255CD133" w14:textId="77777777" w:rsidR="00991189" w:rsidRDefault="00991189" w:rsidP="00991189">
      <w:pPr>
        <w:pStyle w:val="Prrafodelista"/>
        <w:numPr>
          <w:ilvl w:val="0"/>
          <w:numId w:val="4"/>
        </w:numPr>
        <w:ind w:left="425" w:hanging="357"/>
        <w:jc w:val="both"/>
        <w:rPr>
          <w:rFonts w:ascii="Arial" w:hAnsi="Arial" w:cs="Arial"/>
        </w:rPr>
      </w:pPr>
      <w:r w:rsidRPr="000A556C">
        <w:rPr>
          <w:rFonts w:ascii="Arial" w:hAnsi="Arial" w:cs="Arial"/>
        </w:rPr>
        <w:t>Sentencia emitida en el caso Servellón García y otros vs. Honduras el veintiuno de septiembre de dos mil seis:</w:t>
      </w:r>
    </w:p>
    <w:p w14:paraId="74D244ED" w14:textId="77777777" w:rsidR="00991189" w:rsidRPr="000A556C" w:rsidRDefault="00991189" w:rsidP="00991189">
      <w:pPr>
        <w:pStyle w:val="Prrafodelista"/>
        <w:ind w:left="425"/>
        <w:jc w:val="both"/>
        <w:rPr>
          <w:rFonts w:ascii="Arial" w:hAnsi="Arial" w:cs="Arial"/>
        </w:rPr>
      </w:pPr>
    </w:p>
    <w:p w14:paraId="41AB292A" w14:textId="77777777" w:rsidR="00991189" w:rsidRPr="000A556C" w:rsidRDefault="00991189" w:rsidP="00991189">
      <w:pPr>
        <w:ind w:left="567" w:right="332"/>
        <w:jc w:val="both"/>
        <w:rPr>
          <w:sz w:val="20"/>
          <w:szCs w:val="20"/>
        </w:rPr>
      </w:pPr>
      <w:r w:rsidRPr="000A556C">
        <w:rPr>
          <w:sz w:val="20"/>
          <w:szCs w:val="20"/>
        </w:rPr>
        <w:t>[…]</w:t>
      </w:r>
    </w:p>
    <w:p w14:paraId="5E570DD7" w14:textId="77777777" w:rsidR="00991189" w:rsidRPr="000A556C" w:rsidRDefault="00991189" w:rsidP="00991189">
      <w:pPr>
        <w:ind w:left="567" w:right="332"/>
        <w:jc w:val="both"/>
        <w:rPr>
          <w:rFonts w:ascii="Arial" w:eastAsia="Times New Roman" w:hAnsi="Arial" w:cs="Arial"/>
          <w:sz w:val="20"/>
          <w:szCs w:val="20"/>
          <w:lang w:eastAsia="es-MX"/>
        </w:rPr>
      </w:pPr>
      <w:r w:rsidRPr="000A556C">
        <w:rPr>
          <w:sz w:val="20"/>
          <w:szCs w:val="20"/>
        </w:rPr>
        <w:t xml:space="preserve"> </w:t>
      </w:r>
      <w:r w:rsidRPr="000A556C">
        <w:rPr>
          <w:rFonts w:ascii="Arial" w:eastAsia="Times New Roman" w:hAnsi="Arial" w:cs="Arial"/>
          <w:sz w:val="20"/>
          <w:szCs w:val="20"/>
          <w:lang w:eastAsia="es-MX"/>
        </w:rPr>
        <w:t xml:space="preserve">94. </w:t>
      </w:r>
      <w:r w:rsidRPr="000A556C">
        <w:rPr>
          <w:rFonts w:ascii="Arial" w:eastAsia="Times New Roman" w:hAnsi="Arial" w:cs="Arial"/>
          <w:b/>
          <w:sz w:val="20"/>
          <w:szCs w:val="20"/>
          <w:lang w:eastAsia="es-MX"/>
        </w:rPr>
        <w:t xml:space="preserve">Este Tribunal considera que el principio de igualdad ante la ley y no discriminación pertenece al </w:t>
      </w:r>
      <w:proofErr w:type="spellStart"/>
      <w:r w:rsidRPr="000A556C">
        <w:rPr>
          <w:rFonts w:ascii="Arial" w:eastAsia="Times New Roman" w:hAnsi="Arial" w:cs="Arial"/>
          <w:b/>
          <w:sz w:val="20"/>
          <w:szCs w:val="20"/>
          <w:lang w:eastAsia="es-MX"/>
        </w:rPr>
        <w:t>jus</w:t>
      </w:r>
      <w:proofErr w:type="spellEnd"/>
      <w:r w:rsidRPr="000A556C">
        <w:rPr>
          <w:rFonts w:ascii="Arial" w:eastAsia="Times New Roman" w:hAnsi="Arial" w:cs="Arial"/>
          <w:b/>
          <w:sz w:val="20"/>
          <w:szCs w:val="20"/>
          <w:lang w:eastAsia="es-MX"/>
        </w:rPr>
        <w:t xml:space="preserve"> cogens el cual, revestido de carácter imperativo, acarrea obligaciones erga omnes de protección que vinculan a todos los Estados y generan efectos con respecto a terceros, inclusive particulares</w:t>
      </w:r>
      <w:r w:rsidRPr="000A556C">
        <w:rPr>
          <w:rFonts w:ascii="Arial" w:eastAsia="Times New Roman" w:hAnsi="Arial" w:cs="Arial"/>
          <w:sz w:val="20"/>
          <w:szCs w:val="20"/>
          <w:lang w:eastAsia="es-MX"/>
        </w:rPr>
        <w:t>.</w:t>
      </w:r>
    </w:p>
    <w:p w14:paraId="4CBAEC4A" w14:textId="77777777" w:rsidR="00991189" w:rsidRPr="000A556C" w:rsidRDefault="00991189" w:rsidP="00991189">
      <w:pPr>
        <w:ind w:left="567" w:right="332"/>
        <w:jc w:val="both"/>
        <w:rPr>
          <w:rFonts w:ascii="Arial" w:eastAsia="Times New Roman" w:hAnsi="Arial" w:cs="Arial"/>
          <w:sz w:val="20"/>
          <w:szCs w:val="20"/>
          <w:lang w:eastAsia="es-MX"/>
        </w:rPr>
      </w:pPr>
      <w:r w:rsidRPr="000A556C">
        <w:rPr>
          <w:rFonts w:ascii="Arial" w:eastAsia="Times New Roman" w:hAnsi="Arial" w:cs="Arial"/>
          <w:sz w:val="20"/>
          <w:szCs w:val="20"/>
          <w:lang w:eastAsia="es-MX"/>
        </w:rPr>
        <w:t>[…]</w:t>
      </w:r>
    </w:p>
    <w:p w14:paraId="3A079E09"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p>
    <w:p w14:paraId="5146A03A"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 xml:space="preserve">En la Opinión Consultiva OC-4/84, de diecinueve de enero de mil novecientos ochenta y cuatro, la Corte Interamericana de Derechos Humanos señaló que </w:t>
      </w:r>
      <w:r w:rsidRPr="000A556C">
        <w:rPr>
          <w:rFonts w:ascii="Arial" w:eastAsia="Times New Roman" w:hAnsi="Arial" w:cs="Arial"/>
          <w:b/>
          <w:sz w:val="24"/>
          <w:szCs w:val="24"/>
          <w:lang w:eastAsia="es-MX"/>
        </w:rPr>
        <w:t xml:space="preserve">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w:t>
      </w:r>
      <w:r w:rsidRPr="000A556C">
        <w:rPr>
          <w:rFonts w:ascii="Arial" w:eastAsia="Times New Roman" w:hAnsi="Arial" w:cs="Arial"/>
          <w:b/>
          <w:sz w:val="24"/>
          <w:szCs w:val="24"/>
          <w:lang w:eastAsia="es-MX"/>
        </w:rPr>
        <w:lastRenderedPageBreak/>
        <w:t>considerarlo inferior</w:t>
      </w:r>
      <w:r w:rsidRPr="000A556C">
        <w:rPr>
          <w:rFonts w:ascii="Arial" w:eastAsia="Times New Roman" w:hAnsi="Arial" w:cs="Arial"/>
          <w:sz w:val="24"/>
          <w:szCs w:val="24"/>
          <w:lang w:eastAsia="es-MX"/>
        </w:rPr>
        <w:t>, lo trate con hostilidad o de cualquier forma lo discrimine del goce de derechos que sí se reconocen a quienes no se consideran incursos en tal situación de inferioridad.</w:t>
      </w:r>
    </w:p>
    <w:p w14:paraId="1D7DAC8F"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p>
    <w:p w14:paraId="7951BB78"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Asimismo, sostuvo la Corte Interamericana que no es admisible crear diferencias de tratamiento entre seres humanos, que no correspondan con su única e idéntica naturaleza; sin embargo, por lo mismo que la igualdad y la no discriminación se desprenden de la idea de unidad de dignidad y naturaleza de la persona es preciso concluir que no todo tratamiento jurídico diferente es propiamente discriminatorio, porque no toda distinción de trato se puede considerar ofensiva, por sí misma, de la dignidad humana.</w:t>
      </w:r>
    </w:p>
    <w:p w14:paraId="4F91DC69"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p>
    <w:p w14:paraId="29C17EB0"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 xml:space="preserve">En ese orden de ideas, el mencionado órgano jurisdiccional interamericano precisó que </w:t>
      </w:r>
      <w:r w:rsidRPr="000A556C">
        <w:rPr>
          <w:rFonts w:ascii="Arial" w:eastAsia="Times New Roman" w:hAnsi="Arial" w:cs="Arial"/>
          <w:b/>
          <w:sz w:val="24"/>
          <w:szCs w:val="24"/>
          <w:lang w:eastAsia="es-MX"/>
        </w:rPr>
        <w:t>la Corte Europea de Derechos Humanos basándose "en los principios que pueden deducirse de la práctica jurídica de un gran número de Estados democráticos" definió que es discriminatoria una distinción cuando "carece de justificación objetiva y razonable</w:t>
      </w:r>
      <w:r w:rsidRPr="000A556C">
        <w:rPr>
          <w:rFonts w:ascii="Arial" w:eastAsia="Times New Roman" w:hAnsi="Arial" w:cs="Arial"/>
          <w:sz w:val="24"/>
          <w:szCs w:val="24"/>
          <w:lang w:eastAsia="es-MX"/>
        </w:rPr>
        <w:t>". En este sentido, consideró que existen, en efecto, ciertas desigualdades de hecho que legítimamente pueden traducirse en desigualdades de tratamiento jurídico, sin que tales situaciones contraríen a la justicia; ya que, por el contrario, pueden ser un medio eficaz para proteger a quienes se encuentren en circunstancias de desventaja.</w:t>
      </w:r>
    </w:p>
    <w:p w14:paraId="7F25F7E8"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p>
    <w:p w14:paraId="6EA4748B"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Así, únicamente se consideran conforme a Derecho y, por tanto, compatibles con la propia Constitución Federal y la Convención Americana sobre Derechos Humanos, aquellas distinciones que sean razonables, proporcionales y objetivas, ya que en tales circunstancias esa distinción no sería arbitraria ni redundaría en detrimento de los derechos humanos.</w:t>
      </w:r>
    </w:p>
    <w:p w14:paraId="3617DCAD"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p>
    <w:p w14:paraId="4C79AD24"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Es de hacer notar que ese criterio guarda compatibilidad con el sostenido por la Primera Sala de la Suprema Corte de Justicia de la Nación, en la ya citada Tesis: 1a. CXXXIX/2013, intitulada: "IGUALDAD JURÍDICA. INTERPRETACIÓN DEL ARTÍCULO 24 DE LA CONVENCIÓN AMERICANA SOBRE DERECHOS HUMANOS".</w:t>
      </w:r>
    </w:p>
    <w:p w14:paraId="72F4252D"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p>
    <w:p w14:paraId="1B432D28"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Finalmente, respecto al principio de igualdad, la Opinión Consultiva 18 de la Corte solicitada por México, señala que</w:t>
      </w:r>
      <w:r w:rsidRPr="000A556C">
        <w:rPr>
          <w:rStyle w:val="Refdenotaalpie"/>
          <w:rFonts w:ascii="Arial" w:eastAsia="Times New Roman" w:hAnsi="Arial" w:cs="Arial"/>
          <w:sz w:val="24"/>
          <w:szCs w:val="24"/>
          <w:lang w:eastAsia="es-MX"/>
        </w:rPr>
        <w:footnoteReference w:id="4"/>
      </w:r>
      <w:r w:rsidRPr="000A556C">
        <w:rPr>
          <w:rFonts w:ascii="Arial" w:eastAsia="Times New Roman" w:hAnsi="Arial" w:cs="Arial"/>
          <w:sz w:val="24"/>
          <w:szCs w:val="24"/>
          <w:lang w:eastAsia="es-MX"/>
        </w:rPr>
        <w:t>:</w:t>
      </w:r>
    </w:p>
    <w:p w14:paraId="7B280A1B"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p>
    <w:p w14:paraId="4A189EF3" w14:textId="77777777" w:rsidR="00991189" w:rsidRPr="000A556C" w:rsidRDefault="00991189" w:rsidP="00991189">
      <w:pPr>
        <w:pStyle w:val="Prrafodelista"/>
        <w:numPr>
          <w:ilvl w:val="0"/>
          <w:numId w:val="4"/>
        </w:numPr>
        <w:ind w:left="284"/>
        <w:jc w:val="both"/>
        <w:rPr>
          <w:rFonts w:ascii="Arial" w:hAnsi="Arial" w:cs="Arial"/>
          <w:i/>
        </w:rPr>
      </w:pPr>
      <w:r w:rsidRPr="000A556C">
        <w:rPr>
          <w:rFonts w:ascii="Arial" w:hAnsi="Arial" w:cs="Arial"/>
          <w:i/>
        </w:rPr>
        <w:t xml:space="preserve">Tiene carácter de </w:t>
      </w:r>
      <w:proofErr w:type="spellStart"/>
      <w:r w:rsidRPr="000A556C">
        <w:rPr>
          <w:rFonts w:ascii="Arial" w:hAnsi="Arial" w:cs="Arial"/>
          <w:i/>
        </w:rPr>
        <w:t>jus</w:t>
      </w:r>
      <w:proofErr w:type="spellEnd"/>
      <w:r w:rsidRPr="000A556C">
        <w:rPr>
          <w:rFonts w:ascii="Arial" w:hAnsi="Arial" w:cs="Arial"/>
          <w:i/>
        </w:rPr>
        <w:t xml:space="preserve"> cogens, </w:t>
      </w:r>
      <w:r w:rsidRPr="000A556C">
        <w:rPr>
          <w:rFonts w:ascii="Arial" w:hAnsi="Arial" w:cs="Arial"/>
          <w:b/>
          <w:i/>
        </w:rPr>
        <w:t>por lo que no admite acuerdo</w:t>
      </w:r>
      <w:r w:rsidRPr="000A556C">
        <w:rPr>
          <w:rFonts w:ascii="Arial" w:hAnsi="Arial" w:cs="Arial"/>
          <w:i/>
        </w:rPr>
        <w:t xml:space="preserve"> en contrario. Ningún acto jurídico que entre en conflicto con dicho principio fundamental puede ser admitido.</w:t>
      </w:r>
    </w:p>
    <w:p w14:paraId="2D96B4E8" w14:textId="77777777" w:rsidR="00991189" w:rsidRPr="000A556C" w:rsidRDefault="00991189" w:rsidP="00991189">
      <w:pPr>
        <w:pStyle w:val="Prrafodelista"/>
        <w:numPr>
          <w:ilvl w:val="0"/>
          <w:numId w:val="4"/>
        </w:numPr>
        <w:ind w:left="284"/>
        <w:jc w:val="both"/>
        <w:rPr>
          <w:rFonts w:ascii="Arial" w:hAnsi="Arial" w:cs="Arial"/>
          <w:i/>
        </w:rPr>
      </w:pPr>
      <w:r w:rsidRPr="000A556C">
        <w:rPr>
          <w:rFonts w:ascii="Arial" w:hAnsi="Arial" w:cs="Arial"/>
          <w:i/>
        </w:rPr>
        <w:t xml:space="preserve">Es aplicable a todo Estado, independientemente de que sea parte o no en determinado tratado internacional. </w:t>
      </w:r>
    </w:p>
    <w:p w14:paraId="09A6FFF3" w14:textId="77777777" w:rsidR="00991189" w:rsidRPr="000A556C" w:rsidRDefault="00991189" w:rsidP="00991189">
      <w:pPr>
        <w:pStyle w:val="Prrafodelista"/>
        <w:numPr>
          <w:ilvl w:val="0"/>
          <w:numId w:val="4"/>
        </w:numPr>
        <w:ind w:left="284"/>
        <w:jc w:val="both"/>
        <w:rPr>
          <w:rFonts w:ascii="Arial" w:hAnsi="Arial" w:cs="Arial"/>
          <w:i/>
        </w:rPr>
      </w:pPr>
      <w:r w:rsidRPr="000A556C">
        <w:rPr>
          <w:rFonts w:ascii="Arial" w:hAnsi="Arial" w:cs="Arial"/>
          <w:i/>
        </w:rPr>
        <w:t xml:space="preserve">Implica que el Estado, ya sea a nivel internacional o en su ordenamiento interno, y por actos de cualquiera de sus poderes o de terceros que actúen bajo su </w:t>
      </w:r>
      <w:r w:rsidRPr="000A556C">
        <w:rPr>
          <w:rFonts w:ascii="Arial" w:hAnsi="Arial" w:cs="Arial"/>
          <w:i/>
        </w:rPr>
        <w:lastRenderedPageBreak/>
        <w:t xml:space="preserve">tolerancia, aquiescencia o negligencia, no puede contrariar el principio de igualdad y no discriminación. </w:t>
      </w:r>
    </w:p>
    <w:p w14:paraId="66B5D4AF" w14:textId="77777777" w:rsidR="00991189" w:rsidRPr="000A556C" w:rsidRDefault="00991189" w:rsidP="00991189">
      <w:pPr>
        <w:pStyle w:val="Prrafodelista"/>
        <w:numPr>
          <w:ilvl w:val="0"/>
          <w:numId w:val="4"/>
        </w:numPr>
        <w:ind w:left="284"/>
        <w:jc w:val="both"/>
        <w:rPr>
          <w:rFonts w:ascii="Arial" w:hAnsi="Arial" w:cs="Arial"/>
        </w:rPr>
      </w:pPr>
      <w:r w:rsidRPr="000A556C">
        <w:rPr>
          <w:rFonts w:ascii="Arial" w:hAnsi="Arial" w:cs="Arial"/>
          <w:i/>
        </w:rPr>
        <w:t>Genera efectos inclusive entre particulares. En consecuencia, señala la Corte, los Estados sólo podrán establecer distinciones objetivas y razonables cuando éstas se realicen con el debido respeto a los derechos humanos y de conformidad con el principio de la aplicación de la norma que mejor proteja los derechos de la persona.</w:t>
      </w:r>
    </w:p>
    <w:p w14:paraId="68AD1B62"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p>
    <w:p w14:paraId="54006853" w14:textId="77777777" w:rsidR="00991189" w:rsidRPr="000A556C" w:rsidRDefault="00991189" w:rsidP="00991189">
      <w:pPr>
        <w:pStyle w:val="Prrafodelista"/>
        <w:numPr>
          <w:ilvl w:val="0"/>
          <w:numId w:val="5"/>
        </w:numPr>
        <w:ind w:left="567"/>
        <w:jc w:val="both"/>
        <w:rPr>
          <w:rFonts w:ascii="Arial" w:hAnsi="Arial" w:cs="Arial"/>
          <w:b/>
        </w:rPr>
      </w:pPr>
      <w:r w:rsidRPr="000A556C">
        <w:rPr>
          <w:rFonts w:ascii="Arial" w:hAnsi="Arial" w:cs="Arial"/>
          <w:b/>
        </w:rPr>
        <w:t>El uso del lenguaje con Perspectiva de Género.</w:t>
      </w:r>
    </w:p>
    <w:p w14:paraId="2EAF1D4F" w14:textId="77777777" w:rsidR="00991189" w:rsidRPr="000A556C" w:rsidRDefault="00991189" w:rsidP="00991189">
      <w:pPr>
        <w:spacing w:after="0" w:line="240" w:lineRule="auto"/>
        <w:jc w:val="both"/>
        <w:rPr>
          <w:rFonts w:ascii="Arial" w:hAnsi="Arial" w:cs="Arial"/>
          <w:sz w:val="24"/>
          <w:szCs w:val="24"/>
        </w:rPr>
      </w:pPr>
    </w:p>
    <w:p w14:paraId="0F041B6C"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La perspectiva de género</w:t>
      </w:r>
      <w:r w:rsidRPr="000A556C">
        <w:rPr>
          <w:rFonts w:ascii="Arial" w:eastAsia="Times New Roman" w:hAnsi="Arial" w:cs="Arial"/>
          <w:sz w:val="24"/>
          <w:szCs w:val="24"/>
          <w:vertAlign w:val="superscript"/>
          <w:lang w:eastAsia="es-MX"/>
        </w:rPr>
        <w:footnoteReference w:id="5"/>
      </w:r>
      <w:r w:rsidRPr="000A556C">
        <w:rPr>
          <w:rFonts w:ascii="Arial" w:eastAsia="Times New Roman" w:hAnsi="Arial" w:cs="Arial"/>
          <w:sz w:val="24"/>
          <w:szCs w:val="24"/>
          <w:vertAlign w:val="superscript"/>
          <w:lang w:eastAsia="es-MX"/>
        </w:rPr>
        <w:t xml:space="preserve"> </w:t>
      </w:r>
      <w:r w:rsidRPr="000A556C">
        <w:rPr>
          <w:rFonts w:ascii="Arial" w:eastAsia="Times New Roman" w:hAnsi="Arial" w:cs="Arial"/>
          <w:sz w:val="24"/>
          <w:szCs w:val="24"/>
          <w:lang w:eastAsia="es-MX"/>
        </w:rPr>
        <w:t xml:space="preserve">dota de instrumentos a la Teoría del Derecho para entablar un diálogo que considere </w:t>
      </w:r>
    </w:p>
    <w:p w14:paraId="2B9CA8CC" w14:textId="77777777" w:rsidR="00991189" w:rsidRPr="000A556C" w:rsidRDefault="00991189" w:rsidP="00991189">
      <w:pPr>
        <w:spacing w:after="0" w:line="240" w:lineRule="auto"/>
        <w:jc w:val="both"/>
        <w:rPr>
          <w:rFonts w:ascii="Arial" w:eastAsia="Times New Roman" w:hAnsi="Arial" w:cs="Arial"/>
          <w:sz w:val="24"/>
          <w:szCs w:val="24"/>
          <w:lang w:eastAsia="es-MX"/>
        </w:rPr>
      </w:pPr>
    </w:p>
    <w:p w14:paraId="3404542E" w14:textId="77777777" w:rsidR="00991189" w:rsidRPr="000A556C" w:rsidRDefault="00991189" w:rsidP="00991189">
      <w:pPr>
        <w:spacing w:after="0" w:line="240" w:lineRule="auto"/>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seriamente las transformaciones sociales que se han suscitado durante las últimas décadas y para promover una igualdad sustantiva entre todas las personas integrantes del Estado.</w:t>
      </w:r>
    </w:p>
    <w:p w14:paraId="251E39C9"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p>
    <w:p w14:paraId="139B9C07"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 xml:space="preserve">La perspectiva de género impone a las personas juzgadoras –como operadoras jurídicas- </w:t>
      </w:r>
      <w:r w:rsidRPr="000A556C">
        <w:rPr>
          <w:rFonts w:ascii="Arial" w:eastAsia="Times New Roman" w:hAnsi="Arial" w:cs="Arial"/>
          <w:b/>
          <w:sz w:val="24"/>
          <w:szCs w:val="24"/>
          <w:lang w:eastAsia="es-MX"/>
        </w:rPr>
        <w:t>a incorporar en sus sentencias un análisis de los posibles sesgos de desequilibrio que, de manera implícita o explícita, pueden estar contenidos en la ley o en el acto de autoridad sujeto a su revisión</w:t>
      </w:r>
      <w:r w:rsidRPr="000A556C">
        <w:rPr>
          <w:rFonts w:ascii="Arial" w:eastAsia="Times New Roman" w:hAnsi="Arial" w:cs="Arial"/>
          <w:sz w:val="24"/>
          <w:szCs w:val="24"/>
          <w:lang w:eastAsia="es-MX"/>
        </w:rPr>
        <w:t>.</w:t>
      </w:r>
    </w:p>
    <w:p w14:paraId="53BD815F"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p>
    <w:p w14:paraId="281908A2"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 xml:space="preserve">Dentro de esta visión, que se aprecia amplia por la cantidad de elementos que la conforman, la Sala Superior considera dable contextualizar la materia de la </w:t>
      </w:r>
      <w:r w:rsidRPr="000A556C">
        <w:rPr>
          <w:rFonts w:ascii="Arial" w:eastAsia="Times New Roman" w:hAnsi="Arial" w:cs="Arial"/>
          <w:i/>
          <w:sz w:val="24"/>
          <w:szCs w:val="24"/>
          <w:lang w:eastAsia="es-MX"/>
        </w:rPr>
        <w:t>litis</w:t>
      </w:r>
      <w:r w:rsidRPr="000A556C">
        <w:rPr>
          <w:rFonts w:ascii="Arial" w:eastAsia="Times New Roman" w:hAnsi="Arial" w:cs="Arial"/>
          <w:sz w:val="24"/>
          <w:szCs w:val="24"/>
          <w:lang w:eastAsia="es-MX"/>
        </w:rPr>
        <w:t xml:space="preserve"> -atendiendo a la naturaleza de los agravios aducidos por la actora- dentro de lo que es el uso del lenguaje con una perspectiva de género.</w:t>
      </w:r>
    </w:p>
    <w:p w14:paraId="636CF0A3"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p>
    <w:p w14:paraId="6558897C"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 xml:space="preserve">En el Derecho Comparado, la Corte Constitucional de Colombia (sentencias C-037/96 y C-804/06) ha establecido que en el lenguaje legal deben permear los principios y valores que inspiran la Constitución. En consecuencia, considera que los órganos con competencia para producir Derecho deben </w:t>
      </w:r>
      <w:r w:rsidRPr="000A556C">
        <w:rPr>
          <w:rFonts w:ascii="Arial" w:eastAsia="Times New Roman" w:hAnsi="Arial" w:cs="Arial"/>
          <w:i/>
          <w:sz w:val="24"/>
          <w:szCs w:val="24"/>
          <w:lang w:eastAsia="es-MX"/>
        </w:rPr>
        <w:t>“utilizar siempre un lenguaje que no establezca discriminaciones injustificadas de género ni desconozca las opciones de vida que se fundan en el principio de dignidad humana y en el derecho al libre desarrollo de la personalidad”</w:t>
      </w:r>
      <w:r w:rsidRPr="000A556C">
        <w:rPr>
          <w:rFonts w:ascii="Arial" w:eastAsia="Times New Roman" w:hAnsi="Arial" w:cs="Arial"/>
          <w:sz w:val="24"/>
          <w:szCs w:val="24"/>
          <w:lang w:eastAsia="es-MX"/>
        </w:rPr>
        <w:t xml:space="preserve">. </w:t>
      </w:r>
    </w:p>
    <w:p w14:paraId="109F45F2"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p>
    <w:p w14:paraId="494B1DF8"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 xml:space="preserve">Señala, además: </w:t>
      </w:r>
      <w:r w:rsidRPr="000A556C">
        <w:rPr>
          <w:rFonts w:ascii="Arial" w:eastAsia="Times New Roman" w:hAnsi="Arial" w:cs="Arial"/>
          <w:i/>
          <w:sz w:val="24"/>
          <w:szCs w:val="24"/>
          <w:lang w:eastAsia="es-MX"/>
        </w:rPr>
        <w:t xml:space="preserve">“No es extraño, por consiguiente, que la situación de invisibilidad, subordinación, y discriminación a la cual por largos años se vieron y se han visto sometidas las mujeres, se proyectara también en el modo en que se fijaron los criterios de inclusión y exclusión mediante el lenguaje jurídico generando, de paso, una cultura de tipo patriarcal que se proyectó y, aún se proyecta, en el lenguaje jurídico y en la cultura jurídica. […] Resulta manifiesta, pues, la influencia que ejerce el lenguaje jurídico bien sea para mantener la condición de sujeción de </w:t>
      </w:r>
      <w:r w:rsidRPr="000A556C">
        <w:rPr>
          <w:rFonts w:ascii="Arial" w:eastAsia="Times New Roman" w:hAnsi="Arial" w:cs="Arial"/>
          <w:i/>
          <w:sz w:val="24"/>
          <w:szCs w:val="24"/>
          <w:lang w:eastAsia="es-MX"/>
        </w:rPr>
        <w:lastRenderedPageBreak/>
        <w:t>la mujer y su sometimiento a prácticas injustamente discriminatorias - y por tanto desconocedoras de sus derechos constitucionales fundamentales - o bien para transformar el estado de cosas imperante y lograr una igualdad real y efectiva entre varones y mujeres.”</w:t>
      </w:r>
      <w:r w:rsidRPr="000A556C">
        <w:rPr>
          <w:rFonts w:ascii="Arial" w:eastAsia="Times New Roman" w:hAnsi="Arial" w:cs="Arial"/>
          <w:sz w:val="24"/>
          <w:szCs w:val="24"/>
          <w:lang w:eastAsia="es-MX"/>
        </w:rPr>
        <w:t xml:space="preserve"> (Sentencia C-804/06).</w:t>
      </w:r>
    </w:p>
    <w:p w14:paraId="61C990C1"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p>
    <w:p w14:paraId="0CC317E7"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 xml:space="preserve">En ese tenor argumentativo, la Resolución 14.1, aprobada por la Conferencia General en su en su Vigésima Cuarta reunión, Apartado 1 del párrafo 2, ONU 1987, invita al Director General, en el apartado 1) del párrafo 2): “A adoptar, en la redacción de todos los documentos de trabajo de la Organización, una política encaminada a evitar, en la medida de lo posible, el empleo de términos que se refieren explícita o implícitamente a un solo sexo, salvo si se trata de medidas positivas en favor de la mujer”. </w:t>
      </w:r>
    </w:p>
    <w:p w14:paraId="3378BFF3"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p>
    <w:p w14:paraId="3A68AE9C"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 xml:space="preserve">Por su parte, la Resolución 109, aprobada por la Conferencia General de la UNESCO en su Vigésima Quinta Reunión, 1989. (UNESCO), recomienda promover la utilización del lenguaje no sexista por los Estados miembros, así como también emplear “Las recomendaciones para un uso no sexista del lenguaje del Servicio de Lenguas y Documentos </w:t>
      </w:r>
    </w:p>
    <w:p w14:paraId="5CFF6EA3" w14:textId="77777777" w:rsidR="00991189" w:rsidRPr="000A556C" w:rsidRDefault="00991189" w:rsidP="00991189">
      <w:pPr>
        <w:spacing w:after="0" w:line="240" w:lineRule="auto"/>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de la UNESCO”, que promovería el uso de un lenguaje menos excluyente, e invita al Director General, en el párrafo 3 de la parte dispositiva, a: “b) seguir elaborando directrices sobre el empleo de un vocabulario que se refiera explícitamente a la mujer, y promover su utilización en los Estados Miembros; y c) velar por el respeto de esas directrices en todas las comunicaciones, publicaciones y documentos de la Organización”.</w:t>
      </w:r>
    </w:p>
    <w:p w14:paraId="4E44467F"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p>
    <w:p w14:paraId="2C514377"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 xml:space="preserve">En mil novecientos noventa y tres, la UNESCO revisó sus textos fundamentales con miras a la eliminación de cualquier forma de lenguaje sexista, y a la utilización de fórmulas y términos neutros que contribuyeran a modificar actitudes y expectativas que pudieran constituir un obstáculo para alcanzar la igualdad entre hombres y mujeres. </w:t>
      </w:r>
    </w:p>
    <w:p w14:paraId="4495F117"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p>
    <w:p w14:paraId="474ED66C"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 xml:space="preserve">En ese año, la Conferencia General determinó la necesidad de formular propuestas de modificación de los textos fundamentales teniendo en cuenta concretamente el principio de igualdad entre hombres y mujeres y comunicar dichas propuestas de modificación a los Estados miembros y miembros asociados, con el objetivo de incentivar la adopción de tales medidas en cada país en particular. </w:t>
      </w:r>
    </w:p>
    <w:p w14:paraId="3684C99F"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p>
    <w:p w14:paraId="1F37B12E"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 xml:space="preserve">En cuanto a Europa, el Consejo Ministerial Europeo, el veintiuno de febrero de mil novecientos noventa, aprobaría la Recomendación sobre la eliminación del sexismo en el lenguaje, desde la que se reconoce, en primer lugar, la existencia de obstáculos a la igualdad real entre hombres y mujeres para, a continuación, enunciar que </w:t>
      </w:r>
      <w:r w:rsidRPr="000A556C">
        <w:rPr>
          <w:rFonts w:ascii="Arial" w:eastAsia="Times New Roman" w:hAnsi="Arial" w:cs="Arial"/>
          <w:b/>
          <w:sz w:val="24"/>
          <w:szCs w:val="24"/>
          <w:lang w:eastAsia="es-MX"/>
        </w:rPr>
        <w:t>el lenguaje es un instrumento esencial en la formación de la identidad social de los individuos</w:t>
      </w:r>
      <w:r w:rsidRPr="000A556C">
        <w:rPr>
          <w:rFonts w:ascii="Arial" w:eastAsia="Times New Roman" w:hAnsi="Arial" w:cs="Arial"/>
          <w:sz w:val="24"/>
          <w:szCs w:val="24"/>
          <w:lang w:eastAsia="es-MX"/>
        </w:rPr>
        <w:t xml:space="preserve">. </w:t>
      </w:r>
    </w:p>
    <w:p w14:paraId="3694F213"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p>
    <w:p w14:paraId="0B179DDE"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lastRenderedPageBreak/>
        <w:t>El Consejo de Europa consciente de que el lenguaje sexista</w:t>
      </w:r>
      <w:r w:rsidRPr="000A556C">
        <w:rPr>
          <w:rStyle w:val="Refdenotaalpie"/>
          <w:rFonts w:ascii="Arial" w:eastAsia="Times New Roman" w:hAnsi="Arial" w:cs="Arial"/>
          <w:sz w:val="24"/>
          <w:szCs w:val="24"/>
          <w:lang w:eastAsia="es-MX"/>
        </w:rPr>
        <w:footnoteReference w:id="6"/>
      </w:r>
      <w:r w:rsidRPr="000A556C">
        <w:rPr>
          <w:rFonts w:ascii="Arial" w:eastAsia="Times New Roman" w:hAnsi="Arial" w:cs="Arial"/>
          <w:sz w:val="24"/>
          <w:szCs w:val="24"/>
          <w:lang w:eastAsia="es-MX"/>
        </w:rPr>
        <w:t xml:space="preserve"> era un obstáculo para el desarrollo de la igualdad, al ocultar y negar a la mitad de la humanidad, propuso tres medidas básicas:</w:t>
      </w:r>
    </w:p>
    <w:p w14:paraId="241014C2"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p>
    <w:p w14:paraId="17F9186B" w14:textId="77777777" w:rsidR="00991189" w:rsidRPr="000A556C" w:rsidRDefault="00991189" w:rsidP="00991189">
      <w:pPr>
        <w:pStyle w:val="Prrafodelista"/>
        <w:numPr>
          <w:ilvl w:val="0"/>
          <w:numId w:val="6"/>
        </w:numPr>
        <w:ind w:left="426"/>
        <w:jc w:val="both"/>
        <w:rPr>
          <w:rFonts w:ascii="Arial" w:hAnsi="Arial" w:cs="Arial"/>
        </w:rPr>
      </w:pPr>
      <w:r w:rsidRPr="000A556C">
        <w:rPr>
          <w:rFonts w:ascii="Arial" w:hAnsi="Arial" w:cs="Arial"/>
        </w:rPr>
        <w:t>Que los Estados miembros incorporen iniciativas para promover un lenguaje no sexista, que tenga en cuenta la presencia y situación de las mujeres en la sociedad.</w:t>
      </w:r>
    </w:p>
    <w:p w14:paraId="4A2A6E5A" w14:textId="77777777" w:rsidR="00991189" w:rsidRPr="000A556C" w:rsidRDefault="00991189" w:rsidP="00991189">
      <w:pPr>
        <w:pStyle w:val="Prrafodelista"/>
        <w:numPr>
          <w:ilvl w:val="0"/>
          <w:numId w:val="6"/>
        </w:numPr>
        <w:ind w:left="426"/>
        <w:jc w:val="both"/>
        <w:rPr>
          <w:rFonts w:ascii="Arial" w:hAnsi="Arial" w:cs="Arial"/>
        </w:rPr>
      </w:pPr>
      <w:r w:rsidRPr="000A556C">
        <w:rPr>
          <w:rFonts w:ascii="Arial" w:hAnsi="Arial" w:cs="Arial"/>
        </w:rPr>
        <w:t>Promover, en textos jurídicos, educativos y de la administración pública, el uso de terminología armónica con el principio de igualdad entre los sexos.</w:t>
      </w:r>
    </w:p>
    <w:p w14:paraId="58D85659" w14:textId="77777777" w:rsidR="00991189" w:rsidRPr="000A556C" w:rsidRDefault="00991189" w:rsidP="00991189">
      <w:pPr>
        <w:pStyle w:val="Prrafodelista"/>
        <w:numPr>
          <w:ilvl w:val="0"/>
          <w:numId w:val="6"/>
        </w:numPr>
        <w:ind w:left="426"/>
        <w:jc w:val="both"/>
        <w:rPr>
          <w:rFonts w:ascii="Arial" w:hAnsi="Arial" w:cs="Arial"/>
        </w:rPr>
      </w:pPr>
      <w:r w:rsidRPr="000A556C">
        <w:rPr>
          <w:rFonts w:ascii="Arial" w:hAnsi="Arial" w:cs="Arial"/>
        </w:rPr>
        <w:t>Fomentar la utilización de un lenguaje libre de sexismo en los medios de comunicación.</w:t>
      </w:r>
    </w:p>
    <w:p w14:paraId="7E75847F"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p>
    <w:p w14:paraId="7D68F91D" w14:textId="77777777" w:rsidR="00991189" w:rsidRDefault="00991189" w:rsidP="00991189">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 xml:space="preserve">Estas acciones, se toman con la intención de eliminar los estereotipos que obstaculizan la materialización del principio de igualdad; entendiendo a estos, como </w:t>
      </w:r>
      <w:r w:rsidRPr="000A556C">
        <w:rPr>
          <w:rFonts w:ascii="Arial" w:eastAsia="Times New Roman" w:hAnsi="Arial" w:cs="Arial"/>
          <w:i/>
          <w:sz w:val="24"/>
          <w:szCs w:val="24"/>
          <w:lang w:eastAsia="es-MX"/>
        </w:rPr>
        <w:t xml:space="preserve">a todas aquellas características, actitudes y roles, que estructuralmente en una sociedad, son atribuidas a las personas </w:t>
      </w:r>
      <w:proofErr w:type="gramStart"/>
      <w:r w:rsidRPr="000A556C">
        <w:rPr>
          <w:rFonts w:ascii="Arial" w:eastAsia="Times New Roman" w:hAnsi="Arial" w:cs="Arial"/>
          <w:i/>
          <w:sz w:val="24"/>
          <w:szCs w:val="24"/>
          <w:lang w:eastAsia="es-MX"/>
        </w:rPr>
        <w:t>en razón de</w:t>
      </w:r>
      <w:proofErr w:type="gramEnd"/>
      <w:r w:rsidRPr="000A556C">
        <w:rPr>
          <w:rFonts w:ascii="Arial" w:eastAsia="Times New Roman" w:hAnsi="Arial" w:cs="Arial"/>
          <w:i/>
          <w:sz w:val="24"/>
          <w:szCs w:val="24"/>
          <w:lang w:eastAsia="es-MX"/>
        </w:rPr>
        <w:t xml:space="preserve"> alguna de las condiciones enumeradas como “categorías sospechosas</w:t>
      </w:r>
      <w:r w:rsidRPr="000A556C">
        <w:rPr>
          <w:rFonts w:ascii="Arial" w:eastAsia="Times New Roman" w:hAnsi="Arial" w:cs="Arial"/>
          <w:sz w:val="24"/>
          <w:szCs w:val="24"/>
          <w:lang w:eastAsia="es-MX"/>
        </w:rPr>
        <w:t>”</w:t>
      </w:r>
      <w:r w:rsidRPr="000A556C">
        <w:rPr>
          <w:rStyle w:val="Refdenotaalpie"/>
          <w:rFonts w:ascii="Arial" w:eastAsia="Times New Roman" w:hAnsi="Arial" w:cs="Arial"/>
          <w:sz w:val="24"/>
          <w:szCs w:val="24"/>
          <w:lang w:eastAsia="es-MX"/>
        </w:rPr>
        <w:footnoteReference w:id="7"/>
      </w:r>
      <w:r w:rsidRPr="000A556C">
        <w:rPr>
          <w:rFonts w:ascii="Arial" w:eastAsia="Times New Roman" w:hAnsi="Arial" w:cs="Arial"/>
          <w:sz w:val="24"/>
          <w:szCs w:val="24"/>
          <w:lang w:eastAsia="es-MX"/>
        </w:rPr>
        <w:t xml:space="preserve">. </w:t>
      </w:r>
    </w:p>
    <w:p w14:paraId="3F29CCD7"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p>
    <w:p w14:paraId="41A41EF6"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 xml:space="preserve">Ello porque se estima, </w:t>
      </w:r>
      <w:proofErr w:type="gramStart"/>
      <w:r w:rsidRPr="000A556C">
        <w:rPr>
          <w:rFonts w:ascii="Arial" w:eastAsia="Times New Roman" w:hAnsi="Arial" w:cs="Arial"/>
          <w:sz w:val="24"/>
          <w:szCs w:val="24"/>
          <w:lang w:eastAsia="es-MX"/>
        </w:rPr>
        <w:t>que</w:t>
      </w:r>
      <w:proofErr w:type="gramEnd"/>
      <w:r w:rsidRPr="000A556C">
        <w:rPr>
          <w:rFonts w:ascii="Arial" w:eastAsia="Times New Roman" w:hAnsi="Arial" w:cs="Arial"/>
          <w:sz w:val="24"/>
          <w:szCs w:val="24"/>
          <w:lang w:eastAsia="es-MX"/>
        </w:rPr>
        <w:t xml:space="preserve"> aunque asignar estereotipos responde a un proceso de simplificación para el entendimiento y aproximación del mundo</w:t>
      </w:r>
      <w:r w:rsidRPr="000A556C">
        <w:rPr>
          <w:rStyle w:val="Refdenotaalpie"/>
          <w:rFonts w:ascii="Arial" w:eastAsia="Times New Roman" w:hAnsi="Arial" w:cs="Arial"/>
          <w:sz w:val="24"/>
          <w:szCs w:val="24"/>
          <w:lang w:eastAsia="es-MX"/>
        </w:rPr>
        <w:footnoteReference w:id="8"/>
      </w:r>
      <w:r w:rsidRPr="000A556C">
        <w:rPr>
          <w:rFonts w:ascii="Arial" w:eastAsia="Times New Roman" w:hAnsi="Arial" w:cs="Arial"/>
          <w:sz w:val="24"/>
          <w:szCs w:val="24"/>
          <w:lang w:eastAsia="es-MX"/>
        </w:rPr>
        <w:t xml:space="preserve">; </w:t>
      </w:r>
      <w:r w:rsidRPr="000A556C">
        <w:rPr>
          <w:rFonts w:ascii="Arial" w:eastAsia="Times New Roman" w:hAnsi="Arial" w:cs="Arial"/>
          <w:i/>
          <w:sz w:val="24"/>
          <w:szCs w:val="24"/>
          <w:lang w:eastAsia="es-MX"/>
        </w:rPr>
        <w:t xml:space="preserve">puede surgir un problema cuando a esas características, actitudes y roles se les adjudica consecuencias jurídicas -como limitar el acceso a los derechos- y sociales, así como una baja jerarquización respecto a lo que se considera como el paradigma único del “sujeto neutral universal”. Esa función cognitiva puede resultar problemática jurídicamente cuando, de acuerdo con </w:t>
      </w:r>
      <w:proofErr w:type="gramStart"/>
      <w:r w:rsidRPr="000A556C">
        <w:rPr>
          <w:rFonts w:ascii="Arial" w:eastAsia="Times New Roman" w:hAnsi="Arial" w:cs="Arial"/>
          <w:i/>
          <w:sz w:val="24"/>
          <w:szCs w:val="24"/>
          <w:lang w:eastAsia="es-MX"/>
        </w:rPr>
        <w:t>el test</w:t>
      </w:r>
      <w:proofErr w:type="gramEnd"/>
      <w:r w:rsidRPr="000A556C">
        <w:rPr>
          <w:rFonts w:ascii="Arial" w:eastAsia="Times New Roman" w:hAnsi="Arial" w:cs="Arial"/>
          <w:i/>
          <w:sz w:val="24"/>
          <w:szCs w:val="24"/>
          <w:lang w:eastAsia="es-MX"/>
        </w:rPr>
        <w:t xml:space="preserve"> propuesto por Cook y </w:t>
      </w:r>
      <w:proofErr w:type="spellStart"/>
      <w:r w:rsidRPr="000A556C">
        <w:rPr>
          <w:rFonts w:ascii="Arial" w:eastAsia="Times New Roman" w:hAnsi="Arial" w:cs="Arial"/>
          <w:i/>
          <w:sz w:val="24"/>
          <w:szCs w:val="24"/>
          <w:lang w:eastAsia="es-MX"/>
        </w:rPr>
        <w:t>Cusack</w:t>
      </w:r>
      <w:proofErr w:type="spellEnd"/>
      <w:r w:rsidRPr="000A556C">
        <w:rPr>
          <w:rFonts w:ascii="Arial" w:eastAsia="Times New Roman" w:hAnsi="Arial" w:cs="Arial"/>
          <w:sz w:val="24"/>
          <w:szCs w:val="24"/>
          <w:lang w:eastAsia="es-MX"/>
        </w:rPr>
        <w:t>,</w:t>
      </w:r>
      <w:r w:rsidRPr="000A556C">
        <w:rPr>
          <w:rStyle w:val="Refdenotaalpie"/>
          <w:rFonts w:ascii="Arial" w:eastAsia="Times New Roman" w:hAnsi="Arial" w:cs="Arial"/>
          <w:sz w:val="24"/>
          <w:szCs w:val="24"/>
          <w:lang w:eastAsia="es-MX"/>
        </w:rPr>
        <w:footnoteReference w:id="9"/>
      </w:r>
      <w:r w:rsidRPr="000A556C">
        <w:rPr>
          <w:rFonts w:ascii="Arial" w:eastAsia="Times New Roman" w:hAnsi="Arial" w:cs="Arial"/>
          <w:sz w:val="24"/>
          <w:szCs w:val="24"/>
          <w:lang w:eastAsia="es-MX"/>
        </w:rPr>
        <w:t xml:space="preserve"> un estereotipo: 1. Niega un derecho o beneficio; 2. Impone una carga, o 3. Margina a la persona o vulnera su dignidad.</w:t>
      </w:r>
    </w:p>
    <w:p w14:paraId="50448873"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p>
    <w:p w14:paraId="70338FBF"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 xml:space="preserve">Desde ese enfoque, </w:t>
      </w:r>
      <w:r w:rsidRPr="000A556C">
        <w:rPr>
          <w:rFonts w:ascii="Arial" w:eastAsia="Times New Roman" w:hAnsi="Arial" w:cs="Arial"/>
          <w:i/>
          <w:sz w:val="24"/>
          <w:szCs w:val="24"/>
          <w:lang w:eastAsia="es-MX"/>
        </w:rPr>
        <w:t>la naturalización y aceptación de los estereotipos a los que deben adecuarse hombres y mujeres legitiman, perpetúan e invisibilizan tratos diferenciados ilegítimos</w:t>
      </w:r>
      <w:r w:rsidRPr="000A556C">
        <w:rPr>
          <w:rStyle w:val="Refdenotaalpie"/>
          <w:rFonts w:ascii="Arial" w:eastAsia="Times New Roman" w:hAnsi="Arial" w:cs="Arial"/>
          <w:i/>
          <w:sz w:val="24"/>
          <w:szCs w:val="24"/>
          <w:lang w:eastAsia="es-MX"/>
        </w:rPr>
        <w:footnoteReference w:id="10"/>
      </w:r>
      <w:r w:rsidRPr="000A556C">
        <w:rPr>
          <w:rFonts w:ascii="Arial" w:eastAsia="Times New Roman" w:hAnsi="Arial" w:cs="Arial"/>
          <w:sz w:val="24"/>
          <w:szCs w:val="24"/>
          <w:lang w:eastAsia="es-MX"/>
        </w:rPr>
        <w:t xml:space="preserve">. </w:t>
      </w:r>
    </w:p>
    <w:p w14:paraId="051E88C7"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p>
    <w:p w14:paraId="7F71ED77"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 xml:space="preserve"> </w:t>
      </w:r>
      <w:r w:rsidRPr="000A556C">
        <w:rPr>
          <w:rFonts w:ascii="Arial" w:eastAsia="Times New Roman" w:hAnsi="Arial" w:cs="Arial"/>
          <w:i/>
          <w:sz w:val="24"/>
          <w:szCs w:val="24"/>
          <w:lang w:eastAsia="es-MX"/>
        </w:rPr>
        <w:t xml:space="preserve">Cuando las leyes, políticas públicas, acciones administrativas y decisiones judiciales avalan, reproducen, consolidan y perpetúan estereotipos, generan </w:t>
      </w:r>
      <w:r w:rsidRPr="000A556C">
        <w:rPr>
          <w:rFonts w:ascii="Arial" w:eastAsia="Times New Roman" w:hAnsi="Arial" w:cs="Arial"/>
          <w:i/>
          <w:sz w:val="24"/>
          <w:szCs w:val="24"/>
          <w:lang w:eastAsia="es-MX"/>
        </w:rPr>
        <w:lastRenderedPageBreak/>
        <w:t>discriminación y vulneran el mandato constitucional y convencional de actuar conforme al derecho a la igualdad</w:t>
      </w:r>
      <w:r w:rsidRPr="000A556C">
        <w:rPr>
          <w:rStyle w:val="Refdenotaalpie"/>
          <w:rFonts w:ascii="Arial" w:eastAsia="Times New Roman" w:hAnsi="Arial" w:cs="Arial"/>
          <w:i/>
          <w:sz w:val="24"/>
          <w:szCs w:val="24"/>
          <w:lang w:eastAsia="es-MX"/>
        </w:rPr>
        <w:footnoteReference w:id="11"/>
      </w:r>
      <w:r w:rsidRPr="000A556C">
        <w:rPr>
          <w:rFonts w:ascii="Arial" w:eastAsia="Times New Roman" w:hAnsi="Arial" w:cs="Arial"/>
          <w:sz w:val="24"/>
          <w:szCs w:val="24"/>
          <w:lang w:eastAsia="es-MX"/>
        </w:rPr>
        <w:t xml:space="preserve">. </w:t>
      </w:r>
    </w:p>
    <w:p w14:paraId="50AFF0C1"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p>
    <w:p w14:paraId="08B40624"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 xml:space="preserve">Así, en el caso RKB vs. Turquía, el Comité para la Eliminación de la Discriminación contra la Mujer adujo que </w:t>
      </w:r>
      <w:r w:rsidRPr="000A556C">
        <w:rPr>
          <w:rFonts w:ascii="Arial" w:eastAsia="Times New Roman" w:hAnsi="Arial" w:cs="Arial"/>
          <w:i/>
          <w:sz w:val="24"/>
          <w:szCs w:val="24"/>
          <w:lang w:eastAsia="es-MX"/>
        </w:rPr>
        <w:t>“los estereotipos de género se perpetúan a través de varios medios e instituciones como son las leyes y los sistemas judiciales y pueden ser perpetuados por agentes estatales de todas las esferas y niveles de la administración, así como por agentes privados.”</w:t>
      </w:r>
      <w:r w:rsidRPr="000A556C">
        <w:rPr>
          <w:rStyle w:val="Refdenotaalpie"/>
          <w:rFonts w:ascii="Arial" w:eastAsia="Times New Roman" w:hAnsi="Arial" w:cs="Arial"/>
          <w:i/>
          <w:sz w:val="24"/>
          <w:szCs w:val="24"/>
          <w:lang w:eastAsia="es-MX"/>
        </w:rPr>
        <w:footnoteReference w:id="12"/>
      </w:r>
    </w:p>
    <w:p w14:paraId="7D5C4760"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p>
    <w:p w14:paraId="582B25D6"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La Suprema Corte de Justicia de la Nación, también se ha referido a estas categorías en la siguiente jurisprudencia</w:t>
      </w:r>
      <w:r w:rsidRPr="000A556C">
        <w:rPr>
          <w:rStyle w:val="Refdenotaalpie"/>
          <w:rFonts w:ascii="Arial" w:eastAsia="Times New Roman" w:hAnsi="Arial" w:cs="Arial"/>
          <w:sz w:val="24"/>
          <w:szCs w:val="24"/>
          <w:lang w:eastAsia="es-MX"/>
        </w:rPr>
        <w:footnoteReference w:id="13"/>
      </w:r>
      <w:r w:rsidRPr="000A556C">
        <w:rPr>
          <w:rFonts w:ascii="Arial" w:eastAsia="Times New Roman" w:hAnsi="Arial" w:cs="Arial"/>
          <w:sz w:val="24"/>
          <w:szCs w:val="24"/>
          <w:lang w:eastAsia="es-MX"/>
        </w:rPr>
        <w:t>:</w:t>
      </w:r>
    </w:p>
    <w:p w14:paraId="0A57553E" w14:textId="77777777" w:rsidR="00991189" w:rsidRDefault="00991189" w:rsidP="00991189">
      <w:pPr>
        <w:ind w:left="567" w:right="332"/>
        <w:jc w:val="both"/>
        <w:rPr>
          <w:rFonts w:ascii="Arial" w:eastAsia="Times New Roman" w:hAnsi="Arial" w:cs="Arial"/>
          <w:lang w:eastAsia="es-MX"/>
        </w:rPr>
      </w:pPr>
    </w:p>
    <w:p w14:paraId="536DDE79" w14:textId="77777777" w:rsidR="00991189" w:rsidRPr="000A556C" w:rsidRDefault="00991189" w:rsidP="00991189">
      <w:pPr>
        <w:ind w:left="567" w:right="332"/>
        <w:jc w:val="both"/>
        <w:rPr>
          <w:rFonts w:ascii="Arial" w:eastAsia="Times New Roman" w:hAnsi="Arial" w:cs="Arial"/>
          <w:sz w:val="20"/>
          <w:szCs w:val="20"/>
          <w:lang w:eastAsia="es-MX"/>
        </w:rPr>
      </w:pPr>
      <w:r w:rsidRPr="000A556C">
        <w:rPr>
          <w:rFonts w:ascii="Arial" w:eastAsia="Times New Roman" w:hAnsi="Arial" w:cs="Arial"/>
          <w:b/>
          <w:sz w:val="20"/>
          <w:szCs w:val="20"/>
          <w:lang w:eastAsia="es-MX"/>
        </w:rPr>
        <w:t xml:space="preserve">IGUALDAD. CASOS EN LOS QUE EL JUEZ CONSTITUCIONAL DEBE HACER UN ESCRUTINIO ESTRICTO DE LAS CLASIFICACIONES LEGISLATIVAS (INTERPRETACIÓN DEL ARTÍCULO 1o. DE LA CONSTITUCIÓN POLÍTICA DE LOS ESTADOS UNIDOS MEXICANOS). </w:t>
      </w:r>
      <w:r w:rsidRPr="000A556C">
        <w:rPr>
          <w:rFonts w:ascii="Arial" w:eastAsia="Times New Roman" w:hAnsi="Arial" w:cs="Arial"/>
          <w:sz w:val="20"/>
          <w:szCs w:val="20"/>
          <w:lang w:eastAsia="es-MX"/>
        </w:rPr>
        <w:t xml:space="preserve">La igualdad es un principio y un derecho de carácter fundamentalmente adjetivo que se predica siempre de algo, y este referente es relevante al momento de realizar el control de constitucionalidad de las leyes, porque la Norma Fundamental permite que en algunos ámbitos el legislador tenga más amplitud para desarrollar su labor normativa, mientras que en otros el Juez debe ser más exigente a la hora de determinar si aquél ha respetado las exigencias del principio de igualdad. El artículo 1o. de la Constitución Federal establece varios casos en los que procede dicho escrutinio estricto. Así, su primer párrafo proclama que todo individuo debe gozar de las garantías que ella otorga, las cuales no pueden restringirse ni suspenderse sino en los casos y con las condiciones que la misma establece, lo que evidencia la voluntad constitucional de asegurar en los más amplios términos el goce de los derechos fundamentales, y de que las limitaciones a ellos sean concebidas restrictivamente, de conformidad con el carácter excepcional que la Constitución les atribuye. Por ello, siempre que la acción clasificadora del legislador incida en los derechos fundamentales garantizados constitucionalmente, será necesario aplicar con especial intensidad las exigencias derivadas del principio de igualdad y no discriminación. Por su parte, el párrafo tercero del citado precepto constitucional muestra la voluntad de extender la garantía de igualdad a ámbitos que trascienden el campo delimitado por el respeto a los derechos fundamentales explícitamente otorgados por la Constitución, al prohibir al legislador que en el desarrollo general de su labor incurra en discriminación por una serie de motivos enumerados (origen étnico o nacional, género, edad, capacidades diferentes, condición social, condiciones de salud, religión, opiniones, preferencias, estado civil) o en cualquier otro que atente contra la dignidad humana y tenga por objeto anular o menoscabar los derechos y libertades de las personas. La intención constitucional es, por lo tanto, extender las garantías implícitas en el principio de igualdad al ámbito de las acciones legislativas que tienen un impacto significativo en la libertad y la dignidad de las personas, así como al de aquellas que se articulan en torno al uso de una serie de criterios clasificatorios mencionados en el referido tercer párrafo, sin que ello implique que al legislador le esté </w:t>
      </w:r>
      <w:r w:rsidRPr="000A556C">
        <w:rPr>
          <w:rFonts w:ascii="Arial" w:eastAsia="Times New Roman" w:hAnsi="Arial" w:cs="Arial"/>
          <w:sz w:val="20"/>
          <w:szCs w:val="20"/>
          <w:lang w:eastAsia="es-MX"/>
        </w:rPr>
        <w:lastRenderedPageBreak/>
        <w:t>vedado absolutamente el uso de dichas categorías en el desarrollo de su labor normativa, sino que debe ser especialmente cuidadoso al hacerlo. En esos casos, el Juez constitucional deberá someter la labor del legislador a un escrutinio especialmente cuidadoso desde el punto de vista del respeto a la garantía de igualdad.</w:t>
      </w:r>
    </w:p>
    <w:p w14:paraId="38FCB594" w14:textId="77777777" w:rsidR="00991189" w:rsidRPr="007873FD" w:rsidRDefault="00991189" w:rsidP="00991189">
      <w:pPr>
        <w:spacing w:line="360" w:lineRule="auto"/>
        <w:ind w:firstLine="708"/>
        <w:jc w:val="both"/>
        <w:rPr>
          <w:rFonts w:ascii="Arial" w:eastAsia="Times New Roman" w:hAnsi="Arial" w:cs="Arial"/>
          <w:sz w:val="27"/>
          <w:szCs w:val="27"/>
          <w:lang w:eastAsia="es-MX"/>
        </w:rPr>
      </w:pPr>
    </w:p>
    <w:p w14:paraId="51CEBEA3" w14:textId="77777777" w:rsidR="00991189" w:rsidRPr="000A556C" w:rsidRDefault="00991189" w:rsidP="00991189">
      <w:pPr>
        <w:spacing w:after="0" w:line="240" w:lineRule="auto"/>
        <w:ind w:firstLine="708"/>
        <w:jc w:val="both"/>
        <w:rPr>
          <w:rFonts w:ascii="Arial" w:hAnsi="Arial" w:cs="Arial"/>
          <w:i/>
          <w:sz w:val="24"/>
          <w:szCs w:val="24"/>
        </w:rPr>
      </w:pPr>
      <w:r w:rsidRPr="000A556C">
        <w:rPr>
          <w:rFonts w:ascii="Arial" w:eastAsia="Times New Roman" w:hAnsi="Arial" w:cs="Arial"/>
          <w:sz w:val="24"/>
          <w:szCs w:val="24"/>
          <w:lang w:eastAsia="es-MX"/>
        </w:rPr>
        <w:t>En la justicia constitucional comparada encontramos argumentos similares, así, la Corte Constitucional Colombiana sostuvo en la sentencia C-481 de mil novecientos noventa y ocho, que:</w:t>
      </w:r>
      <w:r w:rsidRPr="000A556C">
        <w:rPr>
          <w:rFonts w:ascii="Arial" w:eastAsia="Times New Roman" w:hAnsi="Arial" w:cs="Arial"/>
          <w:i/>
          <w:sz w:val="24"/>
          <w:szCs w:val="24"/>
          <w:lang w:eastAsia="es-MX"/>
        </w:rPr>
        <w:t>“[…] en el derecho constitucional contemporáneo, se consideran como "criterios sospechosos" de clasificación, aquellas categorías que (i) se fundan en rasgos permanentes de las personas, de las cuales éstas no pueden prescindir por voluntad propia a riesgo de perder su identidad; (</w:t>
      </w:r>
      <w:proofErr w:type="spellStart"/>
      <w:r w:rsidRPr="000A556C">
        <w:rPr>
          <w:rFonts w:ascii="Arial" w:eastAsia="Times New Roman" w:hAnsi="Arial" w:cs="Arial"/>
          <w:i/>
          <w:sz w:val="24"/>
          <w:szCs w:val="24"/>
          <w:lang w:eastAsia="es-MX"/>
        </w:rPr>
        <w:t>ii</w:t>
      </w:r>
      <w:proofErr w:type="spellEnd"/>
      <w:r w:rsidRPr="000A556C">
        <w:rPr>
          <w:rFonts w:ascii="Arial" w:eastAsia="Times New Roman" w:hAnsi="Arial" w:cs="Arial"/>
          <w:i/>
          <w:sz w:val="24"/>
          <w:szCs w:val="24"/>
          <w:lang w:eastAsia="es-MX"/>
        </w:rPr>
        <w:t xml:space="preserve">) </w:t>
      </w:r>
      <w:r w:rsidRPr="000A556C">
        <w:rPr>
          <w:rFonts w:ascii="Arial" w:eastAsia="Times New Roman" w:hAnsi="Arial" w:cs="Arial"/>
          <w:b/>
          <w:i/>
          <w:sz w:val="24"/>
          <w:szCs w:val="24"/>
          <w:lang w:eastAsia="es-MX"/>
        </w:rPr>
        <w:t>esas características han estado sometidas, históricamente, a patrones de valoración cultural que tienden a menospreciarlas;</w:t>
      </w:r>
      <w:r w:rsidRPr="000A556C">
        <w:rPr>
          <w:rFonts w:ascii="Arial" w:eastAsia="Times New Roman" w:hAnsi="Arial" w:cs="Arial"/>
          <w:i/>
          <w:sz w:val="24"/>
          <w:szCs w:val="24"/>
          <w:lang w:eastAsia="es-MX"/>
        </w:rPr>
        <w:t xml:space="preserve"> y, (</w:t>
      </w:r>
      <w:proofErr w:type="spellStart"/>
      <w:r w:rsidRPr="000A556C">
        <w:rPr>
          <w:rFonts w:ascii="Arial" w:eastAsia="Times New Roman" w:hAnsi="Arial" w:cs="Arial"/>
          <w:i/>
          <w:sz w:val="24"/>
          <w:szCs w:val="24"/>
          <w:lang w:eastAsia="es-MX"/>
        </w:rPr>
        <w:t>iii</w:t>
      </w:r>
      <w:proofErr w:type="spellEnd"/>
      <w:r w:rsidRPr="000A556C">
        <w:rPr>
          <w:rFonts w:ascii="Arial" w:eastAsia="Times New Roman" w:hAnsi="Arial" w:cs="Arial"/>
          <w:i/>
          <w:sz w:val="24"/>
          <w:szCs w:val="24"/>
          <w:lang w:eastAsia="es-MX"/>
        </w:rPr>
        <w:t>) no constituyen, per se, criterios con base en los cuales sea posible efectuar una distribución o reparto racionales y equitativos de bienes, derechos o cargas sociales</w:t>
      </w:r>
      <w:r w:rsidRPr="000A556C">
        <w:rPr>
          <w:rFonts w:ascii="Arial" w:hAnsi="Arial" w:cs="Arial"/>
          <w:i/>
          <w:sz w:val="24"/>
          <w:szCs w:val="24"/>
        </w:rPr>
        <w:t>.”</w:t>
      </w:r>
    </w:p>
    <w:p w14:paraId="0374652F"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p>
    <w:p w14:paraId="235A7A1E"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 xml:space="preserve">Dentro de ese contexto de estereotipos y categorías, en cuanto a la desigualdad estructural entre hombres y mujeres y su manifestación en el ámbito jurídico, la propia Corte Constitucional de Colombia, en su sentencia C-804/06 determinó: </w:t>
      </w:r>
      <w:r w:rsidRPr="000A556C">
        <w:rPr>
          <w:rFonts w:ascii="Arial" w:eastAsia="Times New Roman" w:hAnsi="Arial" w:cs="Arial"/>
          <w:i/>
          <w:sz w:val="24"/>
          <w:szCs w:val="24"/>
          <w:lang w:eastAsia="es-MX"/>
        </w:rPr>
        <w:t>"Para nadie constituye una novedad, que durante un largo lapso sólo los varones pudieron participar en los escenarios políticos. Los hombres y únicamente ellos tomaron parte en la vida activa de las sociedades; se fijaron fines, emprendieron proyectos y trazaron los caminos que habían de conducirlos a la obtención de las metas propuestas. Resulta claro, por tanto, que lo manifestado por los hombres – también en el terreno jurídico – tienda a conectarse de inmediato con lo humano por antonomasia. El referente predominante fue, por largo tiempo, masculino. Así las cosas, los hombres adquirieron la virtualidad de representar de manera simultánea lo positivo y lo neutro [...]”</w:t>
      </w:r>
    </w:p>
    <w:p w14:paraId="610B93A8"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p>
    <w:p w14:paraId="142C8E2B"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Ese trazado se efectuó y materializó por medio del lenguaje, y su uso cotidiano en el quehacer de los Poderes Públicos.</w:t>
      </w:r>
    </w:p>
    <w:p w14:paraId="0C56BDF3"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p>
    <w:p w14:paraId="76C1BAD6"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 xml:space="preserve">En ese tenor argumentativo, cabe precisar, que los lenguajes se definen como </w:t>
      </w:r>
      <w:r w:rsidRPr="000A556C">
        <w:rPr>
          <w:rFonts w:ascii="Arial" w:eastAsia="Times New Roman" w:hAnsi="Arial" w:cs="Arial"/>
          <w:i/>
          <w:sz w:val="24"/>
          <w:szCs w:val="24"/>
          <w:lang w:eastAsia="es-MX"/>
        </w:rPr>
        <w:t>sistemas de comunicación que se componen de códigos, símbolos y signos, los cuales cobran significado en el con</w:t>
      </w:r>
      <w:r w:rsidRPr="000A556C">
        <w:rPr>
          <w:rFonts w:ascii="Arial" w:eastAsia="Times New Roman" w:hAnsi="Arial" w:cs="Arial"/>
          <w:i/>
          <w:sz w:val="24"/>
          <w:szCs w:val="24"/>
          <w:lang w:eastAsia="es-MX"/>
        </w:rPr>
        <w:softHyphen/>
        <w:t>texto de las comunidades que los utilizan</w:t>
      </w:r>
      <w:r w:rsidRPr="000A556C">
        <w:rPr>
          <w:rStyle w:val="Refdenotaalpie"/>
          <w:rFonts w:ascii="Arial" w:eastAsia="Times New Roman" w:hAnsi="Arial" w:cs="Arial"/>
          <w:i/>
          <w:sz w:val="24"/>
          <w:szCs w:val="24"/>
          <w:lang w:eastAsia="es-MX"/>
        </w:rPr>
        <w:footnoteReference w:id="14"/>
      </w:r>
      <w:r w:rsidRPr="000A556C">
        <w:rPr>
          <w:rFonts w:ascii="Arial" w:eastAsia="Times New Roman" w:hAnsi="Arial" w:cs="Arial"/>
          <w:sz w:val="24"/>
          <w:szCs w:val="24"/>
          <w:lang w:eastAsia="es-MX"/>
        </w:rPr>
        <w:t xml:space="preserve">. </w:t>
      </w:r>
    </w:p>
    <w:p w14:paraId="0129A05A"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p>
    <w:p w14:paraId="34F952DF"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 xml:space="preserve">Sin embargo, el lenguaje, dentro de su potencial perpetuador, también puede contribuir a imposibilitar la materialización del principio de igualdad.  </w:t>
      </w:r>
    </w:p>
    <w:p w14:paraId="5BECF500"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p>
    <w:p w14:paraId="2C7FEAFD"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i/>
          <w:sz w:val="24"/>
          <w:szCs w:val="24"/>
          <w:lang w:eastAsia="es-MX"/>
        </w:rPr>
        <w:t xml:space="preserve">Este problema se ubica en las sociedades, cuando a la representación y significación de lo masculino se le asigna un valor superior y universal que </w:t>
      </w:r>
      <w:r w:rsidRPr="000A556C">
        <w:rPr>
          <w:rFonts w:ascii="Arial" w:eastAsia="Times New Roman" w:hAnsi="Arial" w:cs="Arial"/>
          <w:i/>
          <w:sz w:val="24"/>
          <w:szCs w:val="24"/>
          <w:lang w:eastAsia="es-MX"/>
        </w:rPr>
        <w:lastRenderedPageBreak/>
        <w:t>invisibiliza y descalifica lo femenino</w:t>
      </w:r>
      <w:r w:rsidRPr="000A556C">
        <w:rPr>
          <w:rStyle w:val="Refdenotaalpie"/>
          <w:rFonts w:ascii="Arial" w:eastAsia="Times New Roman" w:hAnsi="Arial" w:cs="Arial"/>
          <w:i/>
          <w:sz w:val="24"/>
          <w:szCs w:val="24"/>
          <w:lang w:eastAsia="es-MX"/>
        </w:rPr>
        <w:footnoteReference w:id="15"/>
      </w:r>
      <w:r w:rsidRPr="000A556C">
        <w:rPr>
          <w:rFonts w:ascii="Arial" w:eastAsia="Times New Roman" w:hAnsi="Arial" w:cs="Arial"/>
          <w:sz w:val="24"/>
          <w:szCs w:val="24"/>
          <w:lang w:eastAsia="es-MX"/>
        </w:rPr>
        <w:t>. El sexismo</w:t>
      </w:r>
      <w:r w:rsidRPr="000A556C">
        <w:rPr>
          <w:rStyle w:val="Refdenotaalpie"/>
          <w:rFonts w:ascii="Arial" w:eastAsia="Times New Roman" w:hAnsi="Arial" w:cs="Arial"/>
          <w:sz w:val="24"/>
          <w:szCs w:val="24"/>
          <w:lang w:eastAsia="es-MX"/>
        </w:rPr>
        <w:footnoteReference w:id="16"/>
      </w:r>
      <w:r w:rsidRPr="000A556C">
        <w:rPr>
          <w:rFonts w:ascii="Arial" w:eastAsia="Times New Roman" w:hAnsi="Arial" w:cs="Arial"/>
          <w:sz w:val="24"/>
          <w:szCs w:val="24"/>
          <w:lang w:eastAsia="es-MX"/>
        </w:rPr>
        <w:t xml:space="preserve"> se produce cuando estas distinciones se tor</w:t>
      </w:r>
      <w:r w:rsidRPr="000A556C">
        <w:rPr>
          <w:rFonts w:ascii="Arial" w:eastAsia="Times New Roman" w:hAnsi="Arial" w:cs="Arial"/>
          <w:sz w:val="24"/>
          <w:szCs w:val="24"/>
          <w:lang w:eastAsia="es-MX"/>
        </w:rPr>
        <w:softHyphen/>
        <w:t>nan jerárquicas y excluyentes, valorando a una de las par</w:t>
      </w:r>
      <w:r w:rsidRPr="000A556C">
        <w:rPr>
          <w:rFonts w:ascii="Arial" w:eastAsia="Times New Roman" w:hAnsi="Arial" w:cs="Arial"/>
          <w:sz w:val="24"/>
          <w:szCs w:val="24"/>
          <w:lang w:eastAsia="es-MX"/>
        </w:rPr>
        <w:softHyphen/>
        <w:t xml:space="preserve">tes sobre la otra. </w:t>
      </w:r>
    </w:p>
    <w:p w14:paraId="4266AFF2"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p>
    <w:p w14:paraId="7878AE0D"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i/>
          <w:sz w:val="24"/>
          <w:szCs w:val="24"/>
          <w:lang w:eastAsia="es-MX"/>
        </w:rPr>
        <w:t>En esos casos, los sistemas lingüísticos presentan una óptica mas</w:t>
      </w:r>
      <w:r w:rsidRPr="000A556C">
        <w:rPr>
          <w:rFonts w:ascii="Arial" w:eastAsia="Times New Roman" w:hAnsi="Arial" w:cs="Arial"/>
          <w:i/>
          <w:sz w:val="24"/>
          <w:szCs w:val="24"/>
          <w:lang w:eastAsia="es-MX"/>
        </w:rPr>
        <w:softHyphen/>
        <w:t>culina resaltada, que se ha denominado androcentrismo</w:t>
      </w:r>
      <w:r w:rsidRPr="000A556C">
        <w:rPr>
          <w:rStyle w:val="Refdenotaalpie"/>
          <w:rFonts w:ascii="Arial" w:eastAsia="Times New Roman" w:hAnsi="Arial" w:cs="Arial"/>
          <w:sz w:val="24"/>
          <w:szCs w:val="24"/>
          <w:lang w:eastAsia="es-MX"/>
        </w:rPr>
        <w:footnoteReference w:id="17"/>
      </w:r>
      <w:r w:rsidRPr="000A556C">
        <w:rPr>
          <w:rFonts w:ascii="Arial" w:eastAsia="Times New Roman" w:hAnsi="Arial" w:cs="Arial"/>
          <w:sz w:val="24"/>
          <w:szCs w:val="24"/>
          <w:lang w:eastAsia="es-MX"/>
        </w:rPr>
        <w:t>. Tal visión proviene de una idea falsa, que ha sido construida a través del lenguaje; además de que ha consolidado una visión que segmen</w:t>
      </w:r>
      <w:r w:rsidRPr="000A556C">
        <w:rPr>
          <w:rFonts w:ascii="Arial" w:eastAsia="Times New Roman" w:hAnsi="Arial" w:cs="Arial"/>
          <w:sz w:val="24"/>
          <w:szCs w:val="24"/>
          <w:lang w:eastAsia="es-MX"/>
        </w:rPr>
        <w:softHyphen/>
        <w:t xml:space="preserve">ta el papel de las mujeres y los hombres según los roles que deben cumplir en diversos ámbitos de la vida pública y la vida privada. </w:t>
      </w:r>
    </w:p>
    <w:p w14:paraId="48BA3271"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p>
    <w:p w14:paraId="2A2DED7F"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 xml:space="preserve">En esta tesitura, instancias internacionales, las cuales ya fueron mencionadas, consideran que </w:t>
      </w:r>
      <w:r w:rsidRPr="000A556C">
        <w:rPr>
          <w:rFonts w:ascii="Arial" w:eastAsia="Times New Roman" w:hAnsi="Arial" w:cs="Arial"/>
          <w:i/>
          <w:sz w:val="24"/>
          <w:szCs w:val="24"/>
          <w:lang w:eastAsia="es-MX"/>
        </w:rPr>
        <w:t>eliminar el sexismo en el lenguaje per</w:t>
      </w:r>
      <w:r w:rsidRPr="000A556C">
        <w:rPr>
          <w:rFonts w:ascii="Arial" w:eastAsia="Times New Roman" w:hAnsi="Arial" w:cs="Arial"/>
          <w:i/>
          <w:sz w:val="24"/>
          <w:szCs w:val="24"/>
          <w:lang w:eastAsia="es-MX"/>
        </w:rPr>
        <w:softHyphen/>
        <w:t>sigue dos objetivos: visibilizar a las mujeres y la diversi</w:t>
      </w:r>
      <w:r w:rsidRPr="000A556C">
        <w:rPr>
          <w:rFonts w:ascii="Arial" w:eastAsia="Times New Roman" w:hAnsi="Arial" w:cs="Arial"/>
          <w:i/>
          <w:sz w:val="24"/>
          <w:szCs w:val="24"/>
          <w:lang w:eastAsia="es-MX"/>
        </w:rPr>
        <w:softHyphen/>
        <w:t>dad social, y equilibrar las asimetrías de género</w:t>
      </w:r>
      <w:r w:rsidRPr="000A556C">
        <w:rPr>
          <w:rFonts w:ascii="Arial" w:eastAsia="Times New Roman" w:hAnsi="Arial" w:cs="Arial"/>
          <w:sz w:val="24"/>
          <w:szCs w:val="24"/>
          <w:lang w:eastAsia="es-MX"/>
        </w:rPr>
        <w:t xml:space="preserve">. </w:t>
      </w:r>
    </w:p>
    <w:p w14:paraId="3EFCEFD0"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p>
    <w:p w14:paraId="0888CDC4" w14:textId="77777777" w:rsidR="00991189" w:rsidRPr="000A556C" w:rsidRDefault="00991189" w:rsidP="00991189">
      <w:pPr>
        <w:spacing w:after="0" w:line="240" w:lineRule="auto"/>
        <w:ind w:firstLine="708"/>
        <w:jc w:val="both"/>
        <w:rPr>
          <w:rFonts w:ascii="Arial" w:eastAsia="Times New Roman" w:hAnsi="Arial" w:cs="Arial"/>
          <w:i/>
          <w:sz w:val="24"/>
          <w:szCs w:val="24"/>
          <w:lang w:eastAsia="es-MX"/>
        </w:rPr>
      </w:pPr>
      <w:r w:rsidRPr="000A556C">
        <w:rPr>
          <w:rFonts w:ascii="Arial" w:eastAsia="Times New Roman" w:hAnsi="Arial" w:cs="Arial"/>
          <w:i/>
          <w:sz w:val="24"/>
          <w:szCs w:val="24"/>
          <w:lang w:eastAsia="es-MX"/>
        </w:rPr>
        <w:t>El primero implica evitar expresiones sexistas que denotan desprecio, subordinación o ridiculización de las mujeres, y reafirmar su construcción como personas activas, independientes, cons</w:t>
      </w:r>
      <w:r w:rsidRPr="000A556C">
        <w:rPr>
          <w:rFonts w:ascii="Arial" w:eastAsia="Times New Roman" w:hAnsi="Arial" w:cs="Arial"/>
          <w:i/>
          <w:sz w:val="24"/>
          <w:szCs w:val="24"/>
          <w:lang w:eastAsia="es-MX"/>
        </w:rPr>
        <w:softHyphen/>
        <w:t xml:space="preserve">cientes de sus deberes y derechos en las esferas pública y privada. </w:t>
      </w:r>
    </w:p>
    <w:p w14:paraId="034A8B75" w14:textId="77777777" w:rsidR="00991189" w:rsidRPr="000A556C" w:rsidRDefault="00991189" w:rsidP="00991189">
      <w:pPr>
        <w:spacing w:after="0" w:line="240" w:lineRule="auto"/>
        <w:ind w:firstLine="708"/>
        <w:jc w:val="both"/>
        <w:rPr>
          <w:rFonts w:ascii="Arial" w:eastAsia="Times New Roman" w:hAnsi="Arial" w:cs="Arial"/>
          <w:i/>
          <w:sz w:val="24"/>
          <w:szCs w:val="24"/>
          <w:lang w:eastAsia="es-MX"/>
        </w:rPr>
      </w:pPr>
    </w:p>
    <w:p w14:paraId="5DD4C445"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i/>
          <w:sz w:val="24"/>
          <w:szCs w:val="24"/>
          <w:lang w:eastAsia="es-MX"/>
        </w:rPr>
        <w:t>El segundo corresponde a la función modeladora del lenguaje, que incide en los esquemas de percepción de la realidad, y con ello pretende contribuir a forjar una sociedad que reconozca e integre la diversidad y la igualdad de género</w:t>
      </w:r>
      <w:r w:rsidRPr="000A556C">
        <w:rPr>
          <w:rStyle w:val="Refdenotaalpie"/>
          <w:rFonts w:ascii="Arial" w:eastAsia="Times New Roman" w:hAnsi="Arial" w:cs="Arial"/>
          <w:i/>
          <w:sz w:val="24"/>
          <w:szCs w:val="24"/>
          <w:lang w:eastAsia="es-MX"/>
        </w:rPr>
        <w:footnoteReference w:id="18"/>
      </w:r>
      <w:r w:rsidRPr="000A556C">
        <w:rPr>
          <w:rFonts w:ascii="Arial" w:eastAsia="Times New Roman" w:hAnsi="Arial" w:cs="Arial"/>
          <w:sz w:val="24"/>
          <w:szCs w:val="24"/>
          <w:lang w:eastAsia="es-MX"/>
        </w:rPr>
        <w:t>.</w:t>
      </w:r>
    </w:p>
    <w:p w14:paraId="467A70D2"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p>
    <w:p w14:paraId="62470C64"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 xml:space="preserve">Desde esa perspectiva, </w:t>
      </w:r>
      <w:r w:rsidRPr="000A556C">
        <w:rPr>
          <w:rFonts w:ascii="Arial" w:eastAsia="Times New Roman" w:hAnsi="Arial" w:cs="Arial"/>
          <w:i/>
          <w:sz w:val="24"/>
          <w:szCs w:val="24"/>
          <w:lang w:eastAsia="es-MX"/>
        </w:rPr>
        <w:t>se advierte que si bien cambiar la forma en que se utiliza el lenguaje no conllevará de forma inmediata a la materialización de la igualdad real; el potencial transformador que éste tiene, puede ser una herramienta con gran poder simbólico en las sentencias que buscan garantizar el derecho a la igualdad</w:t>
      </w:r>
      <w:r w:rsidRPr="000A556C">
        <w:rPr>
          <w:rStyle w:val="Refdenotaalpie"/>
          <w:rFonts w:ascii="Arial" w:eastAsia="Times New Roman" w:hAnsi="Arial" w:cs="Arial"/>
          <w:sz w:val="24"/>
          <w:szCs w:val="24"/>
          <w:lang w:eastAsia="es-MX"/>
        </w:rPr>
        <w:footnoteReference w:id="19"/>
      </w:r>
      <w:r w:rsidRPr="000A556C">
        <w:rPr>
          <w:rFonts w:ascii="Arial" w:eastAsia="Times New Roman" w:hAnsi="Arial" w:cs="Arial"/>
          <w:sz w:val="24"/>
          <w:szCs w:val="24"/>
          <w:lang w:eastAsia="es-MX"/>
        </w:rPr>
        <w:t xml:space="preserve">. </w:t>
      </w:r>
    </w:p>
    <w:p w14:paraId="5AB34BF1"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p>
    <w:p w14:paraId="2B7540CE" w14:textId="77777777" w:rsidR="00991189" w:rsidRPr="000A556C" w:rsidRDefault="00991189" w:rsidP="00991189">
      <w:pPr>
        <w:pStyle w:val="Prrafodelista"/>
        <w:numPr>
          <w:ilvl w:val="0"/>
          <w:numId w:val="3"/>
        </w:numPr>
        <w:jc w:val="both"/>
        <w:rPr>
          <w:rFonts w:ascii="Arial" w:hAnsi="Arial" w:cs="Arial"/>
          <w:b/>
        </w:rPr>
      </w:pPr>
      <w:r w:rsidRPr="000A556C">
        <w:rPr>
          <w:rFonts w:ascii="Arial" w:hAnsi="Arial" w:cs="Arial"/>
          <w:b/>
        </w:rPr>
        <w:t>Análisis de los motivos de disenso.</w:t>
      </w:r>
    </w:p>
    <w:p w14:paraId="4C43FA06"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p>
    <w:p w14:paraId="66DB9431"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 xml:space="preserve">Establecido el marco jurídico relacionado con el derecho humano a la igualdad jurídica, y el marco preliminar, lo conducente es, bajo el parámetro de control de la regularidad de las normas que integran el sistema jurídico mexicano, proceder al examen de los hechos y agravios materia de la </w:t>
      </w:r>
      <w:r w:rsidRPr="000A556C">
        <w:rPr>
          <w:rFonts w:ascii="Arial" w:eastAsia="Times New Roman" w:hAnsi="Arial" w:cs="Arial"/>
          <w:i/>
          <w:sz w:val="24"/>
          <w:szCs w:val="24"/>
          <w:lang w:eastAsia="es-MX"/>
        </w:rPr>
        <w:t>litis</w:t>
      </w:r>
      <w:r w:rsidRPr="000A556C">
        <w:rPr>
          <w:rFonts w:ascii="Arial" w:eastAsia="Times New Roman" w:hAnsi="Arial" w:cs="Arial"/>
          <w:sz w:val="24"/>
          <w:szCs w:val="24"/>
          <w:lang w:eastAsia="es-MX"/>
        </w:rPr>
        <w:t xml:space="preserve">, bajo el prisma de los instrumentos internacionales en materia de derechos humanos, así como de la interpretación que al respecto ha hecho la Corte Interamericana de Derechos Humanos; a fin de determinar sus alcances, bajo los principios establecidos en los </w:t>
      </w:r>
      <w:r w:rsidRPr="000A556C">
        <w:rPr>
          <w:rFonts w:ascii="Arial" w:eastAsia="Times New Roman" w:hAnsi="Arial" w:cs="Arial"/>
          <w:sz w:val="24"/>
          <w:szCs w:val="24"/>
          <w:lang w:eastAsia="es-MX"/>
        </w:rPr>
        <w:lastRenderedPageBreak/>
        <w:t>artículos 1º, 4, 35 y 41, de la Constitución Política de los Estados Unidos Mexicanos, en relación con el artículo 24, de la Convención Americana sobre Derechos Humanos, esto es, a fin de favorecer la materialización del principio de igualdad.</w:t>
      </w:r>
    </w:p>
    <w:p w14:paraId="10D0F7BE"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p>
    <w:p w14:paraId="3BBCE2A1" w14:textId="77777777" w:rsidR="00991189" w:rsidRDefault="00991189" w:rsidP="00991189">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 xml:space="preserve">De la lectura integral de los escritos de demanda, se advierte que la pretensión de las actoras consiste en que se ordene la modificación de los doce espectaculares, cuatro pantallas </w:t>
      </w:r>
      <w:r w:rsidRPr="000A556C">
        <w:rPr>
          <w:rFonts w:ascii="Arial" w:eastAsia="Times New Roman" w:hAnsi="Arial" w:cs="Arial"/>
          <w:i/>
          <w:sz w:val="24"/>
          <w:szCs w:val="24"/>
          <w:lang w:eastAsia="es-MX"/>
        </w:rPr>
        <w:t>led</w:t>
      </w:r>
      <w:r w:rsidRPr="000A556C">
        <w:rPr>
          <w:rFonts w:ascii="Arial" w:eastAsia="Times New Roman" w:hAnsi="Arial" w:cs="Arial"/>
          <w:sz w:val="24"/>
          <w:szCs w:val="24"/>
          <w:lang w:eastAsia="es-MX"/>
        </w:rPr>
        <w:t xml:space="preserve"> colocados en diversos puntos de Puebla, y de los promocionales del voto que se encuentran en el sitio </w:t>
      </w:r>
      <w:r w:rsidRPr="000A556C">
        <w:rPr>
          <w:rFonts w:ascii="Arial" w:eastAsia="Times New Roman" w:hAnsi="Arial" w:cs="Arial"/>
          <w:i/>
          <w:sz w:val="24"/>
          <w:szCs w:val="24"/>
          <w:lang w:eastAsia="es-MX"/>
        </w:rPr>
        <w:t>web</w:t>
      </w:r>
      <w:r w:rsidRPr="000A556C">
        <w:rPr>
          <w:rFonts w:ascii="Arial" w:eastAsia="Times New Roman" w:hAnsi="Arial" w:cs="Arial"/>
          <w:sz w:val="24"/>
          <w:szCs w:val="24"/>
          <w:lang w:eastAsia="es-MX"/>
        </w:rPr>
        <w:t xml:space="preserve"> oficial de la autoridad responsable, que contienen el mensaje siguiente:</w:t>
      </w:r>
    </w:p>
    <w:p w14:paraId="584F1394"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p>
    <w:p w14:paraId="6CAEED7A" w14:textId="77777777" w:rsidR="00991189" w:rsidRPr="000A556C" w:rsidRDefault="00991189" w:rsidP="00991189">
      <w:pPr>
        <w:pStyle w:val="Sinespaciado"/>
        <w:jc w:val="center"/>
        <w:rPr>
          <w:rFonts w:ascii="Arial" w:hAnsi="Arial" w:cs="Arial"/>
          <w:bdr w:val="none" w:sz="0" w:space="0" w:color="auto"/>
          <w:lang w:eastAsia="es-MX"/>
        </w:rPr>
      </w:pPr>
      <w:r w:rsidRPr="000A556C">
        <w:rPr>
          <w:rFonts w:ascii="Arial" w:hAnsi="Arial" w:cs="Arial"/>
          <w:bdr w:val="none" w:sz="0" w:space="0" w:color="auto"/>
          <w:lang w:eastAsia="es-MX"/>
        </w:rPr>
        <w:t>#5deJunioEsElDía</w:t>
      </w:r>
    </w:p>
    <w:p w14:paraId="0DD963EC" w14:textId="77777777" w:rsidR="00991189" w:rsidRPr="000A556C" w:rsidRDefault="00991189" w:rsidP="00991189">
      <w:pPr>
        <w:pStyle w:val="Sinespaciado"/>
        <w:jc w:val="center"/>
        <w:rPr>
          <w:rFonts w:ascii="Arial" w:hAnsi="Arial" w:cs="Arial"/>
          <w:bdr w:val="none" w:sz="0" w:space="0" w:color="auto"/>
          <w:lang w:eastAsia="es-MX"/>
        </w:rPr>
      </w:pPr>
      <w:r w:rsidRPr="000A556C">
        <w:rPr>
          <w:rFonts w:ascii="Arial" w:hAnsi="Arial" w:cs="Arial"/>
          <w:bdr w:val="none" w:sz="0" w:space="0" w:color="auto"/>
          <w:lang w:eastAsia="es-MX"/>
        </w:rPr>
        <w:t>Elige a TU próximo</w:t>
      </w:r>
    </w:p>
    <w:p w14:paraId="67DB1F49" w14:textId="77777777" w:rsidR="00991189" w:rsidRPr="000A556C" w:rsidRDefault="00991189" w:rsidP="00991189">
      <w:pPr>
        <w:pStyle w:val="Sinespaciado"/>
        <w:jc w:val="center"/>
        <w:rPr>
          <w:rFonts w:ascii="Arial" w:hAnsi="Arial" w:cs="Arial"/>
          <w:bdr w:val="none" w:sz="0" w:space="0" w:color="auto"/>
          <w:lang w:eastAsia="es-MX"/>
        </w:rPr>
      </w:pPr>
      <w:r w:rsidRPr="000A556C">
        <w:rPr>
          <w:rFonts w:ascii="Arial" w:hAnsi="Arial" w:cs="Arial"/>
          <w:bdr w:val="none" w:sz="0" w:space="0" w:color="auto"/>
          <w:lang w:eastAsia="es-MX"/>
        </w:rPr>
        <w:t>GOBERNADOR</w:t>
      </w:r>
    </w:p>
    <w:p w14:paraId="5C4C2975"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 xml:space="preserve"> </w:t>
      </w:r>
    </w:p>
    <w:p w14:paraId="70DF4398"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Su causa de pedir la sustentan, en que estos espectaculares, como actos de ejecución del Acuerdo CG/AC/028/15, emitido por el Consejo General del Instituto Electoral del Estado de Puebla, por el que se aprueban las políticas de comunicación social y la identidad gráfica para el proceso electoral estatal ordinario 2015-2016, contravienen los principios de igualdad, equidad de género y equidad en la contienda, con lo que afecta su derecho a votar y ser votadas consagrado en el artículo 35, fracción II, de la Constitución Federal.</w:t>
      </w:r>
    </w:p>
    <w:p w14:paraId="4031131B"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p>
    <w:p w14:paraId="35B6DA6F"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 xml:space="preserve">Las accionantes estiman que la identidad gráfica aprobada por el Organismo Público Electoral responsable, y su materialización a través de la promoción del voto ciudadano por medio de la colocación de doce espectaculares, cuatro pantallas </w:t>
      </w:r>
      <w:r w:rsidRPr="000A556C">
        <w:rPr>
          <w:rFonts w:ascii="Arial" w:eastAsia="Times New Roman" w:hAnsi="Arial" w:cs="Arial"/>
          <w:i/>
          <w:sz w:val="24"/>
          <w:szCs w:val="24"/>
          <w:lang w:eastAsia="es-MX"/>
        </w:rPr>
        <w:t xml:space="preserve">led, </w:t>
      </w:r>
      <w:r w:rsidRPr="000A556C">
        <w:rPr>
          <w:rFonts w:ascii="Arial" w:eastAsia="Times New Roman" w:hAnsi="Arial" w:cs="Arial"/>
          <w:sz w:val="24"/>
          <w:szCs w:val="24"/>
          <w:lang w:eastAsia="es-MX"/>
        </w:rPr>
        <w:t xml:space="preserve">y en el sitio </w:t>
      </w:r>
      <w:r w:rsidRPr="000A556C">
        <w:rPr>
          <w:rFonts w:ascii="Arial" w:eastAsia="Times New Roman" w:hAnsi="Arial" w:cs="Arial"/>
          <w:i/>
          <w:sz w:val="24"/>
          <w:szCs w:val="24"/>
          <w:lang w:eastAsia="es-MX"/>
        </w:rPr>
        <w:t>web</w:t>
      </w:r>
      <w:r w:rsidRPr="000A556C">
        <w:rPr>
          <w:rFonts w:ascii="Arial" w:eastAsia="Times New Roman" w:hAnsi="Arial" w:cs="Arial"/>
          <w:sz w:val="24"/>
          <w:szCs w:val="24"/>
          <w:lang w:eastAsia="es-MX"/>
        </w:rPr>
        <w:t xml:space="preserve"> oficial de la autoridad responsable, refleja a través del uso de la lengua, una discriminación hacia la mujer, que trasciende a la afectación del derecho de votar y ser votada de las actoras.</w:t>
      </w:r>
    </w:p>
    <w:p w14:paraId="42E6B62E"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p>
    <w:p w14:paraId="27E7E518"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En su concepto, la autoridad responsable transmite de forma trascendente, discriminatoria y desigual que el estereotipo deseado para la gubernatura del Estado de Puebla debe ser un hombre, negando con ello el lugar que ocupan las mujeres, y motivando a la sociedad poblana a que voten por un gobernador, sin dar la opción por medio del uso del lenguaje en el mensaje, de que se elija a una gobernadora, en detrimento de las tres mujeres candidatas que contienden el proceso electoral local.</w:t>
      </w:r>
    </w:p>
    <w:p w14:paraId="064C9028"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p>
    <w:p w14:paraId="4242F81E" w14:textId="77777777" w:rsidR="00991189" w:rsidRPr="000A556C" w:rsidRDefault="00991189" w:rsidP="00991189">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 xml:space="preserve">En ese contexto, atendiendo a la naturaleza de la </w:t>
      </w:r>
      <w:r w:rsidRPr="000A556C">
        <w:rPr>
          <w:rFonts w:ascii="Arial" w:eastAsia="Times New Roman" w:hAnsi="Arial" w:cs="Arial"/>
          <w:i/>
          <w:sz w:val="24"/>
          <w:szCs w:val="24"/>
          <w:lang w:eastAsia="es-MX"/>
        </w:rPr>
        <w:t xml:space="preserve">litis, </w:t>
      </w:r>
      <w:r w:rsidRPr="000A556C">
        <w:rPr>
          <w:rFonts w:ascii="Arial" w:eastAsia="Times New Roman" w:hAnsi="Arial" w:cs="Arial"/>
          <w:sz w:val="24"/>
          <w:szCs w:val="24"/>
          <w:lang w:eastAsia="es-MX"/>
        </w:rPr>
        <w:t>se estima oportuno traer a cuenta la siguiente jurisprudencia de la Suprema Corte de Justicia de la Nación</w:t>
      </w:r>
      <w:r w:rsidRPr="000A556C">
        <w:rPr>
          <w:rStyle w:val="Refdenotaalpie"/>
          <w:rFonts w:ascii="Arial" w:eastAsia="Times New Roman" w:hAnsi="Arial" w:cs="Arial"/>
          <w:sz w:val="24"/>
          <w:szCs w:val="24"/>
          <w:lang w:eastAsia="es-MX"/>
        </w:rPr>
        <w:footnoteReference w:id="20"/>
      </w:r>
      <w:r w:rsidRPr="000A556C">
        <w:rPr>
          <w:rFonts w:ascii="Arial" w:eastAsia="Times New Roman" w:hAnsi="Arial" w:cs="Arial"/>
          <w:sz w:val="24"/>
          <w:szCs w:val="24"/>
          <w:lang w:eastAsia="es-MX"/>
        </w:rPr>
        <w:t>:</w:t>
      </w:r>
    </w:p>
    <w:p w14:paraId="1E356979" w14:textId="77777777" w:rsidR="00991189" w:rsidRPr="00295B48" w:rsidRDefault="00991189" w:rsidP="00991189">
      <w:pPr>
        <w:spacing w:line="360" w:lineRule="auto"/>
        <w:ind w:firstLine="708"/>
        <w:jc w:val="both"/>
        <w:rPr>
          <w:rFonts w:ascii="Arial" w:eastAsia="Times New Roman" w:hAnsi="Arial" w:cs="Arial"/>
          <w:sz w:val="27"/>
          <w:szCs w:val="27"/>
          <w:lang w:eastAsia="es-MX"/>
        </w:rPr>
      </w:pPr>
    </w:p>
    <w:p w14:paraId="021C00E1" w14:textId="77777777" w:rsidR="00991189" w:rsidRPr="000A556C" w:rsidRDefault="00991189" w:rsidP="00991189">
      <w:pPr>
        <w:ind w:left="567" w:right="332"/>
        <w:jc w:val="both"/>
        <w:rPr>
          <w:rFonts w:ascii="Arial" w:eastAsia="Times New Roman" w:hAnsi="Arial" w:cs="Arial"/>
          <w:sz w:val="20"/>
          <w:szCs w:val="20"/>
          <w:lang w:eastAsia="es-MX"/>
        </w:rPr>
      </w:pPr>
      <w:r w:rsidRPr="000A556C">
        <w:rPr>
          <w:rFonts w:ascii="Arial" w:eastAsia="Times New Roman" w:hAnsi="Arial" w:cs="Arial"/>
          <w:b/>
          <w:sz w:val="20"/>
          <w:szCs w:val="20"/>
          <w:lang w:eastAsia="es-MX"/>
        </w:rPr>
        <w:lastRenderedPageBreak/>
        <w:t xml:space="preserve">ACCESO A LA JUSTICIA EN CONDICIONES DE IGUALDAD. ELEMENTOS PARA JUZGAR CON PERSPECTIVA DE GÉNERO. </w:t>
      </w:r>
      <w:r w:rsidRPr="000A556C">
        <w:rPr>
          <w:rFonts w:ascii="Arial" w:eastAsia="Times New Roman" w:hAnsi="Arial" w:cs="Arial"/>
          <w:sz w:val="20"/>
          <w:szCs w:val="20"/>
          <w:lang w:eastAsia="es-MX"/>
        </w:rPr>
        <w:t xml:space="preserve">Del reconocimiento de los derechos humanos a la igualdad y a la no discriminación por razones de género, deriva que todo órgano jurisdiccional debe impartir justicia con base en una perspectiva de género, para lo cual, debe implementarse un método en toda controversia judicial, aun cuando las partes no lo soliciten, a fin de verificar si existe una situación de violencia o vulnerabilidad que, por cuestiones de género, impida impartir justicia de manera completa e igualitaria. Para ello, el juzgador debe tomar en cuenta lo siguiente: i) identificar primeramente si existen situaciones de poder que por cuestiones de género den cuenta de un desequilibrio entre las partes de la controversia; </w:t>
      </w:r>
      <w:proofErr w:type="spellStart"/>
      <w:r w:rsidRPr="000A556C">
        <w:rPr>
          <w:rFonts w:ascii="Arial" w:eastAsia="Times New Roman" w:hAnsi="Arial" w:cs="Arial"/>
          <w:sz w:val="20"/>
          <w:szCs w:val="20"/>
          <w:lang w:eastAsia="es-MX"/>
        </w:rPr>
        <w:t>ii</w:t>
      </w:r>
      <w:proofErr w:type="spellEnd"/>
      <w:r w:rsidRPr="000A556C">
        <w:rPr>
          <w:rFonts w:ascii="Arial" w:eastAsia="Times New Roman" w:hAnsi="Arial" w:cs="Arial"/>
          <w:sz w:val="20"/>
          <w:szCs w:val="20"/>
          <w:lang w:eastAsia="es-MX"/>
        </w:rPr>
        <w:t xml:space="preserve">) cuestionar los hechos y valorar las pruebas desechando cualquier estereotipo o prejuicio de género, a fin de visualizar las situaciones de desventaja provocadas por condiciones de sexo o género; </w:t>
      </w:r>
      <w:proofErr w:type="spellStart"/>
      <w:r w:rsidRPr="000A556C">
        <w:rPr>
          <w:rFonts w:ascii="Arial" w:eastAsia="Times New Roman" w:hAnsi="Arial" w:cs="Arial"/>
          <w:sz w:val="20"/>
          <w:szCs w:val="20"/>
          <w:lang w:eastAsia="es-MX"/>
        </w:rPr>
        <w:t>iii</w:t>
      </w:r>
      <w:proofErr w:type="spellEnd"/>
      <w:r w:rsidRPr="000A556C">
        <w:rPr>
          <w:rFonts w:ascii="Arial" w:eastAsia="Times New Roman" w:hAnsi="Arial" w:cs="Arial"/>
          <w:sz w:val="20"/>
          <w:szCs w:val="20"/>
          <w:lang w:eastAsia="es-MX"/>
        </w:rPr>
        <w:t xml:space="preserve">) en caso de que el material probatorio no sea suficiente para aclarar la situación de violencia, vulnerabilidad o discriminación por razones de género, ordenar las pruebas necesarias para visibilizar dichas situaciones; </w:t>
      </w:r>
      <w:proofErr w:type="spellStart"/>
      <w:r w:rsidRPr="000A556C">
        <w:rPr>
          <w:rFonts w:ascii="Arial" w:eastAsia="Times New Roman" w:hAnsi="Arial" w:cs="Arial"/>
          <w:sz w:val="20"/>
          <w:szCs w:val="20"/>
          <w:lang w:eastAsia="es-MX"/>
        </w:rPr>
        <w:t>iv</w:t>
      </w:r>
      <w:proofErr w:type="spellEnd"/>
      <w:r w:rsidRPr="000A556C">
        <w:rPr>
          <w:rFonts w:ascii="Arial" w:eastAsia="Times New Roman" w:hAnsi="Arial" w:cs="Arial"/>
          <w:sz w:val="20"/>
          <w:szCs w:val="20"/>
          <w:lang w:eastAsia="es-MX"/>
        </w:rPr>
        <w:t xml:space="preserve">) de detectarse la situación de desventaja por cuestiones de género, cuestionar la neutralidad del derecho aplicable, así como evaluar el impacto diferenciado de la solución propuesta para buscar una resolución justa e igualitaria de acuerdo al contexto de desigualdad por condiciones de género; v) para ello debe aplicar los estándares de derechos humanos de todas las personas involucradas, especialmente de los niños y niñas; y, </w:t>
      </w:r>
      <w:r w:rsidRPr="000A556C">
        <w:rPr>
          <w:rFonts w:ascii="Arial" w:eastAsia="Times New Roman" w:hAnsi="Arial" w:cs="Arial"/>
          <w:b/>
          <w:sz w:val="20"/>
          <w:szCs w:val="20"/>
          <w:u w:val="single"/>
          <w:lang w:eastAsia="es-MX"/>
        </w:rPr>
        <w:t>vi) considerar que el método exige que, en todo momento, se evite el uso del lenguaje basado en estereotipos o prejuicios, por lo que debe procurarse un lenguaje incluyente con el objeto de asegurar un acceso a la justicia sin discriminación por motivos de género</w:t>
      </w:r>
      <w:r w:rsidRPr="000A556C">
        <w:rPr>
          <w:rFonts w:ascii="Arial" w:eastAsia="Times New Roman" w:hAnsi="Arial" w:cs="Arial"/>
          <w:sz w:val="20"/>
          <w:szCs w:val="20"/>
          <w:lang w:eastAsia="es-MX"/>
        </w:rPr>
        <w:t>.</w:t>
      </w:r>
    </w:p>
    <w:p w14:paraId="075A7AE1" w14:textId="77777777" w:rsidR="00991189" w:rsidRPr="000A556C" w:rsidRDefault="00991189" w:rsidP="00991189">
      <w:pPr>
        <w:spacing w:line="360" w:lineRule="auto"/>
        <w:ind w:firstLine="708"/>
        <w:jc w:val="both"/>
        <w:rPr>
          <w:rFonts w:ascii="Arial" w:eastAsia="Times New Roman" w:hAnsi="Arial" w:cs="Arial"/>
          <w:sz w:val="20"/>
          <w:szCs w:val="20"/>
          <w:lang w:eastAsia="es-MX"/>
        </w:rPr>
      </w:pPr>
    </w:p>
    <w:p w14:paraId="3528B3A0" w14:textId="77777777" w:rsidR="00991189" w:rsidRPr="00793E56" w:rsidRDefault="00991189" w:rsidP="00991189">
      <w:pPr>
        <w:spacing w:after="0" w:line="240" w:lineRule="auto"/>
        <w:ind w:firstLine="708"/>
        <w:jc w:val="both"/>
        <w:rPr>
          <w:rFonts w:ascii="Arial" w:eastAsia="Times New Roman" w:hAnsi="Arial" w:cs="Arial"/>
          <w:sz w:val="24"/>
          <w:szCs w:val="24"/>
          <w:lang w:eastAsia="es-MX"/>
        </w:rPr>
      </w:pPr>
      <w:r w:rsidRPr="00793E56">
        <w:rPr>
          <w:rFonts w:ascii="Arial" w:eastAsia="Times New Roman" w:hAnsi="Arial" w:cs="Arial"/>
          <w:sz w:val="24"/>
          <w:szCs w:val="24"/>
          <w:lang w:eastAsia="es-MX"/>
        </w:rPr>
        <w:t>Del criterio jurisprudencial trasunto, se estima dable colegir, que juzgar con perspectiva de género implica hacer realidad el derecho a la igualdad; además de que se responde a una obligación constitucional y convencional de combatir la desigualdad por medio del quehacer jurisdiccional para garantizar el acceso a la justicia y remediar, en un caso concreto, situaciones asimétricas de poder.</w:t>
      </w:r>
    </w:p>
    <w:p w14:paraId="757FE032" w14:textId="77777777" w:rsidR="00991189" w:rsidRPr="00793E56" w:rsidRDefault="00991189" w:rsidP="00991189">
      <w:pPr>
        <w:spacing w:after="0" w:line="240" w:lineRule="auto"/>
        <w:ind w:firstLine="708"/>
        <w:jc w:val="both"/>
        <w:rPr>
          <w:rFonts w:ascii="Arial" w:eastAsia="Times New Roman" w:hAnsi="Arial" w:cs="Arial"/>
          <w:sz w:val="24"/>
          <w:szCs w:val="24"/>
          <w:lang w:eastAsia="es-MX"/>
        </w:rPr>
      </w:pPr>
    </w:p>
    <w:p w14:paraId="45C8E260" w14:textId="77777777" w:rsidR="00991189" w:rsidRPr="00793E56" w:rsidRDefault="00991189" w:rsidP="00991189">
      <w:pPr>
        <w:spacing w:after="0" w:line="240" w:lineRule="auto"/>
        <w:ind w:firstLine="708"/>
        <w:jc w:val="both"/>
        <w:rPr>
          <w:rFonts w:ascii="Arial" w:eastAsia="Times New Roman" w:hAnsi="Arial" w:cs="Arial"/>
          <w:sz w:val="24"/>
          <w:szCs w:val="24"/>
          <w:lang w:eastAsia="es-MX"/>
        </w:rPr>
      </w:pPr>
      <w:r w:rsidRPr="00793E56">
        <w:rPr>
          <w:rFonts w:ascii="Arial" w:eastAsia="Times New Roman" w:hAnsi="Arial" w:cs="Arial"/>
          <w:sz w:val="24"/>
          <w:szCs w:val="24"/>
          <w:lang w:eastAsia="es-MX"/>
        </w:rPr>
        <w:t xml:space="preserve">Lo anterior, tomando en cuenta que el fin del Derecho es combatir esas relaciones asimétricas de poder y los esquemas de desigualdad que determinan el diseño y ejecución del sistema; ello a través del quehacer jurisdiccional de los tribunales constitucionales, que, como correctores del sistema, tienen un invaluable potencial para la transformación de la desigualdad formal, material y estructural; dado que quienes juzgan, son agentes de cambio en el diseño y ejecución de ese sistema. </w:t>
      </w:r>
    </w:p>
    <w:p w14:paraId="46A15703" w14:textId="77777777" w:rsidR="00991189" w:rsidRPr="00793E56" w:rsidRDefault="00991189" w:rsidP="00991189">
      <w:pPr>
        <w:spacing w:after="0" w:line="240" w:lineRule="auto"/>
        <w:ind w:firstLine="708"/>
        <w:jc w:val="both"/>
        <w:rPr>
          <w:rFonts w:ascii="Arial" w:eastAsia="Times New Roman" w:hAnsi="Arial" w:cs="Arial"/>
          <w:sz w:val="24"/>
          <w:szCs w:val="24"/>
          <w:lang w:eastAsia="es-MX"/>
        </w:rPr>
      </w:pPr>
    </w:p>
    <w:p w14:paraId="3693FBA3" w14:textId="77777777" w:rsidR="00991189" w:rsidRPr="00793E56" w:rsidRDefault="00991189" w:rsidP="00991189">
      <w:pPr>
        <w:spacing w:after="0" w:line="240" w:lineRule="auto"/>
        <w:ind w:firstLine="708"/>
        <w:jc w:val="both"/>
        <w:rPr>
          <w:rFonts w:ascii="Arial" w:eastAsia="Times New Roman" w:hAnsi="Arial" w:cs="Arial"/>
          <w:sz w:val="24"/>
          <w:szCs w:val="24"/>
          <w:lang w:eastAsia="es-MX"/>
        </w:rPr>
      </w:pPr>
      <w:r w:rsidRPr="00793E56">
        <w:rPr>
          <w:rFonts w:ascii="Arial" w:eastAsia="Times New Roman" w:hAnsi="Arial" w:cs="Arial"/>
          <w:sz w:val="24"/>
          <w:szCs w:val="24"/>
          <w:lang w:eastAsia="es-MX"/>
        </w:rPr>
        <w:t>Además, se advierte que el Alto Tribunal del país, considera que el mandato de la igualdad requiere eventualmente de quienes imparten justicia, un ejercicio de deconstrucción de la forma en que se ha interpretado y aplicado el Derecho, hasta el momento en que se les plantea una controversia para su solución.</w:t>
      </w:r>
    </w:p>
    <w:p w14:paraId="6629651E" w14:textId="77777777" w:rsidR="00991189" w:rsidRPr="00793E56" w:rsidRDefault="00991189" w:rsidP="00991189">
      <w:pPr>
        <w:spacing w:after="0" w:line="240" w:lineRule="auto"/>
        <w:ind w:firstLine="708"/>
        <w:jc w:val="both"/>
        <w:rPr>
          <w:rFonts w:ascii="Arial" w:eastAsia="Times New Roman" w:hAnsi="Arial" w:cs="Arial"/>
          <w:sz w:val="24"/>
          <w:szCs w:val="24"/>
          <w:lang w:eastAsia="es-MX"/>
        </w:rPr>
      </w:pPr>
    </w:p>
    <w:p w14:paraId="5D1925FC" w14:textId="77777777" w:rsidR="00991189" w:rsidRPr="00793E56" w:rsidRDefault="00991189" w:rsidP="00991189">
      <w:pPr>
        <w:spacing w:after="0" w:line="240" w:lineRule="auto"/>
        <w:ind w:firstLine="708"/>
        <w:jc w:val="both"/>
        <w:rPr>
          <w:rFonts w:ascii="Arial" w:eastAsia="Times New Roman" w:hAnsi="Arial" w:cs="Arial"/>
          <w:sz w:val="24"/>
          <w:szCs w:val="24"/>
          <w:lang w:eastAsia="es-MX"/>
        </w:rPr>
      </w:pPr>
      <w:r w:rsidRPr="00793E56">
        <w:rPr>
          <w:rFonts w:ascii="Arial" w:eastAsia="Times New Roman" w:hAnsi="Arial" w:cs="Arial"/>
          <w:sz w:val="24"/>
          <w:szCs w:val="24"/>
          <w:lang w:eastAsia="es-MX"/>
        </w:rPr>
        <w:t xml:space="preserve">Dentro de todo el concepto de juzgamiento con perspectiva de género propuesto por la Suprema Corte, -circunscribiendo a la materia de la </w:t>
      </w:r>
      <w:r w:rsidRPr="00793E56">
        <w:rPr>
          <w:rFonts w:ascii="Arial" w:eastAsia="Times New Roman" w:hAnsi="Arial" w:cs="Arial"/>
          <w:i/>
          <w:sz w:val="24"/>
          <w:szCs w:val="24"/>
          <w:lang w:eastAsia="es-MX"/>
        </w:rPr>
        <w:t>litis</w:t>
      </w:r>
      <w:r w:rsidRPr="00793E56">
        <w:rPr>
          <w:rFonts w:ascii="Arial" w:eastAsia="Times New Roman" w:hAnsi="Arial" w:cs="Arial"/>
          <w:sz w:val="24"/>
          <w:szCs w:val="24"/>
          <w:lang w:eastAsia="es-MX"/>
        </w:rPr>
        <w:t xml:space="preserve"> del caso que nos ocupa- en lo conducente, por lo que hace a la utilización del lenguaje incluyente, el criterio jurisprudencial orienta su concepción a considerar que el método exige que, en todo momento, </w:t>
      </w:r>
      <w:r w:rsidRPr="00793E56">
        <w:rPr>
          <w:rFonts w:ascii="Arial" w:eastAsia="Times New Roman" w:hAnsi="Arial" w:cs="Arial"/>
          <w:b/>
          <w:sz w:val="24"/>
          <w:szCs w:val="24"/>
          <w:lang w:eastAsia="es-MX"/>
        </w:rPr>
        <w:t xml:space="preserve">se evite el uso del lenguaje basado en </w:t>
      </w:r>
      <w:r w:rsidRPr="00793E56">
        <w:rPr>
          <w:rFonts w:ascii="Arial" w:eastAsia="Times New Roman" w:hAnsi="Arial" w:cs="Arial"/>
          <w:b/>
          <w:sz w:val="24"/>
          <w:szCs w:val="24"/>
          <w:lang w:eastAsia="es-MX"/>
        </w:rPr>
        <w:lastRenderedPageBreak/>
        <w:t>estereotipos o prejuicios, por lo que debe procurarse un lenguaje incluyente con el objeto de asegurar un acceso a la justicia sin desequilibrio por motivos de género</w:t>
      </w:r>
      <w:r w:rsidRPr="00793E56">
        <w:rPr>
          <w:rFonts w:ascii="Arial" w:eastAsia="Times New Roman" w:hAnsi="Arial" w:cs="Arial"/>
          <w:sz w:val="24"/>
          <w:szCs w:val="24"/>
          <w:lang w:eastAsia="es-MX"/>
        </w:rPr>
        <w:t>.</w:t>
      </w:r>
    </w:p>
    <w:p w14:paraId="28D31894" w14:textId="77777777" w:rsidR="00991189" w:rsidRPr="00793E56" w:rsidRDefault="00991189" w:rsidP="00991189">
      <w:pPr>
        <w:spacing w:after="0" w:line="240" w:lineRule="auto"/>
        <w:ind w:firstLine="708"/>
        <w:jc w:val="both"/>
        <w:rPr>
          <w:rFonts w:ascii="Arial" w:eastAsia="Times New Roman" w:hAnsi="Arial" w:cs="Arial"/>
          <w:sz w:val="24"/>
          <w:szCs w:val="24"/>
          <w:lang w:eastAsia="es-MX"/>
        </w:rPr>
      </w:pPr>
    </w:p>
    <w:p w14:paraId="4562AC0C" w14:textId="77777777" w:rsidR="00991189" w:rsidRPr="00793E56" w:rsidRDefault="00991189" w:rsidP="00991189">
      <w:pPr>
        <w:spacing w:after="0" w:line="240" w:lineRule="auto"/>
        <w:ind w:firstLine="708"/>
        <w:jc w:val="both"/>
        <w:rPr>
          <w:rFonts w:ascii="Arial" w:eastAsia="Times New Roman" w:hAnsi="Arial" w:cs="Arial"/>
          <w:sz w:val="24"/>
          <w:szCs w:val="24"/>
          <w:lang w:eastAsia="es-MX"/>
        </w:rPr>
      </w:pPr>
      <w:r w:rsidRPr="00793E56">
        <w:rPr>
          <w:rFonts w:ascii="Arial" w:eastAsia="Times New Roman" w:hAnsi="Arial" w:cs="Arial"/>
          <w:sz w:val="24"/>
          <w:szCs w:val="24"/>
          <w:lang w:eastAsia="es-MX"/>
        </w:rPr>
        <w:t>Bajo esa lógica argumentativa, para explicar el alcance del principio de igualdad que las actoras aducen vulnerado, conforme al marco jurídico y preliminar anteriormente invocado, se considera oportuno precisar lo siguiente:</w:t>
      </w:r>
    </w:p>
    <w:p w14:paraId="756F30BB" w14:textId="77777777" w:rsidR="00991189" w:rsidRPr="00793E56" w:rsidRDefault="00991189" w:rsidP="00991189">
      <w:pPr>
        <w:spacing w:after="0" w:line="240" w:lineRule="auto"/>
        <w:ind w:firstLine="708"/>
        <w:jc w:val="both"/>
        <w:rPr>
          <w:rFonts w:ascii="Arial" w:eastAsia="Times New Roman" w:hAnsi="Arial" w:cs="Arial"/>
          <w:sz w:val="24"/>
          <w:szCs w:val="24"/>
          <w:lang w:eastAsia="es-MX"/>
        </w:rPr>
      </w:pPr>
    </w:p>
    <w:p w14:paraId="45AD771C" w14:textId="77777777" w:rsidR="00991189" w:rsidRPr="00793E56" w:rsidRDefault="00991189" w:rsidP="00991189">
      <w:pPr>
        <w:spacing w:after="0" w:line="240" w:lineRule="auto"/>
        <w:ind w:firstLine="708"/>
        <w:jc w:val="both"/>
        <w:rPr>
          <w:rFonts w:ascii="Arial" w:eastAsia="Times New Roman" w:hAnsi="Arial" w:cs="Arial"/>
          <w:sz w:val="24"/>
          <w:szCs w:val="24"/>
          <w:lang w:eastAsia="es-MX"/>
        </w:rPr>
      </w:pPr>
      <w:r w:rsidRPr="00793E56">
        <w:rPr>
          <w:rFonts w:ascii="Arial" w:eastAsia="Times New Roman" w:hAnsi="Arial" w:cs="Arial"/>
          <w:sz w:val="24"/>
          <w:szCs w:val="24"/>
          <w:lang w:eastAsia="es-MX"/>
        </w:rPr>
        <w:t xml:space="preserve">En el orden internacional en que se encuentra inmerso el Estado Mexicano, en los artículos 3 y 7, de la Convención sobre la eliminación de todas las formas de discriminación contra la mujer (CEDAW) impone en cuanto a la participación política de las mujeres y la igualdad de género, dos cuestiones fundamentales, a saber: </w:t>
      </w:r>
    </w:p>
    <w:p w14:paraId="2ABF4CB5" w14:textId="77777777" w:rsidR="00991189" w:rsidRPr="00793E56" w:rsidRDefault="00991189" w:rsidP="00991189">
      <w:pPr>
        <w:spacing w:after="0" w:line="240" w:lineRule="auto"/>
        <w:ind w:firstLine="708"/>
        <w:jc w:val="both"/>
        <w:rPr>
          <w:rFonts w:ascii="Arial" w:eastAsia="Times New Roman" w:hAnsi="Arial" w:cs="Arial"/>
          <w:sz w:val="24"/>
          <w:szCs w:val="24"/>
          <w:lang w:eastAsia="es-MX"/>
        </w:rPr>
      </w:pPr>
    </w:p>
    <w:p w14:paraId="07EE85F0" w14:textId="77777777" w:rsidR="00991189" w:rsidRPr="00793E56" w:rsidRDefault="00991189" w:rsidP="00991189">
      <w:pPr>
        <w:pStyle w:val="Prrafodelista"/>
        <w:numPr>
          <w:ilvl w:val="0"/>
          <w:numId w:val="7"/>
        </w:numPr>
        <w:ind w:left="284"/>
        <w:jc w:val="both"/>
        <w:rPr>
          <w:rFonts w:ascii="Arial" w:hAnsi="Arial" w:cs="Arial"/>
        </w:rPr>
      </w:pPr>
      <w:r w:rsidRPr="00793E56">
        <w:rPr>
          <w:rFonts w:ascii="Arial" w:hAnsi="Arial" w:cs="Arial"/>
        </w:rPr>
        <w:t>El reconocimiento del deber de las naciones de garantizar la plenitud de sus derechos, y con ello, el acceso a espacios de toma de decisión; a la representación efectiva de las mujeres en los órganos de poder y autoridad.</w:t>
      </w:r>
    </w:p>
    <w:p w14:paraId="6494F4EB" w14:textId="77777777" w:rsidR="00991189" w:rsidRPr="00793E56" w:rsidRDefault="00991189" w:rsidP="00991189">
      <w:pPr>
        <w:pStyle w:val="Prrafodelista"/>
        <w:numPr>
          <w:ilvl w:val="0"/>
          <w:numId w:val="7"/>
        </w:numPr>
        <w:ind w:left="284"/>
        <w:jc w:val="both"/>
        <w:rPr>
          <w:rFonts w:ascii="Arial" w:hAnsi="Arial" w:cs="Arial"/>
        </w:rPr>
      </w:pPr>
      <w:r w:rsidRPr="00793E56">
        <w:rPr>
          <w:rFonts w:ascii="Arial" w:hAnsi="Arial" w:cs="Arial"/>
        </w:rPr>
        <w:t xml:space="preserve">La modificación del marco legal y la realización de acciones, incluyendo desde luego las estatales, que posibiliten, en forma sustantiva, en los hechos, la eliminación de barreras estructurales y culturales generadoras de las asimetrías existentes. </w:t>
      </w:r>
    </w:p>
    <w:p w14:paraId="4184C612" w14:textId="77777777" w:rsidR="00991189" w:rsidRPr="00793E56" w:rsidRDefault="00991189" w:rsidP="00991189">
      <w:pPr>
        <w:spacing w:after="0" w:line="240" w:lineRule="auto"/>
        <w:ind w:firstLine="708"/>
        <w:jc w:val="both"/>
        <w:rPr>
          <w:rFonts w:ascii="Arial" w:eastAsia="Times New Roman" w:hAnsi="Arial" w:cs="Arial"/>
          <w:sz w:val="24"/>
          <w:szCs w:val="24"/>
          <w:lang w:eastAsia="es-MX"/>
        </w:rPr>
      </w:pPr>
    </w:p>
    <w:p w14:paraId="1DAF6D31" w14:textId="77777777" w:rsidR="00991189" w:rsidRPr="00793E56" w:rsidRDefault="00991189" w:rsidP="00991189">
      <w:pPr>
        <w:spacing w:after="0" w:line="240" w:lineRule="auto"/>
        <w:ind w:firstLine="708"/>
        <w:jc w:val="both"/>
        <w:rPr>
          <w:rFonts w:ascii="Arial" w:eastAsia="Times New Roman" w:hAnsi="Arial" w:cs="Arial"/>
          <w:sz w:val="24"/>
          <w:szCs w:val="24"/>
          <w:lang w:eastAsia="es-MX"/>
        </w:rPr>
      </w:pPr>
      <w:r w:rsidRPr="00793E56">
        <w:rPr>
          <w:rFonts w:ascii="Arial" w:eastAsia="Times New Roman" w:hAnsi="Arial" w:cs="Arial"/>
          <w:sz w:val="24"/>
          <w:szCs w:val="24"/>
          <w:lang w:eastAsia="es-MX"/>
        </w:rPr>
        <w:t xml:space="preserve">En las normas en comento, se contiene la exigencia de garantizar a las mujeres, en igualdad de condiciones </w:t>
      </w:r>
      <w:proofErr w:type="gramStart"/>
      <w:r w:rsidRPr="00793E56">
        <w:rPr>
          <w:rFonts w:ascii="Arial" w:eastAsia="Times New Roman" w:hAnsi="Arial" w:cs="Arial"/>
          <w:sz w:val="24"/>
          <w:szCs w:val="24"/>
          <w:lang w:eastAsia="es-MX"/>
        </w:rPr>
        <w:t>en relación a</w:t>
      </w:r>
      <w:proofErr w:type="gramEnd"/>
      <w:r w:rsidRPr="00793E56">
        <w:rPr>
          <w:rFonts w:ascii="Arial" w:eastAsia="Times New Roman" w:hAnsi="Arial" w:cs="Arial"/>
          <w:sz w:val="24"/>
          <w:szCs w:val="24"/>
          <w:lang w:eastAsia="es-MX"/>
        </w:rPr>
        <w:t xml:space="preserve"> los hombres, el derecho al sufragio en sus dos vertientes, esto es, en su calidad de electoras y de candidatas a cargos de elección popular; como también, el derecho a participar en la creación y en la ejecución de las políticas de gobierno; y a ocupar cargos de orden público en todos los planos gubernamentales.</w:t>
      </w:r>
    </w:p>
    <w:p w14:paraId="6DFCC3AB" w14:textId="77777777" w:rsidR="00991189" w:rsidRPr="00793E56" w:rsidRDefault="00991189" w:rsidP="00991189">
      <w:pPr>
        <w:spacing w:after="0" w:line="240" w:lineRule="auto"/>
        <w:ind w:firstLine="708"/>
        <w:jc w:val="both"/>
        <w:rPr>
          <w:rFonts w:ascii="Arial" w:eastAsia="Times New Roman" w:hAnsi="Arial" w:cs="Arial"/>
          <w:sz w:val="24"/>
          <w:szCs w:val="24"/>
          <w:lang w:eastAsia="es-MX"/>
        </w:rPr>
      </w:pPr>
    </w:p>
    <w:p w14:paraId="14EB7348" w14:textId="77777777" w:rsidR="00991189" w:rsidRPr="00793E56" w:rsidRDefault="00991189" w:rsidP="00991189">
      <w:pPr>
        <w:spacing w:after="0" w:line="240" w:lineRule="auto"/>
        <w:ind w:firstLine="708"/>
        <w:jc w:val="both"/>
        <w:rPr>
          <w:rFonts w:ascii="Arial" w:eastAsia="Times New Roman" w:hAnsi="Arial" w:cs="Arial"/>
          <w:sz w:val="24"/>
          <w:szCs w:val="24"/>
          <w:lang w:eastAsia="es-MX"/>
        </w:rPr>
      </w:pPr>
      <w:r w:rsidRPr="00793E56">
        <w:rPr>
          <w:rFonts w:ascii="Arial" w:eastAsia="Times New Roman" w:hAnsi="Arial" w:cs="Arial"/>
          <w:sz w:val="24"/>
          <w:szCs w:val="24"/>
          <w:lang w:eastAsia="es-MX"/>
        </w:rPr>
        <w:t>En el sistema comunitario europeo, referente del sistema interamericano, el Código de Buenas Prácticas en Materia Electoral de la Comisión para la Democracia por el Derecho (Comisión de Venecia), respecto a la forma en cómo habrá de concebirse la paridad de género, es enfático al establecer que los Estados a partir de su propio orden constitucional podrán adoptar reglas para garantizar cierto equilibrio de ambos géneros en la integración de órganos electos, en los términos siguientes:</w:t>
      </w:r>
    </w:p>
    <w:p w14:paraId="27B243E2" w14:textId="77777777" w:rsidR="00991189" w:rsidRDefault="00991189" w:rsidP="00991189">
      <w:pPr>
        <w:widowControl w:val="0"/>
        <w:shd w:val="clear" w:color="auto" w:fill="FFFFFF" w:themeFill="background1"/>
        <w:ind w:left="567" w:right="567"/>
        <w:jc w:val="both"/>
        <w:rPr>
          <w:rFonts w:ascii="Arial" w:hAnsi="Arial" w:cs="Arial"/>
          <w:szCs w:val="28"/>
          <w:lang w:val="es-ES_tradnl"/>
        </w:rPr>
      </w:pPr>
    </w:p>
    <w:p w14:paraId="7CE30DD0" w14:textId="77777777" w:rsidR="00991189" w:rsidRPr="00A87A13" w:rsidRDefault="00991189" w:rsidP="00991189">
      <w:pPr>
        <w:ind w:left="567" w:right="332"/>
        <w:jc w:val="both"/>
        <w:rPr>
          <w:rFonts w:ascii="Arial" w:eastAsia="Times New Roman" w:hAnsi="Arial" w:cs="Arial"/>
          <w:sz w:val="20"/>
          <w:szCs w:val="20"/>
          <w:lang w:eastAsia="es-MX"/>
        </w:rPr>
      </w:pPr>
      <w:r w:rsidRPr="00A87A13">
        <w:rPr>
          <w:rFonts w:ascii="Arial" w:eastAsia="Times New Roman" w:hAnsi="Arial" w:cs="Arial"/>
          <w:sz w:val="20"/>
          <w:szCs w:val="20"/>
          <w:lang w:eastAsia="es-MX"/>
        </w:rPr>
        <w:t>“2.5 Igualdad y paridad entre los sexos.</w:t>
      </w:r>
    </w:p>
    <w:p w14:paraId="2D95E72A" w14:textId="77777777" w:rsidR="00991189" w:rsidRPr="00A87A13" w:rsidRDefault="00991189" w:rsidP="00991189">
      <w:pPr>
        <w:ind w:right="332"/>
        <w:jc w:val="both"/>
        <w:rPr>
          <w:rFonts w:ascii="Arial" w:eastAsia="Times New Roman" w:hAnsi="Arial" w:cs="Arial"/>
          <w:sz w:val="20"/>
          <w:szCs w:val="20"/>
          <w:lang w:eastAsia="es-MX"/>
        </w:rPr>
      </w:pPr>
    </w:p>
    <w:p w14:paraId="6AD200CF" w14:textId="77777777" w:rsidR="00991189" w:rsidRDefault="00991189" w:rsidP="00991189">
      <w:pPr>
        <w:ind w:left="567" w:right="332"/>
        <w:jc w:val="both"/>
        <w:rPr>
          <w:rFonts w:ascii="Arial" w:eastAsia="Times New Roman" w:hAnsi="Arial" w:cs="Arial"/>
          <w:sz w:val="20"/>
          <w:szCs w:val="20"/>
          <w:lang w:eastAsia="es-MX"/>
        </w:rPr>
      </w:pPr>
      <w:r w:rsidRPr="00A87A13">
        <w:rPr>
          <w:rFonts w:ascii="Arial" w:eastAsia="Times New Roman" w:hAnsi="Arial" w:cs="Arial"/>
          <w:sz w:val="20"/>
          <w:szCs w:val="20"/>
          <w:lang w:eastAsia="es-MX"/>
        </w:rPr>
        <w:t>24. En los casos en que existe una base constitucional específica, se podrán adoptar reglas que garanticen un cierto equilibrio de ambos sexos en los órganos electos, o incluso la representación paritaria. En ausencia de base constitucional, esas disposiciones podrían ser consideradas contrarias al principio de igualdad y de libertad de asociación.</w:t>
      </w:r>
    </w:p>
    <w:p w14:paraId="1575FB24" w14:textId="77777777" w:rsidR="00991189" w:rsidRPr="00A87A13" w:rsidRDefault="00991189" w:rsidP="00991189">
      <w:pPr>
        <w:ind w:left="567" w:right="332"/>
        <w:jc w:val="both"/>
        <w:rPr>
          <w:rFonts w:ascii="Arial" w:eastAsia="Times New Roman" w:hAnsi="Arial" w:cs="Arial"/>
          <w:sz w:val="20"/>
          <w:szCs w:val="20"/>
          <w:lang w:eastAsia="es-MX"/>
        </w:rPr>
      </w:pPr>
    </w:p>
    <w:p w14:paraId="6A3043F4" w14:textId="77777777" w:rsidR="00991189" w:rsidRPr="00A87A13" w:rsidRDefault="00991189" w:rsidP="00991189">
      <w:pPr>
        <w:ind w:left="567" w:right="332"/>
        <w:jc w:val="both"/>
        <w:rPr>
          <w:rFonts w:ascii="Arial" w:eastAsia="Times New Roman" w:hAnsi="Arial" w:cs="Arial"/>
          <w:sz w:val="20"/>
          <w:szCs w:val="20"/>
          <w:lang w:eastAsia="es-MX"/>
        </w:rPr>
      </w:pPr>
      <w:r w:rsidRPr="00A87A13">
        <w:rPr>
          <w:rFonts w:ascii="Arial" w:eastAsia="Times New Roman" w:hAnsi="Arial" w:cs="Arial"/>
          <w:sz w:val="20"/>
          <w:szCs w:val="20"/>
          <w:lang w:eastAsia="es-MX"/>
        </w:rPr>
        <w:t xml:space="preserve">25. Por otra parte, el alcance de estas reglas depende del sistema electoral. En un sistema de listas cerradas, la paridad se impone si éstas incluyen el mismo número de hombres y </w:t>
      </w:r>
      <w:r w:rsidRPr="00A87A13">
        <w:rPr>
          <w:rFonts w:ascii="Arial" w:eastAsia="Times New Roman" w:hAnsi="Arial" w:cs="Arial"/>
          <w:sz w:val="20"/>
          <w:szCs w:val="20"/>
          <w:lang w:eastAsia="es-MX"/>
        </w:rPr>
        <w:lastRenderedPageBreak/>
        <w:t>de mujeres que pueden ser elegidos. Sin embargo, cuando son posibles el voto de preferencia o el voto dividido, no es seguro que los votantes elegirán candidatos de ambos sexos, por lo que la selección de los votantes puede llevar a una composición desequilibrada del órgano electo.”</w:t>
      </w:r>
    </w:p>
    <w:p w14:paraId="58ABEA77" w14:textId="77777777" w:rsidR="00991189" w:rsidRDefault="00991189" w:rsidP="00991189">
      <w:pPr>
        <w:spacing w:after="0" w:line="240" w:lineRule="auto"/>
        <w:jc w:val="both"/>
        <w:rPr>
          <w:rFonts w:ascii="Arial" w:eastAsia="Times New Roman" w:hAnsi="Arial" w:cs="Arial"/>
          <w:sz w:val="20"/>
          <w:szCs w:val="20"/>
          <w:lang w:eastAsia="es-MX"/>
        </w:rPr>
      </w:pPr>
    </w:p>
    <w:p w14:paraId="564EB69D" w14:textId="77777777" w:rsidR="00991189" w:rsidRPr="00F557D9" w:rsidRDefault="00991189" w:rsidP="00991189">
      <w:pPr>
        <w:spacing w:after="0" w:line="240" w:lineRule="auto"/>
        <w:jc w:val="both"/>
        <w:rPr>
          <w:rFonts w:ascii="Arial" w:eastAsia="Times New Roman" w:hAnsi="Arial" w:cs="Arial"/>
          <w:sz w:val="24"/>
          <w:szCs w:val="24"/>
          <w:lang w:eastAsia="es-MX"/>
        </w:rPr>
      </w:pPr>
    </w:p>
    <w:p w14:paraId="24C087A5" w14:textId="77777777" w:rsidR="00991189" w:rsidRPr="00F557D9" w:rsidRDefault="00991189" w:rsidP="00991189">
      <w:pPr>
        <w:spacing w:after="0" w:line="240" w:lineRule="auto"/>
        <w:ind w:firstLine="708"/>
        <w:jc w:val="both"/>
        <w:rPr>
          <w:rFonts w:ascii="Arial" w:eastAsia="Times New Roman" w:hAnsi="Arial" w:cs="Arial"/>
          <w:sz w:val="24"/>
          <w:szCs w:val="24"/>
          <w:lang w:eastAsia="es-MX"/>
        </w:rPr>
      </w:pPr>
      <w:r w:rsidRPr="00F557D9">
        <w:rPr>
          <w:rFonts w:ascii="Arial" w:eastAsia="Times New Roman" w:hAnsi="Arial" w:cs="Arial"/>
          <w:sz w:val="24"/>
          <w:szCs w:val="24"/>
          <w:lang w:eastAsia="es-MX"/>
        </w:rPr>
        <w:t xml:space="preserve">En relación con lo anterior, conviene reseñar que México transitó en un andamiaje legal electoral acorde con el mandato de impulso al pleno ejercicio de los derechos de las mujeres en un plano de igualdad de género ante los varones, primero con la previsión de cuotas. </w:t>
      </w:r>
    </w:p>
    <w:p w14:paraId="092079EB" w14:textId="77777777" w:rsidR="00991189" w:rsidRPr="00F557D9" w:rsidRDefault="00991189" w:rsidP="00991189">
      <w:pPr>
        <w:spacing w:after="0" w:line="240" w:lineRule="auto"/>
        <w:ind w:firstLine="708"/>
        <w:jc w:val="both"/>
        <w:rPr>
          <w:rFonts w:ascii="Arial" w:eastAsia="Times New Roman" w:hAnsi="Arial" w:cs="Arial"/>
          <w:sz w:val="24"/>
          <w:szCs w:val="24"/>
          <w:lang w:eastAsia="es-MX"/>
        </w:rPr>
      </w:pPr>
    </w:p>
    <w:p w14:paraId="3DF1EFF5" w14:textId="77777777" w:rsidR="00991189" w:rsidRPr="00F557D9" w:rsidRDefault="00991189" w:rsidP="00991189">
      <w:pPr>
        <w:spacing w:after="0" w:line="240" w:lineRule="auto"/>
        <w:ind w:firstLine="708"/>
        <w:jc w:val="both"/>
        <w:rPr>
          <w:rFonts w:ascii="Arial" w:eastAsia="Times New Roman" w:hAnsi="Arial" w:cs="Arial"/>
          <w:sz w:val="24"/>
          <w:szCs w:val="24"/>
          <w:lang w:eastAsia="es-MX"/>
        </w:rPr>
      </w:pPr>
      <w:r w:rsidRPr="00F557D9">
        <w:rPr>
          <w:rFonts w:ascii="Arial" w:eastAsia="Times New Roman" w:hAnsi="Arial" w:cs="Arial"/>
          <w:sz w:val="24"/>
          <w:szCs w:val="24"/>
          <w:lang w:eastAsia="es-MX"/>
        </w:rPr>
        <w:t>Con el fin de acelerar la igualdad de facto entre hombres y mujeres, la jurisprudencia y precedentes de este Tribunal Electoral han potenciado el reconocimiento y tutela del derecho que tienen para acceder a cargos de elección popular en condiciones de igualdad y equidad.</w:t>
      </w:r>
    </w:p>
    <w:p w14:paraId="058F5DB4" w14:textId="77777777" w:rsidR="00991189" w:rsidRPr="00F557D9" w:rsidRDefault="00991189" w:rsidP="00991189">
      <w:pPr>
        <w:spacing w:after="0" w:line="240" w:lineRule="auto"/>
        <w:ind w:firstLine="708"/>
        <w:jc w:val="both"/>
        <w:rPr>
          <w:rFonts w:ascii="Arial" w:eastAsia="Times New Roman" w:hAnsi="Arial" w:cs="Arial"/>
          <w:sz w:val="24"/>
          <w:szCs w:val="24"/>
          <w:lang w:eastAsia="es-MX"/>
        </w:rPr>
      </w:pPr>
    </w:p>
    <w:p w14:paraId="680A71BE" w14:textId="77777777" w:rsidR="00991189" w:rsidRPr="00F557D9" w:rsidRDefault="00991189" w:rsidP="00991189">
      <w:pPr>
        <w:spacing w:after="0" w:line="240" w:lineRule="auto"/>
        <w:ind w:firstLine="708"/>
        <w:jc w:val="both"/>
        <w:rPr>
          <w:rFonts w:ascii="Arial" w:eastAsia="Times New Roman" w:hAnsi="Arial" w:cs="Arial"/>
          <w:sz w:val="24"/>
          <w:szCs w:val="24"/>
          <w:lang w:eastAsia="es-MX"/>
        </w:rPr>
      </w:pPr>
      <w:r w:rsidRPr="00F557D9">
        <w:rPr>
          <w:rFonts w:ascii="Arial" w:eastAsia="Times New Roman" w:hAnsi="Arial" w:cs="Arial"/>
          <w:sz w:val="24"/>
          <w:szCs w:val="24"/>
          <w:lang w:eastAsia="es-MX"/>
        </w:rPr>
        <w:t xml:space="preserve">Así, la exigencia constitucional de potenciar el derecho político electoral de participación política de las mujeres en condiciones de </w:t>
      </w:r>
      <w:proofErr w:type="gramStart"/>
      <w:r w:rsidRPr="00F557D9">
        <w:rPr>
          <w:rFonts w:ascii="Arial" w:eastAsia="Times New Roman" w:hAnsi="Arial" w:cs="Arial"/>
          <w:sz w:val="24"/>
          <w:szCs w:val="24"/>
          <w:lang w:eastAsia="es-MX"/>
        </w:rPr>
        <w:t>igualdad,</w:t>
      </w:r>
      <w:proofErr w:type="gramEnd"/>
      <w:r w:rsidRPr="00F557D9">
        <w:rPr>
          <w:rFonts w:ascii="Arial" w:eastAsia="Times New Roman" w:hAnsi="Arial" w:cs="Arial"/>
          <w:sz w:val="24"/>
          <w:szCs w:val="24"/>
          <w:lang w:eastAsia="es-MX"/>
        </w:rPr>
        <w:t xml:space="preserve"> ha derivado en diversos criterios en los que se ha reconocido interés legítimo a las mujeres para acudir a solicitar la tutela del principio constitucional de paridad de género en la postulación de candidaturas</w:t>
      </w:r>
      <w:r w:rsidRPr="00F557D9">
        <w:rPr>
          <w:rFonts w:ascii="Arial" w:eastAsia="Times New Roman" w:hAnsi="Arial" w:cs="Arial"/>
          <w:sz w:val="24"/>
          <w:szCs w:val="24"/>
          <w:vertAlign w:val="superscript"/>
          <w:lang w:eastAsia="es-MX"/>
        </w:rPr>
        <w:footnoteReference w:id="21"/>
      </w:r>
      <w:r w:rsidRPr="00F557D9">
        <w:rPr>
          <w:rFonts w:ascii="Arial" w:eastAsia="Times New Roman" w:hAnsi="Arial" w:cs="Arial"/>
          <w:sz w:val="24"/>
          <w:szCs w:val="24"/>
          <w:lang w:eastAsia="es-MX"/>
        </w:rPr>
        <w:t xml:space="preserve">. </w:t>
      </w:r>
    </w:p>
    <w:p w14:paraId="73BA7E6E" w14:textId="77777777" w:rsidR="00991189" w:rsidRPr="00F557D9" w:rsidRDefault="00991189" w:rsidP="00991189">
      <w:pPr>
        <w:spacing w:after="0" w:line="240" w:lineRule="auto"/>
        <w:ind w:firstLine="708"/>
        <w:jc w:val="both"/>
        <w:rPr>
          <w:rFonts w:ascii="Arial" w:eastAsia="Times New Roman" w:hAnsi="Arial" w:cs="Arial"/>
          <w:sz w:val="24"/>
          <w:szCs w:val="24"/>
          <w:lang w:eastAsia="es-MX"/>
        </w:rPr>
      </w:pPr>
    </w:p>
    <w:p w14:paraId="54913E31" w14:textId="77777777" w:rsidR="00991189" w:rsidRPr="00F557D9" w:rsidRDefault="00991189" w:rsidP="00991189">
      <w:pPr>
        <w:spacing w:after="0" w:line="240" w:lineRule="auto"/>
        <w:ind w:firstLine="708"/>
        <w:jc w:val="both"/>
        <w:rPr>
          <w:rFonts w:ascii="Arial" w:eastAsia="Times New Roman" w:hAnsi="Arial" w:cs="Arial"/>
          <w:sz w:val="24"/>
          <w:szCs w:val="24"/>
          <w:lang w:eastAsia="es-MX"/>
        </w:rPr>
      </w:pPr>
      <w:r w:rsidRPr="00F557D9">
        <w:rPr>
          <w:rFonts w:ascii="Arial" w:eastAsia="Times New Roman" w:hAnsi="Arial" w:cs="Arial"/>
          <w:sz w:val="24"/>
          <w:szCs w:val="24"/>
          <w:lang w:eastAsia="es-MX"/>
        </w:rPr>
        <w:t xml:space="preserve">En la orientación de los criterios de este Tribunal y siguiendo la vocación del sistema convencional, el Poder Reformador de la Constitución reconoció expresamente en el actual artículo 41, la integración paritaria en el ejercicio de los cargos de representación popular, lo que irradia en forma integral en la confección paritaria de las candidaturas. </w:t>
      </w:r>
    </w:p>
    <w:p w14:paraId="630BBDEF" w14:textId="77777777" w:rsidR="00991189" w:rsidRPr="00F557D9" w:rsidRDefault="00991189" w:rsidP="00991189">
      <w:pPr>
        <w:spacing w:after="0" w:line="240" w:lineRule="auto"/>
        <w:jc w:val="both"/>
        <w:rPr>
          <w:rFonts w:ascii="Arial" w:eastAsia="Times New Roman" w:hAnsi="Arial" w:cs="Arial"/>
          <w:sz w:val="24"/>
          <w:szCs w:val="24"/>
          <w:lang w:eastAsia="es-MX"/>
        </w:rPr>
      </w:pPr>
    </w:p>
    <w:p w14:paraId="54825563" w14:textId="77777777" w:rsidR="00991189" w:rsidRPr="00F557D9" w:rsidRDefault="00991189" w:rsidP="00991189">
      <w:pPr>
        <w:spacing w:after="0" w:line="240" w:lineRule="auto"/>
        <w:jc w:val="both"/>
        <w:rPr>
          <w:rFonts w:ascii="Arial" w:eastAsia="Times New Roman" w:hAnsi="Arial" w:cs="Arial"/>
          <w:sz w:val="24"/>
          <w:szCs w:val="24"/>
          <w:lang w:eastAsia="es-MX"/>
        </w:rPr>
      </w:pPr>
      <w:r w:rsidRPr="00F557D9">
        <w:rPr>
          <w:rFonts w:ascii="Arial" w:eastAsia="Times New Roman" w:hAnsi="Arial" w:cs="Arial"/>
          <w:sz w:val="24"/>
          <w:szCs w:val="24"/>
          <w:lang w:eastAsia="es-MX"/>
        </w:rPr>
        <w:t>El diez de febrero de dos mil catorce, se publicó en el Diario Oficial de la Federación el Decreto que reforma entre otros, el artículo 41 de la Constitución Federal. En el párrafo segundo de la fracción I, se incluyó el deber de los partidos políticos de garantizar la paridad entre los géneros en candidaturas a legisladores federales y locales.</w:t>
      </w:r>
    </w:p>
    <w:p w14:paraId="27128F75" w14:textId="77777777" w:rsidR="00991189" w:rsidRPr="00F557D9" w:rsidRDefault="00991189" w:rsidP="00991189">
      <w:pPr>
        <w:spacing w:after="0" w:line="240" w:lineRule="auto"/>
        <w:jc w:val="both"/>
        <w:rPr>
          <w:rFonts w:ascii="Arial" w:eastAsia="Times New Roman" w:hAnsi="Arial" w:cs="Arial"/>
          <w:sz w:val="24"/>
          <w:szCs w:val="24"/>
          <w:lang w:eastAsia="es-MX"/>
        </w:rPr>
      </w:pPr>
    </w:p>
    <w:p w14:paraId="0E1642D7" w14:textId="77777777" w:rsidR="00991189" w:rsidRPr="00F557D9" w:rsidRDefault="00991189" w:rsidP="00991189">
      <w:pPr>
        <w:spacing w:after="0" w:line="240" w:lineRule="auto"/>
        <w:ind w:firstLine="708"/>
        <w:jc w:val="both"/>
        <w:rPr>
          <w:rFonts w:ascii="Arial" w:eastAsia="Times New Roman" w:hAnsi="Arial" w:cs="Arial"/>
          <w:sz w:val="24"/>
          <w:szCs w:val="24"/>
          <w:lang w:eastAsia="es-MX"/>
        </w:rPr>
      </w:pPr>
      <w:r w:rsidRPr="00F557D9">
        <w:rPr>
          <w:rFonts w:ascii="Arial" w:eastAsia="Times New Roman" w:hAnsi="Arial" w:cs="Arial"/>
          <w:sz w:val="24"/>
          <w:szCs w:val="24"/>
          <w:lang w:eastAsia="es-MX"/>
        </w:rPr>
        <w:t>En las intervenciones de quienes participaron en las discusiones del poder legislativo a favor de la inclusión de la paridad de género como principio constitucional, se puede apreciar que el reconocimiento de un estado de desventaja</w:t>
      </w:r>
      <w:r>
        <w:rPr>
          <w:rFonts w:ascii="Arial" w:eastAsia="Times New Roman" w:hAnsi="Arial" w:cs="Arial"/>
          <w:sz w:val="24"/>
          <w:szCs w:val="24"/>
          <w:lang w:eastAsia="es-MX"/>
        </w:rPr>
        <w:t xml:space="preserve"> </w:t>
      </w:r>
      <w:r w:rsidRPr="00F557D9">
        <w:rPr>
          <w:rFonts w:ascii="Arial" w:eastAsia="Times New Roman" w:hAnsi="Arial" w:cs="Arial"/>
          <w:sz w:val="24"/>
          <w:szCs w:val="24"/>
          <w:lang w:eastAsia="es-MX"/>
        </w:rPr>
        <w:t>histórico de las mujeres, la discriminación por razón de género en el ejercicio de sus derechos político-electorales, y el incumplimiento reiterado (directo o indirecto) de las cuotas de género establecidas en la legislación electoral, fueron los factores que impulsaron la propuesta de incluir la paridad de género como principio constitucional transversal, a fin de alcanzar la participación igualitaria de las mujeres en la política y en los cargos de elección popular.</w:t>
      </w:r>
    </w:p>
    <w:p w14:paraId="070EE296" w14:textId="77777777" w:rsidR="00991189" w:rsidRPr="00F557D9" w:rsidRDefault="00991189" w:rsidP="00991189">
      <w:pPr>
        <w:spacing w:after="0" w:line="240" w:lineRule="auto"/>
        <w:jc w:val="both"/>
        <w:rPr>
          <w:rFonts w:ascii="Arial" w:eastAsia="Times New Roman" w:hAnsi="Arial" w:cs="Arial"/>
          <w:sz w:val="24"/>
          <w:szCs w:val="24"/>
          <w:lang w:eastAsia="es-MX"/>
        </w:rPr>
      </w:pPr>
    </w:p>
    <w:p w14:paraId="61175BF9" w14:textId="77777777" w:rsidR="00991189" w:rsidRPr="00F557D9" w:rsidRDefault="00991189" w:rsidP="00991189">
      <w:pPr>
        <w:spacing w:after="0" w:line="240" w:lineRule="auto"/>
        <w:ind w:firstLine="708"/>
        <w:jc w:val="both"/>
        <w:rPr>
          <w:rFonts w:ascii="Arial" w:eastAsia="Times New Roman" w:hAnsi="Arial" w:cs="Arial"/>
          <w:sz w:val="24"/>
          <w:szCs w:val="24"/>
          <w:lang w:eastAsia="es-MX"/>
        </w:rPr>
      </w:pPr>
      <w:r w:rsidRPr="00F557D9">
        <w:rPr>
          <w:rFonts w:ascii="Arial" w:eastAsia="Times New Roman" w:hAnsi="Arial" w:cs="Arial"/>
          <w:sz w:val="24"/>
          <w:szCs w:val="24"/>
          <w:lang w:eastAsia="es-MX"/>
        </w:rPr>
        <w:t xml:space="preserve">El marco de protección y garantía de los derechos de las personas se fortaleció con la reforma a los artículos 1° y 41, de la Constitución Federal. Este nuevo modelo constitucional a la luz de lo previsto en el artículo 4° de la propia Constitución, impone de frente a la propaganda institucional en las campañas políticas un deber reforzado a las autoridades administrativas electorales de que toda la promoción dirigida a la ciudadanía para promover su participación </w:t>
      </w:r>
      <w:proofErr w:type="gramStart"/>
      <w:r w:rsidRPr="00F557D9">
        <w:rPr>
          <w:rFonts w:ascii="Arial" w:eastAsia="Times New Roman" w:hAnsi="Arial" w:cs="Arial"/>
          <w:sz w:val="24"/>
          <w:szCs w:val="24"/>
          <w:lang w:eastAsia="es-MX"/>
        </w:rPr>
        <w:t>política,</w:t>
      </w:r>
      <w:proofErr w:type="gramEnd"/>
      <w:r w:rsidRPr="00F557D9">
        <w:rPr>
          <w:rFonts w:ascii="Arial" w:eastAsia="Times New Roman" w:hAnsi="Arial" w:cs="Arial"/>
          <w:sz w:val="24"/>
          <w:szCs w:val="24"/>
          <w:lang w:eastAsia="es-MX"/>
        </w:rPr>
        <w:t xml:space="preserve"> tiene que ser con un lenguaje incluyente en todos los conceptos que se utilicen, así como en los propios contenidos.</w:t>
      </w:r>
    </w:p>
    <w:p w14:paraId="5830443C" w14:textId="77777777" w:rsidR="00991189" w:rsidRPr="00F557D9" w:rsidRDefault="00991189" w:rsidP="00991189">
      <w:pPr>
        <w:spacing w:after="0" w:line="240" w:lineRule="auto"/>
        <w:jc w:val="both"/>
        <w:rPr>
          <w:rFonts w:ascii="Arial" w:eastAsia="Times New Roman" w:hAnsi="Arial" w:cs="Arial"/>
          <w:sz w:val="24"/>
          <w:szCs w:val="24"/>
          <w:lang w:eastAsia="es-MX"/>
        </w:rPr>
      </w:pPr>
    </w:p>
    <w:p w14:paraId="4EB69766" w14:textId="77777777" w:rsidR="00991189" w:rsidRPr="00F557D9" w:rsidRDefault="00991189" w:rsidP="00991189">
      <w:pPr>
        <w:spacing w:after="0" w:line="240" w:lineRule="auto"/>
        <w:ind w:firstLine="708"/>
        <w:jc w:val="both"/>
        <w:rPr>
          <w:rFonts w:ascii="Arial" w:eastAsia="Times New Roman" w:hAnsi="Arial" w:cs="Arial"/>
          <w:sz w:val="24"/>
          <w:szCs w:val="24"/>
          <w:lang w:eastAsia="es-MX"/>
        </w:rPr>
      </w:pPr>
      <w:r w:rsidRPr="00F557D9">
        <w:rPr>
          <w:rFonts w:ascii="Arial" w:eastAsia="Times New Roman" w:hAnsi="Arial" w:cs="Arial"/>
          <w:sz w:val="24"/>
          <w:szCs w:val="24"/>
          <w:lang w:eastAsia="es-MX"/>
        </w:rPr>
        <w:t xml:space="preserve">Conforme a esta, el Organismo Público Electoral está obligado a tomar en consideración las barreras de contexto </w:t>
      </w:r>
      <w:proofErr w:type="gramStart"/>
      <w:r w:rsidRPr="00F557D9">
        <w:rPr>
          <w:rFonts w:ascii="Arial" w:eastAsia="Times New Roman" w:hAnsi="Arial" w:cs="Arial"/>
          <w:sz w:val="24"/>
          <w:szCs w:val="24"/>
          <w:lang w:eastAsia="es-MX"/>
        </w:rPr>
        <w:t>socio-cultural</w:t>
      </w:r>
      <w:proofErr w:type="gramEnd"/>
      <w:r w:rsidRPr="00F557D9">
        <w:rPr>
          <w:rFonts w:ascii="Arial" w:eastAsia="Times New Roman" w:hAnsi="Arial" w:cs="Arial"/>
          <w:sz w:val="24"/>
          <w:szCs w:val="24"/>
          <w:lang w:eastAsia="es-MX"/>
        </w:rPr>
        <w:t xml:space="preserve"> que han enfrentado las mujeres en el ejercicio y goce de sus derechos y a realizar un ejercicio de deconstrucción de la forma en que se ha utilizado el lenguaje, a fin de proteger y garantizar la igualdad sustantiva entre todas las personas que integran la sociedad, con el objeto de combatir o revertir esas relaciones asimétricas de poder y los esquemas de desigualdad.</w:t>
      </w:r>
    </w:p>
    <w:p w14:paraId="4DDB0995" w14:textId="77777777" w:rsidR="00991189" w:rsidRPr="00F557D9" w:rsidRDefault="00991189" w:rsidP="00991189">
      <w:pPr>
        <w:spacing w:after="0" w:line="240" w:lineRule="auto"/>
        <w:jc w:val="both"/>
        <w:rPr>
          <w:rFonts w:ascii="Arial" w:eastAsia="Times New Roman" w:hAnsi="Arial" w:cs="Arial"/>
          <w:sz w:val="24"/>
          <w:szCs w:val="24"/>
          <w:lang w:eastAsia="es-MX"/>
        </w:rPr>
      </w:pPr>
    </w:p>
    <w:p w14:paraId="670B77B0" w14:textId="77777777" w:rsidR="00991189" w:rsidRPr="00F557D9" w:rsidRDefault="00991189" w:rsidP="00991189">
      <w:pPr>
        <w:spacing w:after="0" w:line="240" w:lineRule="auto"/>
        <w:ind w:firstLine="708"/>
        <w:jc w:val="both"/>
        <w:rPr>
          <w:rFonts w:ascii="Arial" w:eastAsia="Times New Roman" w:hAnsi="Arial" w:cs="Arial"/>
          <w:sz w:val="24"/>
          <w:szCs w:val="24"/>
          <w:lang w:eastAsia="es-MX"/>
        </w:rPr>
      </w:pPr>
      <w:r w:rsidRPr="00F557D9">
        <w:rPr>
          <w:rFonts w:ascii="Arial" w:eastAsia="Times New Roman" w:hAnsi="Arial" w:cs="Arial"/>
          <w:sz w:val="24"/>
          <w:szCs w:val="24"/>
          <w:lang w:eastAsia="es-MX"/>
        </w:rPr>
        <w:t xml:space="preserve">En este contexto, para que </w:t>
      </w:r>
      <w:r w:rsidRPr="00F557D9">
        <w:rPr>
          <w:rFonts w:ascii="Arial" w:eastAsia="Times New Roman" w:hAnsi="Arial" w:cs="Arial"/>
          <w:b/>
          <w:sz w:val="24"/>
          <w:szCs w:val="24"/>
          <w:lang w:eastAsia="es-MX"/>
        </w:rPr>
        <w:t>el principio democrático pueda considerarse materializado debe incluir como un valor esencial la igualdad de género, que se traduce en el ejercicio igualitario de derechos entre mujeres y hombres, que responde a un entendimiento incluyente, que exige como aspecto indispensable la participación política de las mujeres</w:t>
      </w:r>
      <w:r w:rsidRPr="00F557D9">
        <w:rPr>
          <w:rFonts w:ascii="Arial" w:eastAsia="Times New Roman" w:hAnsi="Arial" w:cs="Arial"/>
          <w:sz w:val="24"/>
          <w:szCs w:val="24"/>
          <w:lang w:eastAsia="es-MX"/>
        </w:rPr>
        <w:t>.</w:t>
      </w:r>
    </w:p>
    <w:p w14:paraId="3DFB7D9E" w14:textId="77777777" w:rsidR="00991189" w:rsidRPr="00F557D9" w:rsidRDefault="00991189" w:rsidP="00991189">
      <w:pPr>
        <w:spacing w:after="0" w:line="240" w:lineRule="auto"/>
        <w:jc w:val="both"/>
        <w:rPr>
          <w:rFonts w:ascii="Arial" w:eastAsia="Times New Roman" w:hAnsi="Arial" w:cs="Arial"/>
          <w:sz w:val="24"/>
          <w:szCs w:val="24"/>
          <w:lang w:eastAsia="es-MX"/>
        </w:rPr>
      </w:pPr>
      <w:r w:rsidRPr="00F557D9">
        <w:rPr>
          <w:rFonts w:ascii="Arial" w:eastAsia="Times New Roman" w:hAnsi="Arial" w:cs="Arial"/>
          <w:sz w:val="24"/>
          <w:szCs w:val="24"/>
          <w:lang w:eastAsia="es-MX"/>
        </w:rPr>
        <w:t xml:space="preserve">Así, el conjunto de normas de orden convencional, constitucional y legal citadas en el apartado respectivo, conciben </w:t>
      </w:r>
      <w:r w:rsidRPr="00F557D9">
        <w:rPr>
          <w:rFonts w:ascii="Arial" w:eastAsia="Times New Roman" w:hAnsi="Arial" w:cs="Arial"/>
          <w:b/>
          <w:sz w:val="24"/>
          <w:szCs w:val="24"/>
          <w:lang w:eastAsia="es-MX"/>
        </w:rPr>
        <w:t xml:space="preserve">la igualdad como un principio que posibilita a las mujeres a competir en igualdad de condiciones </w:t>
      </w:r>
      <w:proofErr w:type="gramStart"/>
      <w:r w:rsidRPr="00F557D9">
        <w:rPr>
          <w:rFonts w:ascii="Arial" w:eastAsia="Times New Roman" w:hAnsi="Arial" w:cs="Arial"/>
          <w:b/>
          <w:sz w:val="24"/>
          <w:szCs w:val="24"/>
          <w:lang w:eastAsia="es-MX"/>
        </w:rPr>
        <w:t>en relación a</w:t>
      </w:r>
      <w:proofErr w:type="gramEnd"/>
      <w:r w:rsidRPr="00F557D9">
        <w:rPr>
          <w:rFonts w:ascii="Arial" w:eastAsia="Times New Roman" w:hAnsi="Arial" w:cs="Arial"/>
          <w:b/>
          <w:sz w:val="24"/>
          <w:szCs w:val="24"/>
          <w:lang w:eastAsia="es-MX"/>
        </w:rPr>
        <w:t xml:space="preserve"> los hombres en el plano político</w:t>
      </w:r>
      <w:r w:rsidRPr="00F557D9">
        <w:rPr>
          <w:rFonts w:ascii="Arial" w:eastAsia="Times New Roman" w:hAnsi="Arial" w:cs="Arial"/>
          <w:sz w:val="24"/>
          <w:szCs w:val="24"/>
          <w:lang w:eastAsia="es-MX"/>
        </w:rPr>
        <w:t xml:space="preserve"> y, en consecuencia, como la oportunidad de conformar órganos de representación. </w:t>
      </w:r>
    </w:p>
    <w:p w14:paraId="740EF8B4" w14:textId="77777777" w:rsidR="00991189" w:rsidRPr="00F557D9" w:rsidRDefault="00991189" w:rsidP="00991189">
      <w:pPr>
        <w:spacing w:after="0" w:line="240" w:lineRule="auto"/>
        <w:jc w:val="both"/>
        <w:rPr>
          <w:rFonts w:ascii="Arial" w:eastAsia="Times New Roman" w:hAnsi="Arial" w:cs="Arial"/>
          <w:sz w:val="24"/>
          <w:szCs w:val="24"/>
          <w:lang w:eastAsia="es-MX"/>
        </w:rPr>
      </w:pPr>
    </w:p>
    <w:p w14:paraId="7D67F737" w14:textId="77777777" w:rsidR="00991189" w:rsidRPr="00F557D9" w:rsidRDefault="00991189" w:rsidP="00991189">
      <w:pPr>
        <w:spacing w:after="0" w:line="240" w:lineRule="auto"/>
        <w:ind w:firstLine="708"/>
        <w:jc w:val="both"/>
        <w:rPr>
          <w:rFonts w:ascii="Arial" w:eastAsia="Times New Roman" w:hAnsi="Arial" w:cs="Arial"/>
          <w:sz w:val="24"/>
          <w:szCs w:val="24"/>
          <w:lang w:eastAsia="es-MX"/>
        </w:rPr>
      </w:pPr>
      <w:r w:rsidRPr="00F557D9">
        <w:rPr>
          <w:rFonts w:ascii="Arial" w:eastAsia="Times New Roman" w:hAnsi="Arial" w:cs="Arial"/>
          <w:sz w:val="24"/>
          <w:szCs w:val="24"/>
          <w:lang w:eastAsia="es-MX"/>
        </w:rPr>
        <w:t xml:space="preserve">Esta visión integral de la igualdad demanda, entre otras cosas, el establecimiento de tratos diferenciados que se hagan cargo de los factores de hecho y estructurales que determinan a ciertas personas y grupos acceder a sus derechos reconocidos formalmente. El </w:t>
      </w:r>
      <w:r w:rsidRPr="00F557D9">
        <w:rPr>
          <w:rFonts w:ascii="Arial" w:eastAsia="Times New Roman" w:hAnsi="Arial" w:cs="Arial"/>
          <w:b/>
          <w:sz w:val="24"/>
          <w:szCs w:val="24"/>
          <w:lang w:eastAsia="es-MX"/>
        </w:rPr>
        <w:t>trato diferenciado deberá ser objetivo y razonable</w:t>
      </w:r>
      <w:r w:rsidRPr="00F557D9">
        <w:rPr>
          <w:rFonts w:ascii="Arial" w:eastAsia="Times New Roman" w:hAnsi="Arial" w:cs="Arial"/>
          <w:sz w:val="24"/>
          <w:szCs w:val="24"/>
          <w:lang w:eastAsia="es-MX"/>
        </w:rPr>
        <w:t>, tomar en cuenta las categorías sospechosas y no afectar desproporcionadamente el ejercicio o goce de un derecho; de lo contrario, se estaría vulnerando el derecho a la igualdad o incurriendo en un acto discriminatorio.</w:t>
      </w:r>
    </w:p>
    <w:p w14:paraId="1883F37E" w14:textId="77777777" w:rsidR="00991189" w:rsidRPr="00F557D9" w:rsidRDefault="00991189" w:rsidP="00991189">
      <w:pPr>
        <w:spacing w:after="0" w:line="240" w:lineRule="auto"/>
        <w:jc w:val="both"/>
        <w:rPr>
          <w:rFonts w:ascii="Arial" w:eastAsia="Times New Roman" w:hAnsi="Arial" w:cs="Arial"/>
          <w:sz w:val="24"/>
          <w:szCs w:val="24"/>
          <w:lang w:eastAsia="es-MX"/>
        </w:rPr>
      </w:pPr>
    </w:p>
    <w:p w14:paraId="1920DBA7" w14:textId="77777777" w:rsidR="00991189" w:rsidRPr="00F557D9" w:rsidRDefault="00991189" w:rsidP="00991189">
      <w:pPr>
        <w:spacing w:after="0" w:line="240" w:lineRule="auto"/>
        <w:ind w:firstLine="708"/>
        <w:jc w:val="both"/>
        <w:rPr>
          <w:rFonts w:ascii="Arial" w:eastAsia="Times New Roman" w:hAnsi="Arial" w:cs="Arial"/>
          <w:sz w:val="24"/>
          <w:szCs w:val="24"/>
          <w:lang w:eastAsia="es-MX"/>
        </w:rPr>
      </w:pPr>
      <w:r w:rsidRPr="00F557D9">
        <w:rPr>
          <w:rFonts w:ascii="Arial" w:eastAsia="Times New Roman" w:hAnsi="Arial" w:cs="Arial"/>
          <w:sz w:val="24"/>
          <w:szCs w:val="24"/>
          <w:lang w:eastAsia="es-MX"/>
        </w:rPr>
        <w:t xml:space="preserve">Bajo esa lógica argumentativa, se estima oportuno trasladar las categorías expuestas en los párrafos inmediatos a la especificidad del caso, dado que las actoras aducen que la identidad gráfica -la que fue aprobada por la autoridad responsable, mediante el acuerdo dictado en su sesión pública de veintitrés de noviembre de dos mil quince, en la cual se dio inicio al proceso electoral local 2015-2016, con la presencia de los representantes de todos los partidos políticos con </w:t>
      </w:r>
      <w:r w:rsidRPr="00F557D9">
        <w:rPr>
          <w:rFonts w:ascii="Arial" w:eastAsia="Times New Roman" w:hAnsi="Arial" w:cs="Arial"/>
          <w:sz w:val="24"/>
          <w:szCs w:val="24"/>
          <w:lang w:eastAsia="es-MX"/>
        </w:rPr>
        <w:lastRenderedPageBreak/>
        <w:t>registro estatal o acreditación local</w:t>
      </w:r>
      <w:r w:rsidRPr="00F557D9">
        <w:rPr>
          <w:rStyle w:val="Refdenotaalpie"/>
          <w:rFonts w:ascii="Arial" w:eastAsia="Times New Roman" w:hAnsi="Arial" w:cs="Arial"/>
          <w:sz w:val="24"/>
          <w:szCs w:val="24"/>
          <w:lang w:eastAsia="es-MX"/>
        </w:rPr>
        <w:footnoteReference w:id="22"/>
      </w:r>
      <w:r w:rsidRPr="00F557D9">
        <w:rPr>
          <w:rFonts w:ascii="Arial" w:eastAsia="Times New Roman" w:hAnsi="Arial" w:cs="Arial"/>
          <w:sz w:val="24"/>
          <w:szCs w:val="24"/>
          <w:lang w:eastAsia="es-MX"/>
        </w:rPr>
        <w:t xml:space="preserve">- materializada en los doce espectaculares, las cuatro pantallas </w:t>
      </w:r>
      <w:r w:rsidRPr="00F557D9">
        <w:rPr>
          <w:rFonts w:ascii="Arial" w:eastAsia="Times New Roman" w:hAnsi="Arial" w:cs="Arial"/>
          <w:i/>
          <w:sz w:val="24"/>
          <w:szCs w:val="24"/>
          <w:lang w:eastAsia="es-MX"/>
        </w:rPr>
        <w:t>led</w:t>
      </w:r>
      <w:r w:rsidRPr="00F557D9">
        <w:rPr>
          <w:rFonts w:ascii="Arial" w:eastAsia="Times New Roman" w:hAnsi="Arial" w:cs="Arial"/>
          <w:sz w:val="24"/>
          <w:szCs w:val="24"/>
          <w:lang w:eastAsia="es-MX"/>
        </w:rPr>
        <w:t xml:space="preserve">, y el sitio </w:t>
      </w:r>
      <w:r w:rsidRPr="00F557D9">
        <w:rPr>
          <w:rFonts w:ascii="Arial" w:eastAsia="Times New Roman" w:hAnsi="Arial" w:cs="Arial"/>
          <w:i/>
          <w:sz w:val="24"/>
          <w:szCs w:val="24"/>
          <w:lang w:eastAsia="es-MX"/>
        </w:rPr>
        <w:t>web</w:t>
      </w:r>
      <w:r w:rsidRPr="00F557D9">
        <w:rPr>
          <w:rFonts w:ascii="Arial" w:eastAsia="Times New Roman" w:hAnsi="Arial" w:cs="Arial"/>
          <w:sz w:val="24"/>
          <w:szCs w:val="24"/>
          <w:lang w:eastAsia="es-MX"/>
        </w:rPr>
        <w:t xml:space="preserve"> oficial de la autoridad responsable, vulnera el principio de igualdad en su perjuicio, al promover el voto de la ciudadanía poblana con el estereotipo masculino, en la elección de la persona Titular del Poder Ejecutivo local de esa entidad federativa.</w:t>
      </w:r>
    </w:p>
    <w:p w14:paraId="1C9755F5" w14:textId="77777777" w:rsidR="00991189" w:rsidRPr="00F557D9" w:rsidRDefault="00991189" w:rsidP="00991189">
      <w:pPr>
        <w:spacing w:after="0" w:line="240" w:lineRule="auto"/>
        <w:jc w:val="both"/>
        <w:rPr>
          <w:rFonts w:ascii="Arial" w:eastAsia="Times New Roman" w:hAnsi="Arial" w:cs="Arial"/>
          <w:sz w:val="24"/>
          <w:szCs w:val="24"/>
          <w:lang w:eastAsia="es-MX"/>
        </w:rPr>
      </w:pPr>
    </w:p>
    <w:p w14:paraId="74C96BFF" w14:textId="77777777" w:rsidR="00991189" w:rsidRPr="00F557D9" w:rsidRDefault="00991189" w:rsidP="00991189">
      <w:pPr>
        <w:spacing w:after="0" w:line="240" w:lineRule="auto"/>
        <w:ind w:firstLine="708"/>
        <w:jc w:val="both"/>
        <w:rPr>
          <w:rFonts w:ascii="Arial" w:eastAsia="Times New Roman" w:hAnsi="Arial" w:cs="Arial"/>
          <w:sz w:val="24"/>
          <w:szCs w:val="24"/>
          <w:lang w:eastAsia="es-MX"/>
        </w:rPr>
      </w:pPr>
      <w:r w:rsidRPr="00F557D9">
        <w:rPr>
          <w:rFonts w:ascii="Arial" w:eastAsia="Times New Roman" w:hAnsi="Arial" w:cs="Arial"/>
          <w:sz w:val="24"/>
          <w:szCs w:val="24"/>
          <w:lang w:eastAsia="es-MX"/>
        </w:rPr>
        <w:t xml:space="preserve">Las accionantes afirman que al conocer los espectaculares citados, -el dieciséis de abril del presente año momento en que obtuvo el registro Ana Teresa Aranda Orozco como candidata independiente al cargo de gobernadora de Puebla- y el contenido del sitio </w:t>
      </w:r>
      <w:r w:rsidRPr="00F557D9">
        <w:rPr>
          <w:rFonts w:ascii="Arial" w:eastAsia="Times New Roman" w:hAnsi="Arial" w:cs="Arial"/>
          <w:i/>
          <w:sz w:val="24"/>
          <w:szCs w:val="24"/>
          <w:lang w:eastAsia="es-MX"/>
        </w:rPr>
        <w:t xml:space="preserve">web </w:t>
      </w:r>
      <w:r w:rsidRPr="00F557D9">
        <w:rPr>
          <w:rFonts w:ascii="Arial" w:eastAsia="Times New Roman" w:hAnsi="Arial" w:cs="Arial"/>
          <w:sz w:val="24"/>
          <w:szCs w:val="24"/>
          <w:lang w:eastAsia="es-MX"/>
        </w:rPr>
        <w:t>oficial de la autoridad responsable respecto de la promoción al voto, -Blanca María del Socoro Alcalá Ruiz, advirtieron que contienen un mensaje promocional que utiliza un lenguaje no incluyente, dirigido a la ciudadanía en general, para invitarla a votar en la elección que tendrá verificativo el próximo cinco de junio, y que con él se vulnera su derecho a la igualdad y su derecho a participar en esas elecciones en condiciones de equidad; el mensaje que contienen es el siguiente:</w:t>
      </w:r>
    </w:p>
    <w:p w14:paraId="6E41073A" w14:textId="77777777" w:rsidR="00991189" w:rsidRPr="00F557D9" w:rsidRDefault="00991189" w:rsidP="00991189">
      <w:pPr>
        <w:spacing w:after="0" w:line="240" w:lineRule="auto"/>
        <w:jc w:val="both"/>
        <w:rPr>
          <w:rFonts w:ascii="Arial" w:eastAsia="Times New Roman" w:hAnsi="Arial" w:cs="Arial"/>
          <w:sz w:val="24"/>
          <w:szCs w:val="24"/>
          <w:lang w:eastAsia="es-MX"/>
        </w:rPr>
      </w:pPr>
    </w:p>
    <w:p w14:paraId="4FBF23FF" w14:textId="77777777" w:rsidR="00991189" w:rsidRPr="00F557D9" w:rsidRDefault="00991189" w:rsidP="00991189">
      <w:pPr>
        <w:spacing w:after="0" w:line="240" w:lineRule="auto"/>
        <w:jc w:val="center"/>
        <w:rPr>
          <w:rFonts w:ascii="Arial" w:hAnsi="Arial" w:cs="Arial"/>
          <w:sz w:val="24"/>
          <w:szCs w:val="24"/>
          <w:lang w:eastAsia="es-MX"/>
        </w:rPr>
      </w:pPr>
      <w:r w:rsidRPr="00F557D9">
        <w:rPr>
          <w:rFonts w:ascii="Arial" w:hAnsi="Arial" w:cs="Arial"/>
          <w:sz w:val="24"/>
          <w:szCs w:val="24"/>
          <w:lang w:eastAsia="es-MX"/>
        </w:rPr>
        <w:t>#5deJunioEsElDía</w:t>
      </w:r>
    </w:p>
    <w:p w14:paraId="72D4C513" w14:textId="77777777" w:rsidR="00991189" w:rsidRPr="00F557D9" w:rsidRDefault="00991189" w:rsidP="00991189">
      <w:pPr>
        <w:spacing w:after="0" w:line="240" w:lineRule="auto"/>
        <w:jc w:val="center"/>
        <w:rPr>
          <w:rFonts w:ascii="Arial" w:hAnsi="Arial" w:cs="Arial"/>
          <w:sz w:val="24"/>
          <w:szCs w:val="24"/>
          <w:lang w:eastAsia="es-MX"/>
        </w:rPr>
      </w:pPr>
      <w:r w:rsidRPr="00F557D9">
        <w:rPr>
          <w:rFonts w:ascii="Arial" w:hAnsi="Arial" w:cs="Arial"/>
          <w:sz w:val="24"/>
          <w:szCs w:val="24"/>
          <w:lang w:eastAsia="es-MX"/>
        </w:rPr>
        <w:t>Elige a TU próximo</w:t>
      </w:r>
    </w:p>
    <w:p w14:paraId="67996921" w14:textId="77777777" w:rsidR="00991189" w:rsidRPr="00F557D9" w:rsidRDefault="00991189" w:rsidP="00991189">
      <w:pPr>
        <w:spacing w:after="0" w:line="240" w:lineRule="auto"/>
        <w:jc w:val="center"/>
        <w:rPr>
          <w:rFonts w:ascii="Arial" w:hAnsi="Arial" w:cs="Arial"/>
          <w:sz w:val="24"/>
          <w:szCs w:val="24"/>
          <w:lang w:eastAsia="es-MX"/>
        </w:rPr>
      </w:pPr>
      <w:r w:rsidRPr="00F557D9">
        <w:rPr>
          <w:rFonts w:ascii="Arial" w:hAnsi="Arial" w:cs="Arial"/>
          <w:sz w:val="24"/>
          <w:szCs w:val="24"/>
          <w:lang w:eastAsia="es-MX"/>
        </w:rPr>
        <w:t>GOBERNADOR</w:t>
      </w:r>
    </w:p>
    <w:p w14:paraId="03630151" w14:textId="77777777" w:rsidR="00991189" w:rsidRPr="00F557D9" w:rsidRDefault="00991189" w:rsidP="00991189">
      <w:pPr>
        <w:spacing w:after="0" w:line="240" w:lineRule="auto"/>
        <w:jc w:val="both"/>
        <w:rPr>
          <w:rFonts w:ascii="Arial" w:hAnsi="Arial" w:cs="Arial"/>
          <w:sz w:val="24"/>
          <w:szCs w:val="24"/>
          <w:lang w:eastAsia="es-MX"/>
        </w:rPr>
      </w:pPr>
    </w:p>
    <w:p w14:paraId="08362A3D" w14:textId="77777777" w:rsidR="00991189" w:rsidRPr="00F557D9" w:rsidRDefault="00991189" w:rsidP="00991189">
      <w:pPr>
        <w:spacing w:after="0" w:line="240" w:lineRule="auto"/>
        <w:ind w:firstLine="708"/>
        <w:jc w:val="both"/>
        <w:rPr>
          <w:rFonts w:ascii="Arial" w:eastAsia="Times New Roman" w:hAnsi="Arial" w:cs="Arial"/>
          <w:sz w:val="24"/>
          <w:szCs w:val="24"/>
          <w:lang w:eastAsia="es-MX"/>
        </w:rPr>
      </w:pPr>
      <w:r w:rsidRPr="00F557D9">
        <w:rPr>
          <w:rFonts w:ascii="Arial" w:eastAsia="Times New Roman" w:hAnsi="Arial" w:cs="Arial"/>
          <w:sz w:val="24"/>
          <w:szCs w:val="24"/>
          <w:lang w:eastAsia="es-MX"/>
        </w:rPr>
        <w:t xml:space="preserve">Con base a todas las consideraciones que se han explicado con anterioridad, la Sala Superior estima que el agravio bajo estudio deviene </w:t>
      </w:r>
      <w:r w:rsidRPr="00F557D9">
        <w:rPr>
          <w:rFonts w:ascii="Arial" w:eastAsia="Times New Roman" w:hAnsi="Arial" w:cs="Arial"/>
          <w:b/>
          <w:sz w:val="24"/>
          <w:szCs w:val="24"/>
          <w:lang w:eastAsia="es-MX"/>
        </w:rPr>
        <w:t xml:space="preserve">fundado. </w:t>
      </w:r>
      <w:r w:rsidRPr="00F557D9">
        <w:rPr>
          <w:rFonts w:ascii="Arial" w:eastAsia="Times New Roman" w:hAnsi="Arial" w:cs="Arial"/>
          <w:sz w:val="24"/>
          <w:szCs w:val="24"/>
          <w:lang w:eastAsia="es-MX"/>
        </w:rPr>
        <w:t xml:space="preserve">Esto es así, dado que se aprecia que el Organismo Público Local Electoral responsable al ejercer su función de promoción del voto de la ciudadanía poblana, conforme a lo establecido en los artículos 75, fracción VII, y 93, fracción XLIV, del Código de Instituciones y Procesos Electorales del Estado de Puebla, </w:t>
      </w:r>
      <w:r w:rsidRPr="00F557D9">
        <w:rPr>
          <w:rFonts w:ascii="Arial" w:eastAsia="Times New Roman" w:hAnsi="Arial" w:cs="Arial"/>
          <w:b/>
          <w:sz w:val="24"/>
          <w:szCs w:val="24"/>
          <w:lang w:eastAsia="es-MX"/>
        </w:rPr>
        <w:t>originó un desequilibrio por motivos de género al utilizar frases con estereotipos que impiden la materialización del principio de igualdad</w:t>
      </w:r>
      <w:r w:rsidRPr="00F557D9">
        <w:rPr>
          <w:rFonts w:ascii="Arial" w:eastAsia="Times New Roman" w:hAnsi="Arial" w:cs="Arial"/>
          <w:sz w:val="24"/>
          <w:szCs w:val="24"/>
          <w:lang w:eastAsia="es-MX"/>
        </w:rPr>
        <w:t>.</w:t>
      </w:r>
    </w:p>
    <w:p w14:paraId="20FF2746" w14:textId="77777777" w:rsidR="00991189" w:rsidRPr="00F557D9" w:rsidRDefault="00991189" w:rsidP="00991189">
      <w:pPr>
        <w:spacing w:after="0" w:line="240" w:lineRule="auto"/>
        <w:jc w:val="both"/>
        <w:rPr>
          <w:rFonts w:ascii="Arial" w:eastAsia="Times New Roman" w:hAnsi="Arial" w:cs="Arial"/>
          <w:sz w:val="24"/>
          <w:szCs w:val="24"/>
          <w:lang w:eastAsia="es-MX"/>
        </w:rPr>
      </w:pPr>
    </w:p>
    <w:p w14:paraId="77927C59" w14:textId="77777777" w:rsidR="00991189" w:rsidRPr="00F557D9" w:rsidRDefault="00991189" w:rsidP="00991189">
      <w:pPr>
        <w:spacing w:after="0" w:line="240" w:lineRule="auto"/>
        <w:ind w:firstLine="708"/>
        <w:jc w:val="both"/>
        <w:rPr>
          <w:rFonts w:ascii="Arial" w:eastAsia="Times New Roman" w:hAnsi="Arial" w:cs="Arial"/>
          <w:sz w:val="24"/>
          <w:szCs w:val="24"/>
          <w:lang w:eastAsia="es-MX"/>
        </w:rPr>
      </w:pPr>
      <w:r w:rsidRPr="00F557D9">
        <w:rPr>
          <w:rFonts w:ascii="Arial" w:eastAsia="Times New Roman" w:hAnsi="Arial" w:cs="Arial"/>
          <w:sz w:val="24"/>
          <w:szCs w:val="24"/>
          <w:lang w:eastAsia="es-MX"/>
        </w:rPr>
        <w:t>Lo anterior, aunque no exista una norma expresa dentro de la normativa electoral que ordene a la autoridad responsable la utilización del lenguaje no sexista o incluyente.</w:t>
      </w:r>
    </w:p>
    <w:p w14:paraId="49B94CF4" w14:textId="77777777" w:rsidR="00991189" w:rsidRPr="00F557D9" w:rsidRDefault="00991189" w:rsidP="00991189">
      <w:pPr>
        <w:spacing w:after="0" w:line="240" w:lineRule="auto"/>
        <w:jc w:val="both"/>
        <w:rPr>
          <w:rFonts w:ascii="Arial" w:eastAsia="Times New Roman" w:hAnsi="Arial" w:cs="Arial"/>
          <w:sz w:val="24"/>
          <w:szCs w:val="24"/>
          <w:lang w:eastAsia="es-MX"/>
        </w:rPr>
      </w:pPr>
    </w:p>
    <w:p w14:paraId="64CA18C3" w14:textId="77777777" w:rsidR="00991189" w:rsidRPr="00F557D9" w:rsidRDefault="00991189" w:rsidP="00991189">
      <w:pPr>
        <w:spacing w:after="0" w:line="240" w:lineRule="auto"/>
        <w:ind w:firstLine="708"/>
        <w:jc w:val="both"/>
        <w:rPr>
          <w:rFonts w:ascii="Arial" w:eastAsia="Times New Roman" w:hAnsi="Arial" w:cs="Arial"/>
          <w:sz w:val="24"/>
          <w:szCs w:val="24"/>
          <w:lang w:eastAsia="es-MX"/>
        </w:rPr>
      </w:pPr>
      <w:r w:rsidRPr="00F557D9">
        <w:rPr>
          <w:rFonts w:ascii="Arial" w:eastAsia="Times New Roman" w:hAnsi="Arial" w:cs="Arial"/>
          <w:sz w:val="24"/>
          <w:szCs w:val="24"/>
          <w:lang w:eastAsia="es-MX"/>
        </w:rPr>
        <w:t xml:space="preserve">Porque de una interpretación sistemática y funcional del bloque de constitucionalidad, del ámbito legal y del criterio jurisprudencial del Alto Tribunal del país, se desprende que, dentro de este contexto internacional, para el cumplimiento de los mandatos de optimización establecidos en la Constitución Federal, -específicamente en los artículos 1, 4, 35 y 41, de la Constitución Federal en relación directa con el artículo 24, de la Convención Americana sobre Derechos Humanos- es dable afirmar que existe una obligación para el Instituto Estatal Electoral de Puebla de garantizar el principio de igualdad entre la mujer y el hombre, a través de la utilización de un elemento consustancial de ese principio, como es el uso de un </w:t>
      </w:r>
      <w:r w:rsidRPr="00F557D9">
        <w:rPr>
          <w:rFonts w:ascii="Arial" w:eastAsia="Times New Roman" w:hAnsi="Arial" w:cs="Arial"/>
          <w:sz w:val="24"/>
          <w:szCs w:val="24"/>
          <w:lang w:eastAsia="es-MX"/>
        </w:rPr>
        <w:lastRenderedPageBreak/>
        <w:t xml:space="preserve">lenguaje incluyente para dirigirse a la ciudadanía en general, y específicamente, a través de la propaganda para promocionar su participación política por medio del voto. </w:t>
      </w:r>
    </w:p>
    <w:p w14:paraId="3824CECD" w14:textId="77777777" w:rsidR="00991189" w:rsidRPr="00F557D9" w:rsidRDefault="00991189" w:rsidP="00991189">
      <w:pPr>
        <w:spacing w:after="0" w:line="240" w:lineRule="auto"/>
        <w:jc w:val="both"/>
        <w:rPr>
          <w:rFonts w:ascii="Arial" w:eastAsia="Times New Roman" w:hAnsi="Arial" w:cs="Arial"/>
          <w:sz w:val="24"/>
          <w:szCs w:val="24"/>
          <w:lang w:eastAsia="es-MX"/>
        </w:rPr>
      </w:pPr>
    </w:p>
    <w:p w14:paraId="771E5FC4" w14:textId="77777777" w:rsidR="00991189" w:rsidRPr="00F557D9" w:rsidRDefault="00991189" w:rsidP="00991189">
      <w:pPr>
        <w:spacing w:after="0" w:line="240" w:lineRule="auto"/>
        <w:ind w:firstLine="708"/>
        <w:jc w:val="both"/>
        <w:rPr>
          <w:rFonts w:ascii="Arial" w:eastAsia="Times New Roman" w:hAnsi="Arial" w:cs="Arial"/>
          <w:sz w:val="24"/>
          <w:szCs w:val="24"/>
          <w:lang w:eastAsia="es-MX"/>
        </w:rPr>
      </w:pPr>
      <w:r w:rsidRPr="00F557D9">
        <w:rPr>
          <w:rFonts w:ascii="Arial" w:eastAsia="Times New Roman" w:hAnsi="Arial" w:cs="Arial"/>
          <w:sz w:val="24"/>
          <w:szCs w:val="24"/>
          <w:lang w:eastAsia="es-MX"/>
        </w:rPr>
        <w:t xml:space="preserve">Desde esa perspectiva, se advierte que si bien el cambiar la forma en que se utiliza el lenguaje no conllevará de forma inmediata a la materialización de la igualdad real; la Sala Superior considera que </w:t>
      </w:r>
      <w:r w:rsidRPr="00F557D9">
        <w:rPr>
          <w:rFonts w:ascii="Arial" w:eastAsia="Times New Roman" w:hAnsi="Arial" w:cs="Arial"/>
          <w:b/>
          <w:sz w:val="24"/>
          <w:szCs w:val="24"/>
          <w:lang w:eastAsia="es-MX"/>
        </w:rPr>
        <w:t>el lenguaje incluyente -al ser un elemento fundamental dentro de la perspectiva de género, que lo dota sustantividad- posee un potencial transformador que impone el deber del Instituto Electoral del Estado de Puebla de utilizarlo para garantizar de forma efectiva el derecho a la igualdad y lograr la inclusión de las mujeres en la vida democrática del Estado de Puebla.</w:t>
      </w:r>
      <w:r w:rsidRPr="00F557D9">
        <w:rPr>
          <w:rFonts w:ascii="Arial" w:eastAsia="Times New Roman" w:hAnsi="Arial" w:cs="Arial"/>
          <w:sz w:val="24"/>
          <w:szCs w:val="24"/>
          <w:lang w:eastAsia="es-MX"/>
        </w:rPr>
        <w:t xml:space="preserve"> </w:t>
      </w:r>
    </w:p>
    <w:p w14:paraId="634CE57A" w14:textId="77777777" w:rsidR="00991189" w:rsidRPr="00F557D9" w:rsidRDefault="00991189" w:rsidP="00991189">
      <w:pPr>
        <w:spacing w:after="0" w:line="240" w:lineRule="auto"/>
        <w:jc w:val="both"/>
        <w:rPr>
          <w:rFonts w:ascii="Arial" w:eastAsia="Times New Roman" w:hAnsi="Arial" w:cs="Arial"/>
          <w:sz w:val="24"/>
          <w:szCs w:val="24"/>
          <w:lang w:eastAsia="es-MX"/>
        </w:rPr>
      </w:pPr>
    </w:p>
    <w:p w14:paraId="180C5C27" w14:textId="77777777" w:rsidR="00991189" w:rsidRPr="00F557D9" w:rsidRDefault="00991189" w:rsidP="00991189">
      <w:pPr>
        <w:spacing w:after="0" w:line="240" w:lineRule="auto"/>
        <w:ind w:firstLine="708"/>
        <w:jc w:val="both"/>
        <w:rPr>
          <w:rFonts w:ascii="Arial" w:eastAsia="Times New Roman" w:hAnsi="Arial" w:cs="Arial"/>
          <w:sz w:val="24"/>
          <w:szCs w:val="24"/>
          <w:lang w:eastAsia="es-MX"/>
        </w:rPr>
      </w:pPr>
      <w:r w:rsidRPr="00F557D9">
        <w:rPr>
          <w:rFonts w:ascii="Arial" w:eastAsia="Times New Roman" w:hAnsi="Arial" w:cs="Arial"/>
          <w:sz w:val="24"/>
          <w:szCs w:val="24"/>
          <w:lang w:eastAsia="es-MX"/>
        </w:rPr>
        <w:t>Esto se constituye como una medida de nivelación, que busca hacer efectivo el acceso de todas las personas a la igualdad real de oportunidades eliminando las barreras físicas o comunicacionales, que obstaculizan el ejercicio de derechos y libertades prioritariamente a las mujeres; ya que al modificar los patrones socioculturales de conducta de hombres y mujeres, con miras a alcanzar la eliminación de los prejuicios y las prácticas consuetudinarias y de cualquier otra índole que estén basados en la idea de la inferioridad o superioridad de cualquiera de los sexos o en funciones estereotipadas de hombres y mujeres, conducen a la materialización del principio de igualdad.</w:t>
      </w:r>
    </w:p>
    <w:p w14:paraId="2D380E0C" w14:textId="77777777" w:rsidR="00991189" w:rsidRPr="00F557D9" w:rsidRDefault="00991189" w:rsidP="00991189">
      <w:pPr>
        <w:spacing w:after="0" w:line="240" w:lineRule="auto"/>
        <w:jc w:val="both"/>
        <w:rPr>
          <w:rFonts w:ascii="Arial" w:eastAsia="Times New Roman" w:hAnsi="Arial" w:cs="Arial"/>
          <w:sz w:val="24"/>
          <w:szCs w:val="24"/>
          <w:lang w:eastAsia="es-MX"/>
        </w:rPr>
      </w:pPr>
    </w:p>
    <w:p w14:paraId="5A7FBFF2" w14:textId="77777777" w:rsidR="00991189" w:rsidRPr="00F557D9" w:rsidRDefault="00991189" w:rsidP="00991189">
      <w:pPr>
        <w:spacing w:after="0" w:line="240" w:lineRule="auto"/>
        <w:ind w:firstLine="708"/>
        <w:jc w:val="both"/>
        <w:rPr>
          <w:rFonts w:ascii="Arial" w:eastAsia="Times New Roman" w:hAnsi="Arial" w:cs="Arial"/>
          <w:sz w:val="24"/>
          <w:szCs w:val="24"/>
          <w:lang w:eastAsia="es-MX"/>
        </w:rPr>
      </w:pPr>
      <w:r w:rsidRPr="00F557D9">
        <w:rPr>
          <w:rFonts w:ascii="Arial" w:eastAsia="Times New Roman" w:hAnsi="Arial" w:cs="Arial"/>
          <w:sz w:val="24"/>
          <w:szCs w:val="24"/>
          <w:lang w:eastAsia="es-MX"/>
        </w:rPr>
        <w:t>La dialéctica de esta proposición, encuentra coherencia con las diversas teorías que explican las posturas que existen sobre la obediencia al Derecho; por ejemplo, John Rawls considera que las obligaciones son exigencias derivadas del principio de imparcialidad, según el cual un persona o un ente están obligados a cumplir su parte como lo establecen las normas de una institución, cuando ha aceptado voluntariamente los beneficios del esquema institucional, o se ha beneficiado de las oportunidades que ofrece para fomentar sus intereses o cumplir con sus funciones.</w:t>
      </w:r>
    </w:p>
    <w:p w14:paraId="71F37BBB" w14:textId="77777777" w:rsidR="00991189" w:rsidRPr="00F557D9" w:rsidRDefault="00991189" w:rsidP="00991189">
      <w:pPr>
        <w:spacing w:after="0" w:line="240" w:lineRule="auto"/>
        <w:jc w:val="both"/>
        <w:rPr>
          <w:rFonts w:ascii="Arial" w:eastAsia="Times New Roman" w:hAnsi="Arial" w:cs="Arial"/>
          <w:sz w:val="24"/>
          <w:szCs w:val="24"/>
          <w:lang w:eastAsia="es-MX"/>
        </w:rPr>
      </w:pPr>
    </w:p>
    <w:p w14:paraId="24DEA674" w14:textId="77777777" w:rsidR="00991189" w:rsidRPr="00F557D9" w:rsidRDefault="00991189" w:rsidP="00991189">
      <w:pPr>
        <w:spacing w:after="0" w:line="240" w:lineRule="auto"/>
        <w:ind w:firstLine="708"/>
        <w:jc w:val="both"/>
        <w:rPr>
          <w:rFonts w:ascii="Arial" w:hAnsi="Arial" w:cs="Arial"/>
          <w:sz w:val="24"/>
          <w:szCs w:val="24"/>
        </w:rPr>
      </w:pPr>
      <w:r w:rsidRPr="00F557D9">
        <w:rPr>
          <w:rFonts w:ascii="Arial" w:hAnsi="Arial" w:cs="Arial"/>
          <w:sz w:val="24"/>
          <w:szCs w:val="24"/>
        </w:rPr>
        <w:t xml:space="preserve">En ese tenor argumentativo, incluso el criterio de la Sala Superior se ha encaminado a considerar que los principios sirven de guía de comportamiento cuando no existen reglas específicas que se apliquen a un caso -como ocurre respecto de la obligación expresa de utilizar lenguaje incluyente- cuando éstas son indeterminadas en su formulación, o cuando aparece algún tipo de desacuerdo entre las reglas y los principios que las justifican. </w:t>
      </w:r>
    </w:p>
    <w:p w14:paraId="0CA46AD0" w14:textId="77777777" w:rsidR="00991189" w:rsidRPr="00F557D9" w:rsidRDefault="00991189" w:rsidP="00991189">
      <w:pPr>
        <w:spacing w:after="0" w:line="240" w:lineRule="auto"/>
        <w:jc w:val="both"/>
        <w:rPr>
          <w:rFonts w:ascii="Arial" w:hAnsi="Arial" w:cs="Arial"/>
          <w:sz w:val="24"/>
          <w:szCs w:val="24"/>
        </w:rPr>
      </w:pPr>
    </w:p>
    <w:p w14:paraId="1AA269A8" w14:textId="77777777" w:rsidR="00991189" w:rsidRPr="00F557D9" w:rsidRDefault="00991189" w:rsidP="00991189">
      <w:pPr>
        <w:spacing w:after="0" w:line="240" w:lineRule="auto"/>
        <w:ind w:firstLine="708"/>
        <w:jc w:val="both"/>
        <w:rPr>
          <w:rFonts w:ascii="Arial" w:hAnsi="Arial" w:cs="Arial"/>
          <w:sz w:val="24"/>
          <w:szCs w:val="24"/>
        </w:rPr>
      </w:pPr>
      <w:r w:rsidRPr="00F557D9">
        <w:rPr>
          <w:rFonts w:ascii="Arial" w:hAnsi="Arial" w:cs="Arial"/>
          <w:sz w:val="24"/>
          <w:szCs w:val="24"/>
        </w:rPr>
        <w:t xml:space="preserve">Lo anterior, desde la perspectiva generalmente aceptada de que los principios han transformado las categorías jurídicas y la manera de entender el Derecho, </w:t>
      </w:r>
      <w:r w:rsidRPr="00F557D9">
        <w:rPr>
          <w:rFonts w:ascii="Arial" w:hAnsi="Arial" w:cs="Arial"/>
          <w:b/>
          <w:sz w:val="24"/>
          <w:szCs w:val="24"/>
        </w:rPr>
        <w:t xml:space="preserve">superando formalismos para dotar de materialidad a las decisiones políticas fundamentales del país, y los principios democráticos que rigen la transición política, como lo es el principio </w:t>
      </w:r>
      <w:r w:rsidRPr="00F557D9">
        <w:rPr>
          <w:rFonts w:ascii="Arial" w:hAnsi="Arial" w:cs="Arial"/>
          <w:b/>
          <w:i/>
          <w:sz w:val="24"/>
          <w:szCs w:val="24"/>
        </w:rPr>
        <w:t>de igualdad</w:t>
      </w:r>
      <w:r w:rsidRPr="00F557D9">
        <w:rPr>
          <w:rFonts w:ascii="Arial" w:hAnsi="Arial" w:cs="Arial"/>
          <w:sz w:val="24"/>
          <w:szCs w:val="24"/>
        </w:rPr>
        <w:t xml:space="preserve">. </w:t>
      </w:r>
    </w:p>
    <w:p w14:paraId="63BC1F6E" w14:textId="77777777" w:rsidR="00991189" w:rsidRPr="00F557D9" w:rsidRDefault="00991189" w:rsidP="00991189">
      <w:pPr>
        <w:spacing w:after="0" w:line="240" w:lineRule="auto"/>
        <w:jc w:val="both"/>
        <w:rPr>
          <w:rFonts w:ascii="Arial" w:hAnsi="Arial" w:cs="Arial"/>
          <w:sz w:val="24"/>
          <w:szCs w:val="24"/>
        </w:rPr>
      </w:pPr>
    </w:p>
    <w:p w14:paraId="430EB127" w14:textId="77777777" w:rsidR="00991189" w:rsidRPr="00F557D9" w:rsidRDefault="00991189" w:rsidP="00991189">
      <w:pPr>
        <w:spacing w:after="0" w:line="240" w:lineRule="auto"/>
        <w:ind w:firstLine="708"/>
        <w:jc w:val="both"/>
        <w:rPr>
          <w:rFonts w:ascii="Arial" w:hAnsi="Arial" w:cs="Arial"/>
          <w:sz w:val="24"/>
          <w:szCs w:val="24"/>
        </w:rPr>
      </w:pPr>
      <w:r w:rsidRPr="00F557D9">
        <w:rPr>
          <w:rFonts w:ascii="Arial" w:hAnsi="Arial" w:cs="Arial"/>
          <w:b/>
          <w:sz w:val="24"/>
          <w:szCs w:val="24"/>
        </w:rPr>
        <w:t xml:space="preserve">La participación de las mujeres es una expresión de valores esenciales en una comunidad pacífica, por lo tanto, un tribunal constitucional que tutela </w:t>
      </w:r>
      <w:r w:rsidRPr="00F557D9">
        <w:rPr>
          <w:rFonts w:ascii="Arial" w:hAnsi="Arial" w:cs="Arial"/>
          <w:b/>
          <w:sz w:val="24"/>
          <w:szCs w:val="24"/>
        </w:rPr>
        <w:lastRenderedPageBreak/>
        <w:t>derechos políticos debe velar porque la participación política de mujeres sea no solo protegida, sino impulsada a través de mecanismos eficaces e idóneos, como la utilización del lenguaje incluyente,</w:t>
      </w:r>
      <w:r w:rsidRPr="00F557D9">
        <w:rPr>
          <w:rFonts w:ascii="Arial" w:hAnsi="Arial" w:cs="Arial"/>
          <w:sz w:val="24"/>
          <w:szCs w:val="24"/>
        </w:rPr>
        <w:t xml:space="preserve"> es decir, la Sala Superior como tribunal constitucional y corrector del sistema, atiende el contexto y la situación contemporánea del principio de igualdad y el derecho de las mujeres de participación política, con el enfoque del ideal de la justicia hacia el que deberían converger, como instrumento que son del desarrollo de la unidad política de un país bajo el amparo de la Constitución, la cual contiene las decisiones políticas fundamentales que se construyen en el diálogo y en el consenso.</w:t>
      </w:r>
    </w:p>
    <w:p w14:paraId="25AEF81E" w14:textId="77777777" w:rsidR="00991189" w:rsidRPr="00F557D9" w:rsidRDefault="00991189" w:rsidP="00991189">
      <w:pPr>
        <w:spacing w:after="0" w:line="240" w:lineRule="auto"/>
        <w:jc w:val="both"/>
        <w:rPr>
          <w:rFonts w:ascii="Arial" w:hAnsi="Arial" w:cs="Arial"/>
          <w:sz w:val="24"/>
          <w:szCs w:val="24"/>
        </w:rPr>
      </w:pPr>
    </w:p>
    <w:p w14:paraId="44714D4C" w14:textId="77777777" w:rsidR="00991189" w:rsidRPr="00F557D9" w:rsidRDefault="00991189" w:rsidP="00991189">
      <w:pPr>
        <w:spacing w:after="0" w:line="240" w:lineRule="auto"/>
        <w:ind w:firstLine="708"/>
        <w:jc w:val="both"/>
        <w:rPr>
          <w:rFonts w:ascii="Arial" w:hAnsi="Arial" w:cs="Arial"/>
          <w:sz w:val="24"/>
          <w:szCs w:val="24"/>
        </w:rPr>
      </w:pPr>
      <w:r w:rsidRPr="00F557D9">
        <w:rPr>
          <w:rFonts w:ascii="Arial" w:hAnsi="Arial" w:cs="Arial"/>
          <w:sz w:val="24"/>
          <w:szCs w:val="24"/>
        </w:rPr>
        <w:t xml:space="preserve">De no entenderse así, lo que aporta un tribunal constitucional no genera bienestar o armonía, en los términos definidos por Ronald Dworkin: </w:t>
      </w:r>
      <w:r w:rsidRPr="00F557D9">
        <w:rPr>
          <w:rFonts w:ascii="Arial" w:hAnsi="Arial" w:cs="Arial"/>
          <w:i/>
          <w:sz w:val="24"/>
          <w:szCs w:val="24"/>
        </w:rPr>
        <w:t>“el derecho sirve mejor a la comunidad cuando es lo más preciso y estable posible, y esto es particularmente cierto para el derecho fundamental constitucional”</w:t>
      </w:r>
      <w:r w:rsidRPr="00F557D9">
        <w:rPr>
          <w:rFonts w:ascii="Arial" w:hAnsi="Arial" w:cs="Arial"/>
          <w:sz w:val="24"/>
          <w:szCs w:val="24"/>
        </w:rPr>
        <w:t xml:space="preserve">. La interpretación de la persona juzgadora como corrector del sistema, debe adecuarse al caso concreto sobre una base fundamental y lograr esa precisión política que genere bienestar en la sociedad. </w:t>
      </w:r>
    </w:p>
    <w:p w14:paraId="49AF3181" w14:textId="77777777" w:rsidR="00991189" w:rsidRPr="00F557D9" w:rsidRDefault="00991189" w:rsidP="00991189">
      <w:pPr>
        <w:spacing w:after="0" w:line="240" w:lineRule="auto"/>
        <w:jc w:val="both"/>
        <w:rPr>
          <w:rFonts w:ascii="Arial" w:hAnsi="Arial" w:cs="Arial"/>
          <w:sz w:val="24"/>
          <w:szCs w:val="24"/>
        </w:rPr>
      </w:pPr>
    </w:p>
    <w:p w14:paraId="610AF3FC" w14:textId="77777777" w:rsidR="00991189" w:rsidRPr="00F557D9" w:rsidRDefault="00991189" w:rsidP="00991189">
      <w:pPr>
        <w:spacing w:after="0" w:line="240" w:lineRule="auto"/>
        <w:ind w:firstLine="708"/>
        <w:jc w:val="both"/>
        <w:rPr>
          <w:rFonts w:ascii="Arial" w:hAnsi="Arial" w:cs="Arial"/>
          <w:sz w:val="24"/>
          <w:szCs w:val="24"/>
        </w:rPr>
      </w:pPr>
      <w:r w:rsidRPr="00F557D9">
        <w:rPr>
          <w:rFonts w:ascii="Arial" w:hAnsi="Arial" w:cs="Arial"/>
          <w:sz w:val="24"/>
          <w:szCs w:val="24"/>
        </w:rPr>
        <w:t xml:space="preserve">De ahí que, la Sala Superior estime </w:t>
      </w:r>
      <w:r w:rsidRPr="00F557D9">
        <w:rPr>
          <w:rFonts w:ascii="Arial" w:hAnsi="Arial" w:cs="Arial"/>
          <w:b/>
          <w:sz w:val="24"/>
          <w:szCs w:val="24"/>
        </w:rPr>
        <w:t xml:space="preserve">fundado </w:t>
      </w:r>
      <w:r w:rsidRPr="00F557D9">
        <w:rPr>
          <w:rFonts w:ascii="Arial" w:hAnsi="Arial" w:cs="Arial"/>
          <w:sz w:val="24"/>
          <w:szCs w:val="24"/>
        </w:rPr>
        <w:t>el agravio bajo estudio.</w:t>
      </w:r>
    </w:p>
    <w:p w14:paraId="7C3EE761" w14:textId="77777777" w:rsidR="00991189" w:rsidRPr="00F557D9" w:rsidRDefault="00991189" w:rsidP="00991189">
      <w:pPr>
        <w:spacing w:after="0" w:line="240" w:lineRule="auto"/>
        <w:jc w:val="both"/>
        <w:rPr>
          <w:rFonts w:ascii="Arial" w:hAnsi="Arial" w:cs="Arial"/>
          <w:sz w:val="24"/>
          <w:szCs w:val="24"/>
        </w:rPr>
      </w:pPr>
    </w:p>
    <w:p w14:paraId="143F7677" w14:textId="77777777" w:rsidR="00991189" w:rsidRPr="00F557D9" w:rsidRDefault="00991189" w:rsidP="00991189">
      <w:pPr>
        <w:spacing w:after="0" w:line="240" w:lineRule="auto"/>
        <w:ind w:firstLine="708"/>
        <w:jc w:val="both"/>
        <w:rPr>
          <w:rFonts w:ascii="Arial" w:hAnsi="Arial" w:cs="Arial"/>
          <w:sz w:val="24"/>
          <w:szCs w:val="24"/>
        </w:rPr>
      </w:pPr>
      <w:r w:rsidRPr="00F557D9">
        <w:rPr>
          <w:rFonts w:ascii="Arial" w:hAnsi="Arial" w:cs="Arial"/>
          <w:b/>
          <w:sz w:val="24"/>
          <w:szCs w:val="24"/>
        </w:rPr>
        <w:t xml:space="preserve">NOVENO. Efectos. </w:t>
      </w:r>
      <w:r w:rsidRPr="00F557D9">
        <w:rPr>
          <w:rFonts w:ascii="Arial" w:hAnsi="Arial" w:cs="Arial"/>
          <w:sz w:val="24"/>
          <w:szCs w:val="24"/>
        </w:rPr>
        <w:t>Al resultar fundado el agravio aducido por Ana Teresa Aranda Orozco y Blanca María del Socorro Alcalá Ruiz se considera conforme a Derecho ordenar al Instituto Electoral del Estado de Puebla lo siguiente:</w:t>
      </w:r>
    </w:p>
    <w:p w14:paraId="61B08161" w14:textId="77777777" w:rsidR="00991189" w:rsidRPr="00F557D9" w:rsidRDefault="00991189" w:rsidP="00991189">
      <w:pPr>
        <w:spacing w:after="0" w:line="240" w:lineRule="auto"/>
        <w:jc w:val="both"/>
        <w:rPr>
          <w:rFonts w:ascii="Arial" w:hAnsi="Arial" w:cs="Arial"/>
          <w:sz w:val="24"/>
          <w:szCs w:val="24"/>
        </w:rPr>
      </w:pPr>
    </w:p>
    <w:p w14:paraId="4B605163" w14:textId="77777777" w:rsidR="00991189" w:rsidRDefault="00991189" w:rsidP="00991189">
      <w:pPr>
        <w:spacing w:after="0" w:line="240" w:lineRule="auto"/>
        <w:ind w:firstLine="708"/>
        <w:jc w:val="both"/>
        <w:rPr>
          <w:rFonts w:ascii="Arial" w:hAnsi="Arial" w:cs="Arial"/>
          <w:sz w:val="24"/>
          <w:szCs w:val="24"/>
        </w:rPr>
      </w:pPr>
      <w:r w:rsidRPr="00F557D9">
        <w:rPr>
          <w:rFonts w:ascii="Arial" w:hAnsi="Arial" w:cs="Arial"/>
          <w:sz w:val="24"/>
          <w:szCs w:val="24"/>
        </w:rPr>
        <w:t xml:space="preserve">Retirar de inmediato la propaganda de promoción al voto de los doce espectaculares, cuatro pantallas </w:t>
      </w:r>
      <w:r w:rsidRPr="00F557D9">
        <w:rPr>
          <w:rFonts w:ascii="Arial" w:hAnsi="Arial" w:cs="Arial"/>
          <w:i/>
          <w:sz w:val="24"/>
          <w:szCs w:val="24"/>
        </w:rPr>
        <w:t xml:space="preserve">led, </w:t>
      </w:r>
      <w:r w:rsidRPr="00F557D9">
        <w:rPr>
          <w:rFonts w:ascii="Arial" w:hAnsi="Arial" w:cs="Arial"/>
          <w:sz w:val="24"/>
          <w:szCs w:val="24"/>
        </w:rPr>
        <w:t xml:space="preserve">y la contenida en su sitio </w:t>
      </w:r>
      <w:r w:rsidRPr="00F557D9">
        <w:rPr>
          <w:rFonts w:ascii="Arial" w:hAnsi="Arial" w:cs="Arial"/>
          <w:i/>
          <w:sz w:val="24"/>
          <w:szCs w:val="24"/>
        </w:rPr>
        <w:t xml:space="preserve">web </w:t>
      </w:r>
      <w:r w:rsidRPr="00F557D9">
        <w:rPr>
          <w:rFonts w:ascii="Arial" w:hAnsi="Arial" w:cs="Arial"/>
          <w:sz w:val="24"/>
          <w:szCs w:val="24"/>
        </w:rPr>
        <w:t>oficial que fue controvertida por las actoras.</w:t>
      </w:r>
    </w:p>
    <w:p w14:paraId="491F1310" w14:textId="77777777" w:rsidR="00991189" w:rsidRPr="00F557D9" w:rsidRDefault="00991189" w:rsidP="00991189">
      <w:pPr>
        <w:spacing w:after="0" w:line="240" w:lineRule="auto"/>
        <w:ind w:firstLine="708"/>
        <w:jc w:val="both"/>
        <w:rPr>
          <w:rFonts w:ascii="Arial" w:hAnsi="Arial" w:cs="Arial"/>
          <w:sz w:val="24"/>
          <w:szCs w:val="24"/>
        </w:rPr>
      </w:pPr>
    </w:p>
    <w:p w14:paraId="482B2D52" w14:textId="77777777" w:rsidR="00991189" w:rsidRDefault="00991189" w:rsidP="00991189">
      <w:pPr>
        <w:spacing w:after="0" w:line="240" w:lineRule="auto"/>
        <w:ind w:firstLine="708"/>
        <w:jc w:val="both"/>
        <w:rPr>
          <w:rFonts w:ascii="Arial" w:hAnsi="Arial" w:cs="Arial"/>
          <w:sz w:val="24"/>
          <w:szCs w:val="24"/>
        </w:rPr>
      </w:pPr>
      <w:r w:rsidRPr="00F557D9">
        <w:rPr>
          <w:rFonts w:ascii="Arial" w:hAnsi="Arial" w:cs="Arial"/>
          <w:sz w:val="24"/>
          <w:szCs w:val="24"/>
        </w:rPr>
        <w:t>En la promoción del voto ciudadano para las elecciones del cinco de junio del año en curso en el Estado, por los medios publicitarios denunciados, debe reorientar su promoción, utilizando lenguaje incluyente, conforme a los lineamientos dictados en la presente ejecutoria.</w:t>
      </w:r>
    </w:p>
    <w:p w14:paraId="3B767AD5" w14:textId="77777777" w:rsidR="00991189" w:rsidRPr="00F557D9" w:rsidRDefault="00991189" w:rsidP="00991189">
      <w:pPr>
        <w:spacing w:after="0" w:line="240" w:lineRule="auto"/>
        <w:jc w:val="both"/>
        <w:rPr>
          <w:rFonts w:ascii="Arial" w:hAnsi="Arial" w:cs="Arial"/>
          <w:sz w:val="24"/>
          <w:szCs w:val="24"/>
        </w:rPr>
      </w:pPr>
    </w:p>
    <w:p w14:paraId="4B530143" w14:textId="77777777" w:rsidR="00991189" w:rsidRPr="00F557D9" w:rsidRDefault="00991189" w:rsidP="00991189">
      <w:pPr>
        <w:spacing w:after="0" w:line="240" w:lineRule="auto"/>
        <w:ind w:firstLine="708"/>
        <w:jc w:val="both"/>
        <w:rPr>
          <w:rFonts w:ascii="Arial" w:hAnsi="Arial" w:cs="Arial"/>
          <w:sz w:val="24"/>
          <w:szCs w:val="24"/>
        </w:rPr>
      </w:pPr>
      <w:r w:rsidRPr="00F557D9">
        <w:rPr>
          <w:rFonts w:ascii="Arial" w:hAnsi="Arial" w:cs="Arial"/>
          <w:sz w:val="24"/>
          <w:szCs w:val="24"/>
        </w:rPr>
        <w:t>A partir de la notificación de la sentencia, a fin de respetar el principio de igualdad entre la mujer y el hombre, deberá utilizar un lenguaje incluyente para dirigirse a la ciudadanía mediante la propaganda para promocionar su participación política a través del voto.</w:t>
      </w:r>
    </w:p>
    <w:p w14:paraId="4A6456E8" w14:textId="77777777" w:rsidR="00991189" w:rsidRPr="00F557D9" w:rsidRDefault="00991189" w:rsidP="00991189">
      <w:pPr>
        <w:spacing w:after="0" w:line="240" w:lineRule="auto"/>
        <w:jc w:val="both"/>
        <w:rPr>
          <w:rFonts w:ascii="Arial" w:hAnsi="Arial" w:cs="Arial"/>
          <w:sz w:val="24"/>
          <w:szCs w:val="24"/>
        </w:rPr>
      </w:pPr>
      <w:r w:rsidRPr="00F557D9">
        <w:rPr>
          <w:rFonts w:ascii="Arial" w:hAnsi="Arial" w:cs="Arial"/>
          <w:sz w:val="24"/>
          <w:szCs w:val="24"/>
        </w:rPr>
        <w:t>Una vez efectuado lo anterior, deberá informarlo a la Sala Superior, dentro de las veinticuatro horas siguientes a que esto ocurra.</w:t>
      </w:r>
    </w:p>
    <w:p w14:paraId="0666EDE2" w14:textId="77777777" w:rsidR="00991189" w:rsidRPr="00F557D9" w:rsidRDefault="00991189" w:rsidP="00991189">
      <w:pPr>
        <w:spacing w:after="0" w:line="240" w:lineRule="auto"/>
        <w:jc w:val="both"/>
        <w:rPr>
          <w:rFonts w:ascii="Arial" w:hAnsi="Arial" w:cs="Arial"/>
          <w:sz w:val="24"/>
          <w:szCs w:val="24"/>
        </w:rPr>
      </w:pPr>
    </w:p>
    <w:p w14:paraId="35C0A449" w14:textId="77777777" w:rsidR="00991189" w:rsidRPr="00F557D9" w:rsidRDefault="00991189" w:rsidP="00991189">
      <w:pPr>
        <w:spacing w:after="0" w:line="240" w:lineRule="auto"/>
        <w:ind w:firstLine="708"/>
        <w:jc w:val="both"/>
        <w:rPr>
          <w:rFonts w:ascii="Arial" w:hAnsi="Arial" w:cs="Arial"/>
          <w:sz w:val="24"/>
          <w:szCs w:val="24"/>
        </w:rPr>
      </w:pPr>
      <w:r w:rsidRPr="00F557D9">
        <w:rPr>
          <w:rFonts w:ascii="Arial" w:hAnsi="Arial" w:cs="Arial"/>
          <w:sz w:val="24"/>
          <w:szCs w:val="24"/>
        </w:rPr>
        <w:t>Por lo anteriormente expuesto y fundado, se</w:t>
      </w:r>
    </w:p>
    <w:p w14:paraId="3A6B4C4D" w14:textId="77777777" w:rsidR="00991189" w:rsidRPr="00F557D9" w:rsidRDefault="00991189" w:rsidP="00991189">
      <w:pPr>
        <w:spacing w:after="0" w:line="240" w:lineRule="auto"/>
        <w:jc w:val="both"/>
        <w:rPr>
          <w:rFonts w:ascii="Arial" w:hAnsi="Arial" w:cs="Arial"/>
          <w:b/>
          <w:sz w:val="24"/>
          <w:szCs w:val="24"/>
        </w:rPr>
      </w:pPr>
    </w:p>
    <w:p w14:paraId="415B0043" w14:textId="77777777" w:rsidR="00991189" w:rsidRDefault="00991189" w:rsidP="00991189">
      <w:pPr>
        <w:spacing w:after="0" w:line="240" w:lineRule="auto"/>
        <w:jc w:val="both"/>
        <w:rPr>
          <w:rFonts w:ascii="Arial" w:hAnsi="Arial" w:cs="Arial"/>
          <w:b/>
          <w:sz w:val="24"/>
          <w:szCs w:val="24"/>
        </w:rPr>
      </w:pPr>
    </w:p>
    <w:p w14:paraId="5B25DF75" w14:textId="77777777" w:rsidR="00991189" w:rsidRDefault="00991189" w:rsidP="00991189">
      <w:pPr>
        <w:spacing w:after="0" w:line="240" w:lineRule="auto"/>
        <w:jc w:val="center"/>
        <w:rPr>
          <w:rFonts w:ascii="Arial" w:hAnsi="Arial" w:cs="Arial"/>
          <w:b/>
          <w:sz w:val="24"/>
          <w:szCs w:val="24"/>
        </w:rPr>
      </w:pPr>
      <w:r w:rsidRPr="00BB22F5">
        <w:rPr>
          <w:rFonts w:ascii="Arial" w:hAnsi="Arial" w:cs="Arial"/>
          <w:b/>
          <w:sz w:val="24"/>
          <w:szCs w:val="24"/>
        </w:rPr>
        <w:t>R E S U E L V E:</w:t>
      </w:r>
    </w:p>
    <w:p w14:paraId="56FA7287" w14:textId="77777777" w:rsidR="00991189" w:rsidRPr="00BB22F5" w:rsidRDefault="00991189" w:rsidP="00991189">
      <w:pPr>
        <w:spacing w:after="0" w:line="240" w:lineRule="auto"/>
        <w:jc w:val="both"/>
        <w:rPr>
          <w:rFonts w:ascii="Arial" w:hAnsi="Arial" w:cs="Arial"/>
          <w:b/>
          <w:sz w:val="24"/>
          <w:szCs w:val="24"/>
        </w:rPr>
      </w:pPr>
    </w:p>
    <w:p w14:paraId="61089BE1" w14:textId="77777777" w:rsidR="00991189" w:rsidRPr="00BB22F5" w:rsidRDefault="00991189" w:rsidP="00991189">
      <w:pPr>
        <w:spacing w:after="0" w:line="240" w:lineRule="auto"/>
        <w:ind w:firstLine="708"/>
        <w:jc w:val="both"/>
        <w:rPr>
          <w:rFonts w:ascii="Arial" w:hAnsi="Arial" w:cs="Arial"/>
          <w:sz w:val="24"/>
          <w:szCs w:val="24"/>
        </w:rPr>
      </w:pPr>
      <w:r w:rsidRPr="00BB22F5">
        <w:rPr>
          <w:rFonts w:ascii="Arial" w:hAnsi="Arial" w:cs="Arial"/>
          <w:b/>
          <w:sz w:val="24"/>
          <w:szCs w:val="24"/>
        </w:rPr>
        <w:t>PRIMERO</w:t>
      </w:r>
      <w:r w:rsidRPr="00BB22F5">
        <w:rPr>
          <w:rFonts w:ascii="Arial" w:hAnsi="Arial" w:cs="Arial"/>
          <w:sz w:val="24"/>
          <w:szCs w:val="24"/>
        </w:rPr>
        <w:t xml:space="preserve">. Se acumula el juicio para la protección de los derechos políticos electorales del ciudadano SUP-JDC-1621/2016 al diverso SUP-JDC-1619/2016, en </w:t>
      </w:r>
      <w:r w:rsidRPr="00BB22F5">
        <w:rPr>
          <w:rFonts w:ascii="Arial" w:hAnsi="Arial" w:cs="Arial"/>
          <w:sz w:val="24"/>
          <w:szCs w:val="24"/>
        </w:rPr>
        <w:lastRenderedPageBreak/>
        <w:t>consecuencia, se ordena glosar copia certificada de los puntos resolutivos de la sentencia a los autos de los juicios acumulados.</w:t>
      </w:r>
    </w:p>
    <w:p w14:paraId="2250E3BA" w14:textId="77777777" w:rsidR="00991189" w:rsidRPr="00BB22F5" w:rsidRDefault="00991189" w:rsidP="00991189">
      <w:pPr>
        <w:spacing w:after="0" w:line="240" w:lineRule="auto"/>
        <w:jc w:val="both"/>
        <w:rPr>
          <w:rFonts w:ascii="Arial" w:hAnsi="Arial" w:cs="Arial"/>
          <w:sz w:val="24"/>
          <w:szCs w:val="24"/>
        </w:rPr>
      </w:pPr>
    </w:p>
    <w:p w14:paraId="143D1A02" w14:textId="77777777" w:rsidR="00991189" w:rsidRPr="00BB22F5" w:rsidRDefault="00991189" w:rsidP="00991189">
      <w:pPr>
        <w:spacing w:after="0" w:line="240" w:lineRule="auto"/>
        <w:ind w:firstLine="708"/>
        <w:jc w:val="both"/>
        <w:rPr>
          <w:rFonts w:ascii="Arial" w:hAnsi="Arial" w:cs="Arial"/>
          <w:sz w:val="24"/>
          <w:szCs w:val="24"/>
        </w:rPr>
      </w:pPr>
      <w:r w:rsidRPr="00BB22F5">
        <w:rPr>
          <w:rFonts w:ascii="Arial" w:hAnsi="Arial" w:cs="Arial"/>
          <w:b/>
          <w:sz w:val="24"/>
          <w:szCs w:val="24"/>
        </w:rPr>
        <w:t>SEGUNDO</w:t>
      </w:r>
      <w:r w:rsidRPr="00BB22F5">
        <w:rPr>
          <w:rFonts w:ascii="Arial" w:hAnsi="Arial" w:cs="Arial"/>
          <w:sz w:val="24"/>
          <w:szCs w:val="24"/>
        </w:rPr>
        <w:t>. Se ordena al Instituto Electoral del Estado de Puebla realizar las acciones señaladas en el considerando noveno de la presente ejecutoria.</w:t>
      </w:r>
    </w:p>
    <w:p w14:paraId="071B847D" w14:textId="77777777" w:rsidR="00991189" w:rsidRPr="00BB22F5" w:rsidRDefault="00991189" w:rsidP="00991189">
      <w:pPr>
        <w:spacing w:after="0" w:line="240" w:lineRule="auto"/>
        <w:jc w:val="both"/>
        <w:rPr>
          <w:rFonts w:ascii="Arial" w:hAnsi="Arial" w:cs="Arial"/>
          <w:sz w:val="24"/>
          <w:szCs w:val="24"/>
        </w:rPr>
      </w:pPr>
    </w:p>
    <w:p w14:paraId="45B66702" w14:textId="77777777" w:rsidR="00991189" w:rsidRPr="00BB22F5" w:rsidRDefault="00991189" w:rsidP="00991189">
      <w:pPr>
        <w:spacing w:after="0" w:line="240" w:lineRule="auto"/>
        <w:ind w:firstLine="708"/>
        <w:jc w:val="both"/>
        <w:rPr>
          <w:rFonts w:ascii="Arial" w:hAnsi="Arial" w:cs="Arial"/>
          <w:sz w:val="24"/>
          <w:szCs w:val="24"/>
        </w:rPr>
      </w:pPr>
      <w:r w:rsidRPr="00BB22F5">
        <w:rPr>
          <w:rFonts w:ascii="Arial" w:hAnsi="Arial" w:cs="Arial"/>
          <w:b/>
          <w:sz w:val="24"/>
          <w:szCs w:val="24"/>
        </w:rPr>
        <w:t>NOTIFÍQUESE</w:t>
      </w:r>
      <w:r w:rsidRPr="00BB22F5">
        <w:rPr>
          <w:rFonts w:ascii="Arial" w:hAnsi="Arial" w:cs="Arial"/>
          <w:sz w:val="24"/>
          <w:szCs w:val="24"/>
        </w:rPr>
        <w:t>: Como en Derecho corresponda.</w:t>
      </w:r>
    </w:p>
    <w:p w14:paraId="019A8907" w14:textId="77777777" w:rsidR="00991189" w:rsidRPr="00BB22F5" w:rsidRDefault="00991189" w:rsidP="00991189">
      <w:pPr>
        <w:spacing w:after="0" w:line="240" w:lineRule="auto"/>
        <w:jc w:val="both"/>
        <w:rPr>
          <w:rFonts w:ascii="Arial" w:hAnsi="Arial" w:cs="Arial"/>
          <w:sz w:val="24"/>
          <w:szCs w:val="24"/>
        </w:rPr>
      </w:pPr>
    </w:p>
    <w:p w14:paraId="20878818" w14:textId="77777777" w:rsidR="00991189" w:rsidRPr="00BB22F5" w:rsidRDefault="00991189" w:rsidP="00991189">
      <w:pPr>
        <w:spacing w:after="0" w:line="240" w:lineRule="auto"/>
        <w:ind w:firstLine="708"/>
        <w:jc w:val="both"/>
        <w:rPr>
          <w:rFonts w:ascii="Arial" w:hAnsi="Arial" w:cs="Arial"/>
          <w:sz w:val="24"/>
          <w:szCs w:val="24"/>
        </w:rPr>
      </w:pPr>
      <w:r w:rsidRPr="00BB22F5">
        <w:rPr>
          <w:rFonts w:ascii="Arial" w:hAnsi="Arial" w:cs="Arial"/>
          <w:sz w:val="24"/>
          <w:szCs w:val="24"/>
        </w:rPr>
        <w:t>En su oportunidad, devuélvanse los documentos atinentes y archívese este expediente como asunto total y definitivamente concluido.</w:t>
      </w:r>
    </w:p>
    <w:p w14:paraId="0A7CBD31" w14:textId="77777777" w:rsidR="00991189" w:rsidRPr="00BB22F5" w:rsidRDefault="00991189" w:rsidP="00991189">
      <w:pPr>
        <w:spacing w:after="0" w:line="240" w:lineRule="auto"/>
        <w:jc w:val="both"/>
        <w:rPr>
          <w:rFonts w:ascii="Arial" w:hAnsi="Arial" w:cs="Arial"/>
          <w:sz w:val="24"/>
          <w:szCs w:val="24"/>
        </w:rPr>
      </w:pPr>
    </w:p>
    <w:p w14:paraId="6E72AFD1" w14:textId="77777777" w:rsidR="00991189" w:rsidRDefault="00991189" w:rsidP="00991189">
      <w:pPr>
        <w:spacing w:after="0" w:line="240" w:lineRule="auto"/>
        <w:ind w:firstLine="708"/>
        <w:jc w:val="both"/>
        <w:rPr>
          <w:rFonts w:ascii="Arial" w:hAnsi="Arial" w:cs="Arial"/>
          <w:sz w:val="24"/>
          <w:szCs w:val="24"/>
        </w:rPr>
      </w:pPr>
      <w:r w:rsidRPr="00BB22F5">
        <w:rPr>
          <w:rFonts w:ascii="Arial" w:hAnsi="Arial" w:cs="Arial"/>
          <w:sz w:val="24"/>
          <w:szCs w:val="24"/>
        </w:rPr>
        <w:t xml:space="preserve">Así, por </w:t>
      </w:r>
      <w:r w:rsidRPr="00BB22F5">
        <w:rPr>
          <w:rFonts w:ascii="Arial" w:hAnsi="Arial" w:cs="Arial"/>
          <w:b/>
          <w:sz w:val="24"/>
          <w:szCs w:val="24"/>
        </w:rPr>
        <w:t xml:space="preserve">unanimidad </w:t>
      </w:r>
      <w:r w:rsidRPr="00BB22F5">
        <w:rPr>
          <w:rFonts w:ascii="Arial" w:hAnsi="Arial" w:cs="Arial"/>
          <w:sz w:val="24"/>
          <w:szCs w:val="24"/>
        </w:rPr>
        <w:t xml:space="preserve">de votos, lo resolvieron los Magistrados que integran la Sala Superior del Tribunal Electoral del Poder Judicial de la Federación, con la precisión de que el Magistrado Flavio Galván Rivera vota a favor de los resolutivos sin compartir las consideraciones, con la ausencia del Magistrado Pedro Esteban Penagos López, ante la Secretaria General de Acuerdos, que autoriza y da fe. </w:t>
      </w:r>
    </w:p>
    <w:p w14:paraId="40CFD129" w14:textId="77777777" w:rsidR="00991189" w:rsidRDefault="00991189" w:rsidP="00991189">
      <w:pPr>
        <w:spacing w:after="0" w:line="240" w:lineRule="auto"/>
        <w:ind w:firstLine="708"/>
        <w:jc w:val="both"/>
        <w:rPr>
          <w:rFonts w:ascii="Arial" w:hAnsi="Arial" w:cs="Arial"/>
          <w:sz w:val="24"/>
          <w:szCs w:val="24"/>
        </w:rPr>
      </w:pPr>
    </w:p>
    <w:p w14:paraId="7F97E73C" w14:textId="77777777" w:rsidR="00991189" w:rsidRDefault="00991189" w:rsidP="00991189">
      <w:pPr>
        <w:spacing w:after="0" w:line="240" w:lineRule="auto"/>
        <w:ind w:firstLine="708"/>
        <w:jc w:val="both"/>
        <w:rPr>
          <w:rFonts w:ascii="Arial" w:hAnsi="Arial" w:cs="Arial"/>
          <w:sz w:val="24"/>
          <w:szCs w:val="24"/>
        </w:rPr>
      </w:pPr>
    </w:p>
    <w:p w14:paraId="018EE4BB" w14:textId="77777777" w:rsidR="00991189" w:rsidRDefault="00991189" w:rsidP="00991189">
      <w:pPr>
        <w:spacing w:after="0" w:line="240" w:lineRule="auto"/>
        <w:ind w:firstLine="708"/>
        <w:jc w:val="both"/>
        <w:rPr>
          <w:rFonts w:ascii="Arial" w:hAnsi="Arial" w:cs="Arial"/>
          <w:sz w:val="24"/>
          <w:szCs w:val="24"/>
        </w:rPr>
      </w:pPr>
    </w:p>
    <w:p w14:paraId="61E99E31" w14:textId="77777777" w:rsidR="00991189" w:rsidRPr="00BB22F5" w:rsidRDefault="00991189" w:rsidP="00991189">
      <w:pPr>
        <w:spacing w:after="0" w:line="240" w:lineRule="auto"/>
        <w:ind w:firstLine="708"/>
        <w:jc w:val="both"/>
        <w:rPr>
          <w:rFonts w:ascii="Arial" w:hAnsi="Arial" w:cs="Arial"/>
          <w:sz w:val="24"/>
          <w:szCs w:val="24"/>
        </w:rPr>
      </w:pPr>
    </w:p>
    <w:tbl>
      <w:tblPr>
        <w:tblStyle w:val="TableNormal"/>
        <w:tblW w:w="8052" w:type="dxa"/>
        <w:tblLook w:val="0000" w:firstRow="0" w:lastRow="0" w:firstColumn="0" w:lastColumn="0" w:noHBand="0" w:noVBand="0"/>
      </w:tblPr>
      <w:tblGrid>
        <w:gridCol w:w="4084"/>
        <w:gridCol w:w="3968"/>
      </w:tblGrid>
      <w:tr w:rsidR="00991189" w:rsidRPr="00820625" w14:paraId="6D145959" w14:textId="77777777" w:rsidTr="00265B44">
        <w:tc>
          <w:tcPr>
            <w:tcW w:w="8052" w:type="dxa"/>
            <w:gridSpan w:val="2"/>
          </w:tcPr>
          <w:p w14:paraId="5A66A9D9" w14:textId="77777777" w:rsidR="00991189" w:rsidRPr="00820625" w:rsidRDefault="00991189" w:rsidP="00265B44">
            <w:pPr>
              <w:jc w:val="center"/>
              <w:rPr>
                <w:rFonts w:ascii="Arial" w:hAnsi="Arial" w:cs="Arial"/>
                <w:b/>
                <w:sz w:val="24"/>
                <w:szCs w:val="24"/>
              </w:rPr>
            </w:pPr>
            <w:r w:rsidRPr="00820625">
              <w:rPr>
                <w:rFonts w:ascii="Arial" w:hAnsi="Arial" w:cs="Arial"/>
                <w:b/>
                <w:sz w:val="24"/>
                <w:szCs w:val="24"/>
              </w:rPr>
              <w:t>MAGISTRADO PRESIDENTE</w:t>
            </w:r>
          </w:p>
          <w:p w14:paraId="2F8ECC4A" w14:textId="77777777" w:rsidR="00991189" w:rsidRPr="00820625" w:rsidRDefault="00991189" w:rsidP="00265B44">
            <w:pPr>
              <w:jc w:val="center"/>
              <w:rPr>
                <w:rFonts w:ascii="Arial" w:hAnsi="Arial" w:cs="Arial"/>
                <w:b/>
                <w:sz w:val="24"/>
                <w:szCs w:val="24"/>
              </w:rPr>
            </w:pPr>
          </w:p>
          <w:p w14:paraId="14400049" w14:textId="77777777" w:rsidR="00991189" w:rsidRPr="00820625" w:rsidRDefault="00991189" w:rsidP="00265B44">
            <w:pPr>
              <w:jc w:val="center"/>
              <w:rPr>
                <w:rFonts w:ascii="Arial" w:hAnsi="Arial" w:cs="Arial"/>
                <w:b/>
                <w:sz w:val="24"/>
                <w:szCs w:val="24"/>
              </w:rPr>
            </w:pPr>
          </w:p>
          <w:p w14:paraId="7657BC58" w14:textId="77777777" w:rsidR="00991189" w:rsidRPr="00820625" w:rsidRDefault="00991189" w:rsidP="00265B44">
            <w:pPr>
              <w:jc w:val="center"/>
              <w:rPr>
                <w:rFonts w:ascii="Arial" w:hAnsi="Arial" w:cs="Arial"/>
                <w:b/>
                <w:sz w:val="24"/>
                <w:szCs w:val="24"/>
              </w:rPr>
            </w:pPr>
          </w:p>
          <w:p w14:paraId="1EE17548" w14:textId="77777777" w:rsidR="00991189" w:rsidRPr="00820625" w:rsidRDefault="00991189" w:rsidP="00265B44">
            <w:pPr>
              <w:jc w:val="center"/>
              <w:rPr>
                <w:rFonts w:ascii="Arial" w:hAnsi="Arial" w:cs="Arial"/>
                <w:b/>
                <w:sz w:val="24"/>
                <w:szCs w:val="24"/>
              </w:rPr>
            </w:pPr>
          </w:p>
          <w:p w14:paraId="4A5D01A1" w14:textId="77777777" w:rsidR="00991189" w:rsidRPr="00820625" w:rsidRDefault="00991189" w:rsidP="00265B44">
            <w:pPr>
              <w:jc w:val="center"/>
              <w:rPr>
                <w:rFonts w:ascii="Arial" w:hAnsi="Arial" w:cs="Arial"/>
                <w:b/>
                <w:sz w:val="24"/>
                <w:szCs w:val="24"/>
              </w:rPr>
            </w:pPr>
            <w:r w:rsidRPr="00820625">
              <w:rPr>
                <w:rFonts w:ascii="Arial" w:hAnsi="Arial" w:cs="Arial"/>
                <w:b/>
                <w:sz w:val="24"/>
                <w:szCs w:val="24"/>
              </w:rPr>
              <w:t>CONSTANCIO CARRASCO DAZA</w:t>
            </w:r>
          </w:p>
        </w:tc>
      </w:tr>
      <w:tr w:rsidR="00991189" w:rsidRPr="00820625" w14:paraId="3DF21503" w14:textId="77777777" w:rsidTr="00265B44">
        <w:trPr>
          <w:trHeight w:val="1922"/>
        </w:trPr>
        <w:tc>
          <w:tcPr>
            <w:tcW w:w="4084" w:type="dxa"/>
          </w:tcPr>
          <w:p w14:paraId="40B49FB2" w14:textId="77777777" w:rsidR="00991189" w:rsidRPr="00820625" w:rsidRDefault="00991189" w:rsidP="00265B44">
            <w:pPr>
              <w:jc w:val="center"/>
              <w:rPr>
                <w:rFonts w:ascii="Arial" w:hAnsi="Arial" w:cs="Arial"/>
                <w:b/>
                <w:sz w:val="24"/>
                <w:szCs w:val="24"/>
              </w:rPr>
            </w:pPr>
          </w:p>
          <w:p w14:paraId="6C5F4CF3" w14:textId="77777777" w:rsidR="00991189" w:rsidRPr="00820625" w:rsidRDefault="00991189" w:rsidP="00265B44">
            <w:pPr>
              <w:jc w:val="center"/>
              <w:rPr>
                <w:rFonts w:ascii="Arial" w:hAnsi="Arial" w:cs="Arial"/>
                <w:b/>
                <w:sz w:val="24"/>
                <w:szCs w:val="24"/>
              </w:rPr>
            </w:pPr>
          </w:p>
          <w:p w14:paraId="1F17E597" w14:textId="77777777" w:rsidR="00991189" w:rsidRPr="00820625" w:rsidRDefault="00991189" w:rsidP="00265B44">
            <w:pPr>
              <w:jc w:val="center"/>
              <w:rPr>
                <w:rFonts w:ascii="Arial" w:hAnsi="Arial" w:cs="Arial"/>
                <w:b/>
                <w:sz w:val="24"/>
                <w:szCs w:val="24"/>
              </w:rPr>
            </w:pPr>
          </w:p>
          <w:p w14:paraId="72CF8720" w14:textId="77777777" w:rsidR="00991189" w:rsidRPr="00820625" w:rsidRDefault="00991189" w:rsidP="00265B44">
            <w:pPr>
              <w:jc w:val="center"/>
              <w:rPr>
                <w:rFonts w:ascii="Arial" w:hAnsi="Arial" w:cs="Arial"/>
                <w:b/>
                <w:sz w:val="24"/>
                <w:szCs w:val="24"/>
              </w:rPr>
            </w:pPr>
            <w:r w:rsidRPr="00820625">
              <w:rPr>
                <w:rFonts w:ascii="Arial" w:hAnsi="Arial" w:cs="Arial"/>
                <w:b/>
                <w:sz w:val="24"/>
                <w:szCs w:val="24"/>
              </w:rPr>
              <w:t>MAGISTRADA</w:t>
            </w:r>
          </w:p>
          <w:p w14:paraId="1E7FDC73" w14:textId="77777777" w:rsidR="00991189" w:rsidRPr="00820625" w:rsidRDefault="00991189" w:rsidP="00265B44">
            <w:pPr>
              <w:jc w:val="center"/>
              <w:rPr>
                <w:rFonts w:ascii="Arial" w:hAnsi="Arial" w:cs="Arial"/>
                <w:b/>
                <w:sz w:val="24"/>
                <w:szCs w:val="24"/>
              </w:rPr>
            </w:pPr>
          </w:p>
          <w:p w14:paraId="2A38EB24" w14:textId="77777777" w:rsidR="00991189" w:rsidRDefault="00991189" w:rsidP="00265B44">
            <w:pPr>
              <w:jc w:val="center"/>
              <w:rPr>
                <w:rFonts w:ascii="Arial" w:hAnsi="Arial" w:cs="Arial"/>
                <w:b/>
                <w:sz w:val="24"/>
                <w:szCs w:val="24"/>
              </w:rPr>
            </w:pPr>
          </w:p>
          <w:p w14:paraId="64A182DE" w14:textId="77777777" w:rsidR="00991189" w:rsidRDefault="00991189" w:rsidP="00265B44">
            <w:pPr>
              <w:jc w:val="center"/>
              <w:rPr>
                <w:rFonts w:ascii="Arial" w:hAnsi="Arial" w:cs="Arial"/>
                <w:b/>
                <w:sz w:val="24"/>
                <w:szCs w:val="24"/>
              </w:rPr>
            </w:pPr>
          </w:p>
          <w:p w14:paraId="232660BB" w14:textId="77777777" w:rsidR="00991189" w:rsidRDefault="00991189" w:rsidP="00265B44">
            <w:pPr>
              <w:jc w:val="center"/>
              <w:rPr>
                <w:rFonts w:ascii="Arial" w:hAnsi="Arial" w:cs="Arial"/>
                <w:b/>
                <w:sz w:val="24"/>
                <w:szCs w:val="24"/>
              </w:rPr>
            </w:pPr>
          </w:p>
          <w:p w14:paraId="1259B6DC" w14:textId="77777777" w:rsidR="00991189" w:rsidRPr="00820625" w:rsidRDefault="00991189" w:rsidP="00265B44">
            <w:pPr>
              <w:jc w:val="center"/>
              <w:rPr>
                <w:rFonts w:ascii="Arial" w:hAnsi="Arial" w:cs="Arial"/>
                <w:b/>
                <w:sz w:val="24"/>
                <w:szCs w:val="24"/>
              </w:rPr>
            </w:pPr>
          </w:p>
          <w:p w14:paraId="16C8CFFF" w14:textId="77777777" w:rsidR="00991189" w:rsidRPr="00820625" w:rsidRDefault="00991189" w:rsidP="00265B44">
            <w:pPr>
              <w:jc w:val="center"/>
              <w:rPr>
                <w:rFonts w:ascii="Arial" w:hAnsi="Arial" w:cs="Arial"/>
                <w:b/>
                <w:sz w:val="24"/>
                <w:szCs w:val="24"/>
              </w:rPr>
            </w:pPr>
            <w:r w:rsidRPr="00820625">
              <w:rPr>
                <w:rFonts w:ascii="Arial" w:hAnsi="Arial" w:cs="Arial"/>
                <w:b/>
                <w:sz w:val="24"/>
                <w:szCs w:val="24"/>
              </w:rPr>
              <w:t>MARÍA DEL CARMEN ALANIS FIGUEROA</w:t>
            </w:r>
          </w:p>
        </w:tc>
        <w:tc>
          <w:tcPr>
            <w:tcW w:w="3968" w:type="dxa"/>
          </w:tcPr>
          <w:p w14:paraId="30E01459" w14:textId="77777777" w:rsidR="00991189" w:rsidRPr="00820625" w:rsidRDefault="00991189" w:rsidP="00265B44">
            <w:pPr>
              <w:jc w:val="center"/>
              <w:rPr>
                <w:rFonts w:ascii="Arial" w:hAnsi="Arial" w:cs="Arial"/>
                <w:b/>
                <w:sz w:val="24"/>
                <w:szCs w:val="24"/>
              </w:rPr>
            </w:pPr>
          </w:p>
          <w:p w14:paraId="1F796257" w14:textId="77777777" w:rsidR="00991189" w:rsidRPr="00820625" w:rsidRDefault="00991189" w:rsidP="00265B44">
            <w:pPr>
              <w:jc w:val="center"/>
              <w:rPr>
                <w:rFonts w:ascii="Arial" w:hAnsi="Arial" w:cs="Arial"/>
                <w:b/>
                <w:sz w:val="24"/>
                <w:szCs w:val="24"/>
              </w:rPr>
            </w:pPr>
          </w:p>
          <w:p w14:paraId="0EBE6C70" w14:textId="77777777" w:rsidR="00991189" w:rsidRPr="00820625" w:rsidRDefault="00991189" w:rsidP="00265B44">
            <w:pPr>
              <w:jc w:val="center"/>
              <w:rPr>
                <w:rFonts w:ascii="Arial" w:hAnsi="Arial" w:cs="Arial"/>
                <w:b/>
                <w:sz w:val="24"/>
                <w:szCs w:val="24"/>
              </w:rPr>
            </w:pPr>
          </w:p>
          <w:p w14:paraId="3A52CD72" w14:textId="77777777" w:rsidR="00991189" w:rsidRPr="00820625" w:rsidRDefault="00991189" w:rsidP="00265B44">
            <w:pPr>
              <w:jc w:val="center"/>
              <w:rPr>
                <w:rFonts w:ascii="Arial" w:hAnsi="Arial" w:cs="Arial"/>
                <w:b/>
                <w:sz w:val="24"/>
                <w:szCs w:val="24"/>
              </w:rPr>
            </w:pPr>
            <w:r w:rsidRPr="00820625">
              <w:rPr>
                <w:rFonts w:ascii="Arial" w:hAnsi="Arial" w:cs="Arial"/>
                <w:b/>
                <w:sz w:val="24"/>
                <w:szCs w:val="24"/>
              </w:rPr>
              <w:t>MAGISTRADO</w:t>
            </w:r>
          </w:p>
          <w:p w14:paraId="15A05034" w14:textId="77777777" w:rsidR="00991189" w:rsidRDefault="00991189" w:rsidP="00265B44">
            <w:pPr>
              <w:jc w:val="center"/>
              <w:rPr>
                <w:rFonts w:ascii="Arial" w:hAnsi="Arial" w:cs="Arial"/>
                <w:b/>
                <w:sz w:val="24"/>
                <w:szCs w:val="24"/>
              </w:rPr>
            </w:pPr>
          </w:p>
          <w:p w14:paraId="4231A0CD" w14:textId="77777777" w:rsidR="00991189" w:rsidRDefault="00991189" w:rsidP="00265B44">
            <w:pPr>
              <w:jc w:val="center"/>
              <w:rPr>
                <w:rFonts w:ascii="Arial" w:hAnsi="Arial" w:cs="Arial"/>
                <w:b/>
                <w:sz w:val="24"/>
                <w:szCs w:val="24"/>
              </w:rPr>
            </w:pPr>
          </w:p>
          <w:p w14:paraId="04F29E03" w14:textId="77777777" w:rsidR="00991189" w:rsidRDefault="00991189" w:rsidP="00265B44">
            <w:pPr>
              <w:jc w:val="center"/>
              <w:rPr>
                <w:rFonts w:ascii="Arial" w:hAnsi="Arial" w:cs="Arial"/>
                <w:b/>
                <w:sz w:val="24"/>
                <w:szCs w:val="24"/>
              </w:rPr>
            </w:pPr>
          </w:p>
          <w:p w14:paraId="6AA47BC8" w14:textId="77777777" w:rsidR="00991189" w:rsidRPr="00820625" w:rsidRDefault="00991189" w:rsidP="00265B44">
            <w:pPr>
              <w:jc w:val="center"/>
              <w:rPr>
                <w:rFonts w:ascii="Arial" w:hAnsi="Arial" w:cs="Arial"/>
                <w:b/>
                <w:sz w:val="24"/>
                <w:szCs w:val="24"/>
              </w:rPr>
            </w:pPr>
          </w:p>
          <w:p w14:paraId="432D8551" w14:textId="77777777" w:rsidR="00991189" w:rsidRPr="00820625" w:rsidRDefault="00991189" w:rsidP="00265B44">
            <w:pPr>
              <w:jc w:val="center"/>
              <w:rPr>
                <w:rFonts w:ascii="Arial" w:hAnsi="Arial" w:cs="Arial"/>
                <w:b/>
                <w:sz w:val="24"/>
                <w:szCs w:val="24"/>
              </w:rPr>
            </w:pPr>
          </w:p>
          <w:p w14:paraId="44605037" w14:textId="77777777" w:rsidR="00991189" w:rsidRPr="00820625" w:rsidRDefault="00991189" w:rsidP="00265B44">
            <w:pPr>
              <w:jc w:val="center"/>
              <w:rPr>
                <w:rFonts w:ascii="Arial" w:hAnsi="Arial" w:cs="Arial"/>
                <w:b/>
                <w:sz w:val="24"/>
                <w:szCs w:val="24"/>
              </w:rPr>
            </w:pPr>
            <w:r w:rsidRPr="00820625">
              <w:rPr>
                <w:rFonts w:ascii="Arial" w:hAnsi="Arial" w:cs="Arial"/>
                <w:b/>
                <w:sz w:val="24"/>
                <w:szCs w:val="24"/>
              </w:rPr>
              <w:t>FLAVIO GALVÁN RIVERA</w:t>
            </w:r>
          </w:p>
        </w:tc>
      </w:tr>
      <w:tr w:rsidR="00991189" w:rsidRPr="00820625" w14:paraId="27D83BCF" w14:textId="77777777" w:rsidTr="00265B44">
        <w:tc>
          <w:tcPr>
            <w:tcW w:w="4084" w:type="dxa"/>
          </w:tcPr>
          <w:p w14:paraId="0B1CF56D" w14:textId="77777777" w:rsidR="00991189" w:rsidRPr="00820625" w:rsidRDefault="00991189" w:rsidP="00265B44">
            <w:pPr>
              <w:jc w:val="center"/>
              <w:rPr>
                <w:rFonts w:ascii="Arial" w:hAnsi="Arial" w:cs="Arial"/>
                <w:b/>
                <w:sz w:val="24"/>
                <w:szCs w:val="24"/>
              </w:rPr>
            </w:pPr>
          </w:p>
          <w:p w14:paraId="71000833" w14:textId="77777777" w:rsidR="00991189" w:rsidRPr="00820625" w:rsidRDefault="00991189" w:rsidP="00265B44">
            <w:pPr>
              <w:jc w:val="center"/>
              <w:rPr>
                <w:rFonts w:ascii="Arial" w:hAnsi="Arial" w:cs="Arial"/>
                <w:b/>
                <w:sz w:val="24"/>
                <w:szCs w:val="24"/>
              </w:rPr>
            </w:pPr>
          </w:p>
          <w:p w14:paraId="29476FCF" w14:textId="77777777" w:rsidR="00991189" w:rsidRPr="00820625" w:rsidRDefault="00991189" w:rsidP="00265B44">
            <w:pPr>
              <w:jc w:val="center"/>
              <w:rPr>
                <w:rFonts w:ascii="Arial" w:hAnsi="Arial" w:cs="Arial"/>
                <w:b/>
                <w:sz w:val="24"/>
                <w:szCs w:val="24"/>
              </w:rPr>
            </w:pPr>
          </w:p>
          <w:p w14:paraId="3499259A" w14:textId="77777777" w:rsidR="00991189" w:rsidRPr="00820625" w:rsidRDefault="00991189" w:rsidP="00265B44">
            <w:pPr>
              <w:jc w:val="center"/>
              <w:rPr>
                <w:rFonts w:ascii="Arial" w:hAnsi="Arial" w:cs="Arial"/>
                <w:b/>
                <w:sz w:val="24"/>
                <w:szCs w:val="24"/>
              </w:rPr>
            </w:pPr>
            <w:r w:rsidRPr="00820625">
              <w:rPr>
                <w:rFonts w:ascii="Arial" w:hAnsi="Arial" w:cs="Arial"/>
                <w:b/>
                <w:sz w:val="24"/>
                <w:szCs w:val="24"/>
              </w:rPr>
              <w:t>MAGISTRADO</w:t>
            </w:r>
          </w:p>
          <w:p w14:paraId="724450C5" w14:textId="77777777" w:rsidR="00991189" w:rsidRDefault="00991189" w:rsidP="00265B44">
            <w:pPr>
              <w:jc w:val="center"/>
              <w:rPr>
                <w:rFonts w:ascii="Arial" w:hAnsi="Arial" w:cs="Arial"/>
                <w:b/>
                <w:sz w:val="24"/>
                <w:szCs w:val="24"/>
              </w:rPr>
            </w:pPr>
          </w:p>
          <w:p w14:paraId="41DB8EE0" w14:textId="77777777" w:rsidR="00991189" w:rsidRDefault="00991189" w:rsidP="00265B44">
            <w:pPr>
              <w:jc w:val="center"/>
              <w:rPr>
                <w:rFonts w:ascii="Arial" w:hAnsi="Arial" w:cs="Arial"/>
                <w:b/>
                <w:sz w:val="24"/>
                <w:szCs w:val="24"/>
              </w:rPr>
            </w:pPr>
          </w:p>
          <w:p w14:paraId="1F050437" w14:textId="77777777" w:rsidR="00991189" w:rsidRDefault="00991189" w:rsidP="00265B44">
            <w:pPr>
              <w:jc w:val="center"/>
              <w:rPr>
                <w:rFonts w:ascii="Arial" w:hAnsi="Arial" w:cs="Arial"/>
                <w:b/>
                <w:sz w:val="24"/>
                <w:szCs w:val="24"/>
              </w:rPr>
            </w:pPr>
          </w:p>
          <w:p w14:paraId="1E7F677B" w14:textId="77777777" w:rsidR="00991189" w:rsidRPr="00820625" w:rsidRDefault="00991189" w:rsidP="00265B44">
            <w:pPr>
              <w:jc w:val="center"/>
              <w:rPr>
                <w:rFonts w:ascii="Arial" w:hAnsi="Arial" w:cs="Arial"/>
                <w:b/>
                <w:sz w:val="24"/>
                <w:szCs w:val="24"/>
              </w:rPr>
            </w:pPr>
          </w:p>
          <w:p w14:paraId="18B1A7B0" w14:textId="77777777" w:rsidR="00991189" w:rsidRPr="00820625" w:rsidRDefault="00991189" w:rsidP="00265B44">
            <w:pPr>
              <w:jc w:val="center"/>
              <w:rPr>
                <w:rFonts w:ascii="Arial" w:hAnsi="Arial" w:cs="Arial"/>
                <w:b/>
                <w:sz w:val="24"/>
                <w:szCs w:val="24"/>
              </w:rPr>
            </w:pPr>
          </w:p>
          <w:p w14:paraId="6A69145C" w14:textId="3128BFDC" w:rsidR="00991189" w:rsidRPr="00820625" w:rsidRDefault="002E22A6" w:rsidP="002E22A6">
            <w:pPr>
              <w:jc w:val="center"/>
              <w:rPr>
                <w:rFonts w:ascii="Arial" w:hAnsi="Arial" w:cs="Arial"/>
                <w:b/>
                <w:sz w:val="24"/>
                <w:szCs w:val="24"/>
              </w:rPr>
            </w:pPr>
            <w:r>
              <w:rPr>
                <w:rFonts w:ascii="Arial" w:hAnsi="Arial" w:cs="Arial"/>
                <w:b/>
                <w:sz w:val="24"/>
                <w:szCs w:val="24"/>
              </w:rPr>
              <w:t xml:space="preserve">     </w:t>
            </w:r>
            <w:r w:rsidR="00991189" w:rsidRPr="00820625">
              <w:rPr>
                <w:rFonts w:ascii="Arial" w:hAnsi="Arial" w:cs="Arial"/>
                <w:b/>
                <w:sz w:val="24"/>
                <w:szCs w:val="24"/>
              </w:rPr>
              <w:t>MANUEL GONZÁLEZ</w:t>
            </w:r>
            <w:r>
              <w:rPr>
                <w:rFonts w:ascii="Arial" w:hAnsi="Arial" w:cs="Arial"/>
                <w:b/>
                <w:sz w:val="24"/>
                <w:szCs w:val="24"/>
              </w:rPr>
              <w:t xml:space="preserve"> </w:t>
            </w:r>
            <w:r w:rsidR="00991189" w:rsidRPr="00820625">
              <w:rPr>
                <w:rFonts w:ascii="Arial" w:hAnsi="Arial" w:cs="Arial"/>
                <w:b/>
                <w:sz w:val="24"/>
                <w:szCs w:val="24"/>
              </w:rPr>
              <w:t>OROPEZA</w:t>
            </w:r>
          </w:p>
        </w:tc>
        <w:tc>
          <w:tcPr>
            <w:tcW w:w="3968" w:type="dxa"/>
          </w:tcPr>
          <w:p w14:paraId="5C3EED41" w14:textId="77777777" w:rsidR="00991189" w:rsidRPr="00820625" w:rsidRDefault="00991189" w:rsidP="00265B44">
            <w:pPr>
              <w:jc w:val="center"/>
              <w:rPr>
                <w:rFonts w:ascii="Arial" w:hAnsi="Arial" w:cs="Arial"/>
                <w:b/>
                <w:sz w:val="24"/>
                <w:szCs w:val="24"/>
              </w:rPr>
            </w:pPr>
          </w:p>
          <w:p w14:paraId="7520BCAA" w14:textId="77777777" w:rsidR="00991189" w:rsidRPr="00820625" w:rsidRDefault="00991189" w:rsidP="00265B44">
            <w:pPr>
              <w:jc w:val="center"/>
              <w:rPr>
                <w:rFonts w:ascii="Arial" w:hAnsi="Arial" w:cs="Arial"/>
                <w:b/>
                <w:sz w:val="24"/>
                <w:szCs w:val="24"/>
              </w:rPr>
            </w:pPr>
          </w:p>
          <w:p w14:paraId="03F2AEBD" w14:textId="77777777" w:rsidR="00991189" w:rsidRPr="00820625" w:rsidRDefault="00991189" w:rsidP="00265B44">
            <w:pPr>
              <w:jc w:val="center"/>
              <w:rPr>
                <w:rFonts w:ascii="Arial" w:hAnsi="Arial" w:cs="Arial"/>
                <w:b/>
                <w:sz w:val="24"/>
                <w:szCs w:val="24"/>
              </w:rPr>
            </w:pPr>
          </w:p>
          <w:p w14:paraId="10262835" w14:textId="77777777" w:rsidR="00991189" w:rsidRPr="00820625" w:rsidRDefault="00991189" w:rsidP="00265B44">
            <w:pPr>
              <w:jc w:val="center"/>
              <w:rPr>
                <w:rFonts w:ascii="Arial" w:hAnsi="Arial" w:cs="Arial"/>
                <w:b/>
                <w:sz w:val="24"/>
                <w:szCs w:val="24"/>
              </w:rPr>
            </w:pPr>
            <w:r w:rsidRPr="00820625">
              <w:rPr>
                <w:rFonts w:ascii="Arial" w:hAnsi="Arial" w:cs="Arial"/>
                <w:b/>
                <w:sz w:val="24"/>
                <w:szCs w:val="24"/>
              </w:rPr>
              <w:t>MAGISTRADO</w:t>
            </w:r>
          </w:p>
          <w:p w14:paraId="22E13ECA" w14:textId="77777777" w:rsidR="00991189" w:rsidRPr="00820625" w:rsidRDefault="00991189" w:rsidP="00265B44">
            <w:pPr>
              <w:jc w:val="center"/>
              <w:rPr>
                <w:rFonts w:ascii="Arial" w:hAnsi="Arial" w:cs="Arial"/>
                <w:b/>
                <w:sz w:val="24"/>
                <w:szCs w:val="24"/>
              </w:rPr>
            </w:pPr>
          </w:p>
          <w:p w14:paraId="36329470" w14:textId="77777777" w:rsidR="00991189" w:rsidRDefault="00991189" w:rsidP="00265B44">
            <w:pPr>
              <w:jc w:val="center"/>
              <w:rPr>
                <w:rFonts w:ascii="Arial" w:hAnsi="Arial" w:cs="Arial"/>
                <w:b/>
                <w:sz w:val="24"/>
                <w:szCs w:val="24"/>
              </w:rPr>
            </w:pPr>
          </w:p>
          <w:p w14:paraId="4D756A59" w14:textId="77777777" w:rsidR="00991189" w:rsidRDefault="00991189" w:rsidP="00265B44">
            <w:pPr>
              <w:jc w:val="center"/>
              <w:rPr>
                <w:rFonts w:ascii="Arial" w:hAnsi="Arial" w:cs="Arial"/>
                <w:b/>
                <w:sz w:val="24"/>
                <w:szCs w:val="24"/>
              </w:rPr>
            </w:pPr>
          </w:p>
          <w:p w14:paraId="6D73D04B" w14:textId="77777777" w:rsidR="00991189" w:rsidRPr="00820625" w:rsidRDefault="00991189" w:rsidP="002E22A6">
            <w:pPr>
              <w:rPr>
                <w:rFonts w:ascii="Arial" w:hAnsi="Arial" w:cs="Arial"/>
                <w:b/>
                <w:sz w:val="24"/>
                <w:szCs w:val="24"/>
              </w:rPr>
            </w:pPr>
          </w:p>
          <w:p w14:paraId="0F0AAE95" w14:textId="77777777" w:rsidR="00991189" w:rsidRPr="00820625" w:rsidRDefault="00991189" w:rsidP="00265B44">
            <w:pPr>
              <w:jc w:val="center"/>
              <w:rPr>
                <w:rFonts w:ascii="Arial" w:hAnsi="Arial" w:cs="Arial"/>
                <w:b/>
                <w:sz w:val="24"/>
                <w:szCs w:val="24"/>
              </w:rPr>
            </w:pPr>
            <w:r w:rsidRPr="00820625">
              <w:rPr>
                <w:rFonts w:ascii="Arial" w:hAnsi="Arial" w:cs="Arial"/>
                <w:b/>
                <w:sz w:val="24"/>
                <w:szCs w:val="24"/>
              </w:rPr>
              <w:t>SALVADOR OLIMPO NAVA GOMAR</w:t>
            </w:r>
          </w:p>
        </w:tc>
      </w:tr>
      <w:tr w:rsidR="00991189" w:rsidRPr="00820625" w14:paraId="3415C3A9" w14:textId="77777777" w:rsidTr="00265B44">
        <w:trPr>
          <w:trHeight w:val="20"/>
        </w:trPr>
        <w:tc>
          <w:tcPr>
            <w:tcW w:w="8052" w:type="dxa"/>
            <w:gridSpan w:val="2"/>
          </w:tcPr>
          <w:p w14:paraId="2D7B3816" w14:textId="77777777" w:rsidR="00991189" w:rsidRDefault="00991189" w:rsidP="00265B44">
            <w:pPr>
              <w:jc w:val="center"/>
              <w:rPr>
                <w:rFonts w:ascii="Arial" w:hAnsi="Arial" w:cs="Arial"/>
                <w:b/>
                <w:sz w:val="24"/>
                <w:szCs w:val="24"/>
              </w:rPr>
            </w:pPr>
          </w:p>
          <w:p w14:paraId="6B236D32" w14:textId="77777777" w:rsidR="00991189" w:rsidRPr="00820625" w:rsidRDefault="00991189" w:rsidP="00265B44">
            <w:pPr>
              <w:jc w:val="center"/>
              <w:rPr>
                <w:rFonts w:ascii="Arial" w:hAnsi="Arial" w:cs="Arial"/>
                <w:b/>
                <w:sz w:val="24"/>
                <w:szCs w:val="24"/>
              </w:rPr>
            </w:pPr>
          </w:p>
          <w:p w14:paraId="492102C3" w14:textId="77777777" w:rsidR="00991189" w:rsidRPr="00820625" w:rsidRDefault="00991189" w:rsidP="00265B44">
            <w:pPr>
              <w:jc w:val="center"/>
              <w:rPr>
                <w:rFonts w:ascii="Arial" w:hAnsi="Arial" w:cs="Arial"/>
                <w:b/>
                <w:sz w:val="24"/>
                <w:szCs w:val="24"/>
              </w:rPr>
            </w:pPr>
          </w:p>
          <w:p w14:paraId="1273C663" w14:textId="77777777" w:rsidR="00991189" w:rsidRPr="00820625" w:rsidRDefault="00991189" w:rsidP="00265B44">
            <w:pPr>
              <w:jc w:val="center"/>
              <w:rPr>
                <w:rFonts w:ascii="Arial" w:hAnsi="Arial" w:cs="Arial"/>
                <w:b/>
                <w:sz w:val="24"/>
                <w:szCs w:val="24"/>
              </w:rPr>
            </w:pPr>
            <w:r w:rsidRPr="00820625">
              <w:rPr>
                <w:rFonts w:ascii="Arial" w:hAnsi="Arial" w:cs="Arial"/>
                <w:b/>
                <w:sz w:val="24"/>
                <w:szCs w:val="24"/>
              </w:rPr>
              <w:t>SECRETARIA GENERAL DE ACUERDOS</w:t>
            </w:r>
          </w:p>
          <w:p w14:paraId="7E8E8BBE" w14:textId="77777777" w:rsidR="00991189" w:rsidRPr="00820625" w:rsidRDefault="00991189" w:rsidP="00265B44">
            <w:pPr>
              <w:jc w:val="center"/>
              <w:rPr>
                <w:rFonts w:ascii="Arial" w:hAnsi="Arial" w:cs="Arial"/>
                <w:b/>
                <w:sz w:val="24"/>
                <w:szCs w:val="24"/>
              </w:rPr>
            </w:pPr>
          </w:p>
          <w:p w14:paraId="3D93F8AD" w14:textId="77777777" w:rsidR="00991189" w:rsidRDefault="00991189" w:rsidP="00265B44">
            <w:pPr>
              <w:jc w:val="center"/>
              <w:rPr>
                <w:rFonts w:ascii="Arial" w:hAnsi="Arial" w:cs="Arial"/>
                <w:b/>
                <w:sz w:val="24"/>
                <w:szCs w:val="24"/>
              </w:rPr>
            </w:pPr>
          </w:p>
          <w:p w14:paraId="70B7DA0A" w14:textId="77777777" w:rsidR="00991189" w:rsidRDefault="00991189" w:rsidP="00265B44">
            <w:pPr>
              <w:jc w:val="center"/>
              <w:rPr>
                <w:rFonts w:ascii="Arial" w:hAnsi="Arial" w:cs="Arial"/>
                <w:b/>
                <w:sz w:val="24"/>
                <w:szCs w:val="24"/>
              </w:rPr>
            </w:pPr>
          </w:p>
          <w:p w14:paraId="58349FA0" w14:textId="77777777" w:rsidR="00991189" w:rsidRDefault="00991189" w:rsidP="00265B44">
            <w:pPr>
              <w:jc w:val="center"/>
              <w:rPr>
                <w:rFonts w:ascii="Arial" w:hAnsi="Arial" w:cs="Arial"/>
                <w:b/>
                <w:sz w:val="24"/>
                <w:szCs w:val="24"/>
              </w:rPr>
            </w:pPr>
          </w:p>
          <w:p w14:paraId="75DCAFD6" w14:textId="77777777" w:rsidR="00991189" w:rsidRPr="00820625" w:rsidRDefault="00991189" w:rsidP="00265B44">
            <w:pPr>
              <w:jc w:val="center"/>
              <w:rPr>
                <w:rFonts w:ascii="Arial" w:hAnsi="Arial" w:cs="Arial"/>
                <w:b/>
                <w:sz w:val="24"/>
                <w:szCs w:val="24"/>
              </w:rPr>
            </w:pPr>
          </w:p>
          <w:p w14:paraId="2E52A878" w14:textId="77777777" w:rsidR="00991189" w:rsidRPr="00820625" w:rsidRDefault="00991189" w:rsidP="00265B44">
            <w:pPr>
              <w:jc w:val="center"/>
              <w:rPr>
                <w:rFonts w:ascii="Arial" w:hAnsi="Arial" w:cs="Arial"/>
                <w:b/>
                <w:sz w:val="24"/>
                <w:szCs w:val="24"/>
              </w:rPr>
            </w:pPr>
            <w:r w:rsidRPr="00820625">
              <w:rPr>
                <w:rFonts w:ascii="Arial" w:hAnsi="Arial" w:cs="Arial"/>
                <w:b/>
                <w:sz w:val="24"/>
                <w:szCs w:val="24"/>
              </w:rPr>
              <w:t>LAURA ANGÉLICA RAMÍREZ HERNÁNDEZ</w:t>
            </w:r>
          </w:p>
        </w:tc>
      </w:tr>
    </w:tbl>
    <w:p w14:paraId="41FFE97C" w14:textId="77777777" w:rsidR="00991189" w:rsidRPr="00820625" w:rsidRDefault="00991189" w:rsidP="00991189">
      <w:pPr>
        <w:jc w:val="center"/>
        <w:rPr>
          <w:sz w:val="24"/>
          <w:szCs w:val="24"/>
          <w:lang w:eastAsia="es-MX"/>
        </w:rPr>
      </w:pPr>
    </w:p>
    <w:p w14:paraId="11AD11A4" w14:textId="77777777" w:rsidR="00991189" w:rsidRPr="00820625" w:rsidRDefault="00991189" w:rsidP="00991189">
      <w:pPr>
        <w:jc w:val="center"/>
        <w:rPr>
          <w:rFonts w:ascii="Gadugi" w:eastAsia="Times New Roman" w:hAnsi="Gadugi" w:cs="Times New Roman"/>
          <w:b/>
          <w:sz w:val="24"/>
          <w:szCs w:val="24"/>
          <w:lang w:eastAsia="es-MX"/>
        </w:rPr>
      </w:pPr>
    </w:p>
    <w:p w14:paraId="378A8104" w14:textId="77777777" w:rsidR="00991189" w:rsidRPr="00820625" w:rsidRDefault="00991189" w:rsidP="00991189">
      <w:pPr>
        <w:rPr>
          <w:rFonts w:ascii="Gadugi" w:eastAsia="Times New Roman" w:hAnsi="Gadugi" w:cs="Times New Roman"/>
          <w:b/>
          <w:sz w:val="24"/>
          <w:szCs w:val="24"/>
          <w:lang w:eastAsia="es-MX"/>
        </w:rPr>
      </w:pPr>
    </w:p>
    <w:p w14:paraId="57845862" w14:textId="77777777" w:rsidR="00991189" w:rsidRDefault="00991189" w:rsidP="00991189">
      <w:pPr>
        <w:rPr>
          <w:rFonts w:ascii="Gadugi" w:eastAsia="Times New Roman" w:hAnsi="Gadugi" w:cs="Times New Roman"/>
          <w:b/>
          <w:lang w:eastAsia="es-MX"/>
        </w:rPr>
      </w:pPr>
    </w:p>
    <w:p w14:paraId="0B3F90F4" w14:textId="77777777" w:rsidR="00991189" w:rsidRDefault="00991189" w:rsidP="00991189">
      <w:pPr>
        <w:rPr>
          <w:rFonts w:ascii="Gadugi" w:eastAsia="Times New Roman" w:hAnsi="Gadugi" w:cs="Times New Roman"/>
          <w:b/>
          <w:lang w:eastAsia="es-MX"/>
        </w:rPr>
      </w:pPr>
    </w:p>
    <w:p w14:paraId="20A8A2F4" w14:textId="77777777" w:rsidR="00991189" w:rsidRDefault="00991189" w:rsidP="00991189">
      <w:pPr>
        <w:rPr>
          <w:rFonts w:ascii="Gadugi" w:eastAsia="Times New Roman" w:hAnsi="Gadugi" w:cs="Times New Roman"/>
          <w:b/>
          <w:lang w:eastAsia="es-MX"/>
        </w:rPr>
      </w:pPr>
    </w:p>
    <w:p w14:paraId="00803AF8" w14:textId="77777777" w:rsidR="00991189" w:rsidRDefault="00991189" w:rsidP="00991189">
      <w:pPr>
        <w:rPr>
          <w:rFonts w:ascii="Gadugi" w:eastAsia="Times New Roman" w:hAnsi="Gadugi" w:cs="Times New Roman"/>
          <w:b/>
          <w:lang w:eastAsia="es-MX"/>
        </w:rPr>
      </w:pPr>
    </w:p>
    <w:p w14:paraId="5262E4C7" w14:textId="035534FD" w:rsidR="00991189" w:rsidRDefault="00991189" w:rsidP="00991189">
      <w:pPr>
        <w:rPr>
          <w:rFonts w:ascii="Gadugi" w:eastAsia="Times New Roman" w:hAnsi="Gadugi" w:cs="Times New Roman"/>
          <w:b/>
          <w:lang w:eastAsia="es-MX"/>
        </w:rPr>
      </w:pPr>
    </w:p>
    <w:p w14:paraId="76DE8E1F" w14:textId="52FF2EA7" w:rsidR="002E22A6" w:rsidRDefault="002E22A6" w:rsidP="00991189">
      <w:pPr>
        <w:rPr>
          <w:rFonts w:ascii="Gadugi" w:eastAsia="Times New Roman" w:hAnsi="Gadugi" w:cs="Times New Roman"/>
          <w:b/>
          <w:lang w:eastAsia="es-MX"/>
        </w:rPr>
      </w:pPr>
    </w:p>
    <w:p w14:paraId="22ADA319" w14:textId="7A56B52B" w:rsidR="002E22A6" w:rsidRDefault="002E22A6" w:rsidP="00991189">
      <w:pPr>
        <w:rPr>
          <w:rFonts w:ascii="Gadugi" w:eastAsia="Times New Roman" w:hAnsi="Gadugi" w:cs="Times New Roman"/>
          <w:b/>
          <w:lang w:eastAsia="es-MX"/>
        </w:rPr>
      </w:pPr>
    </w:p>
    <w:p w14:paraId="6B713093" w14:textId="70615E47" w:rsidR="002E22A6" w:rsidRDefault="002E22A6" w:rsidP="00991189">
      <w:pPr>
        <w:rPr>
          <w:rFonts w:ascii="Gadugi" w:eastAsia="Times New Roman" w:hAnsi="Gadugi" w:cs="Times New Roman"/>
          <w:b/>
          <w:lang w:eastAsia="es-MX"/>
        </w:rPr>
      </w:pPr>
    </w:p>
    <w:p w14:paraId="626AB2C4" w14:textId="3258F57A" w:rsidR="002E22A6" w:rsidRDefault="002E22A6" w:rsidP="00991189">
      <w:pPr>
        <w:rPr>
          <w:rFonts w:ascii="Gadugi" w:eastAsia="Times New Roman" w:hAnsi="Gadugi" w:cs="Times New Roman"/>
          <w:b/>
          <w:lang w:eastAsia="es-MX"/>
        </w:rPr>
      </w:pPr>
    </w:p>
    <w:p w14:paraId="19CE0EDB" w14:textId="111CB09E" w:rsidR="002E22A6" w:rsidRDefault="002E22A6" w:rsidP="00991189">
      <w:pPr>
        <w:rPr>
          <w:rFonts w:ascii="Gadugi" w:eastAsia="Times New Roman" w:hAnsi="Gadugi" w:cs="Times New Roman"/>
          <w:b/>
          <w:lang w:eastAsia="es-MX"/>
        </w:rPr>
      </w:pPr>
    </w:p>
    <w:p w14:paraId="14B054B3" w14:textId="4BAE0C73" w:rsidR="002E22A6" w:rsidRDefault="002E22A6" w:rsidP="00991189">
      <w:pPr>
        <w:rPr>
          <w:rFonts w:ascii="Gadugi" w:eastAsia="Times New Roman" w:hAnsi="Gadugi" w:cs="Times New Roman"/>
          <w:b/>
          <w:lang w:eastAsia="es-MX"/>
        </w:rPr>
      </w:pPr>
    </w:p>
    <w:p w14:paraId="6F20852C" w14:textId="4DA1CA51" w:rsidR="002E22A6" w:rsidRDefault="002E22A6" w:rsidP="00991189">
      <w:pPr>
        <w:rPr>
          <w:rFonts w:ascii="Gadugi" w:eastAsia="Times New Roman" w:hAnsi="Gadugi" w:cs="Times New Roman"/>
          <w:b/>
          <w:lang w:eastAsia="es-MX"/>
        </w:rPr>
      </w:pPr>
    </w:p>
    <w:p w14:paraId="52DB5D77" w14:textId="449D887B" w:rsidR="002E22A6" w:rsidRDefault="002E22A6" w:rsidP="00991189">
      <w:pPr>
        <w:rPr>
          <w:rFonts w:ascii="Gadugi" w:eastAsia="Times New Roman" w:hAnsi="Gadugi" w:cs="Times New Roman"/>
          <w:b/>
          <w:lang w:eastAsia="es-MX"/>
        </w:rPr>
      </w:pPr>
    </w:p>
    <w:p w14:paraId="6A899FE3" w14:textId="3CC7B310" w:rsidR="002E22A6" w:rsidRDefault="002E22A6" w:rsidP="00991189">
      <w:pPr>
        <w:rPr>
          <w:rFonts w:ascii="Gadugi" w:eastAsia="Times New Roman" w:hAnsi="Gadugi" w:cs="Times New Roman"/>
          <w:b/>
          <w:lang w:eastAsia="es-MX"/>
        </w:rPr>
      </w:pPr>
    </w:p>
    <w:p w14:paraId="542D405B" w14:textId="670AD133" w:rsidR="002E22A6" w:rsidRDefault="002E22A6" w:rsidP="00991189">
      <w:pPr>
        <w:rPr>
          <w:rFonts w:ascii="Gadugi" w:eastAsia="Times New Roman" w:hAnsi="Gadugi" w:cs="Times New Roman"/>
          <w:b/>
          <w:lang w:eastAsia="es-MX"/>
        </w:rPr>
      </w:pPr>
    </w:p>
    <w:p w14:paraId="2508922E" w14:textId="54DCC3D4" w:rsidR="002E22A6" w:rsidRDefault="002E22A6" w:rsidP="00991189">
      <w:pPr>
        <w:rPr>
          <w:rFonts w:ascii="Gadugi" w:eastAsia="Times New Roman" w:hAnsi="Gadugi" w:cs="Times New Roman"/>
          <w:b/>
          <w:lang w:eastAsia="es-MX"/>
        </w:rPr>
      </w:pPr>
    </w:p>
    <w:p w14:paraId="3451830B" w14:textId="77777777" w:rsidR="002E22A6" w:rsidRDefault="002E22A6" w:rsidP="00991189">
      <w:pPr>
        <w:rPr>
          <w:rFonts w:ascii="Gadugi" w:eastAsia="Times New Roman" w:hAnsi="Gadugi" w:cs="Times New Roman"/>
          <w:b/>
          <w:lang w:eastAsia="es-MX"/>
        </w:rPr>
      </w:pPr>
    </w:p>
    <w:p w14:paraId="36EF9856" w14:textId="77777777" w:rsidR="00991189" w:rsidRDefault="00991189" w:rsidP="00991189">
      <w:pPr>
        <w:rPr>
          <w:rFonts w:ascii="Gadugi" w:eastAsia="Times New Roman" w:hAnsi="Gadugi" w:cs="Times New Roman"/>
          <w:b/>
          <w:lang w:eastAsia="es-MX"/>
        </w:rPr>
      </w:pPr>
    </w:p>
    <w:p w14:paraId="20B3EBB8" w14:textId="77777777" w:rsidR="00991189" w:rsidRDefault="00991189" w:rsidP="00991189">
      <w:pPr>
        <w:pStyle w:val="Ttulo3"/>
        <w:spacing w:before="0" w:line="240" w:lineRule="auto"/>
        <w:jc w:val="center"/>
        <w:rPr>
          <w:rFonts w:ascii="Gadugi" w:eastAsia="Times New Roman" w:hAnsi="Gadugi" w:cs="Times New Roman"/>
          <w:b/>
          <w:color w:val="auto"/>
          <w:lang w:eastAsia="es-MX"/>
        </w:rPr>
      </w:pPr>
      <w:r w:rsidRPr="00D65A27">
        <w:rPr>
          <w:rFonts w:ascii="Gadugi" w:eastAsia="Times New Roman" w:hAnsi="Gadugi" w:cs="Times New Roman"/>
          <w:b/>
          <w:color w:val="auto"/>
          <w:lang w:eastAsia="es-MX"/>
        </w:rPr>
        <w:lastRenderedPageBreak/>
        <w:t>CASOS RELACIONADOS</w:t>
      </w:r>
    </w:p>
    <w:p w14:paraId="3166A878" w14:textId="77777777" w:rsidR="00991189" w:rsidRPr="00FE2CDF" w:rsidRDefault="00991189" w:rsidP="00991189">
      <w:pPr>
        <w:spacing w:after="0" w:line="240" w:lineRule="auto"/>
        <w:rPr>
          <w:lang w:eastAsia="es-MX"/>
        </w:rPr>
      </w:pPr>
    </w:p>
    <w:p w14:paraId="4A59C707" w14:textId="77777777" w:rsidR="00991189" w:rsidRDefault="00991189" w:rsidP="00991189">
      <w:pPr>
        <w:pStyle w:val="Ttulo4"/>
        <w:spacing w:before="0" w:line="240" w:lineRule="auto"/>
        <w:rPr>
          <w:rFonts w:ascii="Gadugi" w:eastAsia="Times New Roman" w:hAnsi="Gadugi" w:cs="Times New Roman"/>
          <w:b/>
          <w:i w:val="0"/>
          <w:iCs w:val="0"/>
          <w:color w:val="C00000"/>
          <w:sz w:val="24"/>
          <w:szCs w:val="24"/>
          <w:lang w:eastAsia="es-MX"/>
        </w:rPr>
      </w:pPr>
      <w:r w:rsidRPr="00EC17E3">
        <w:rPr>
          <w:rFonts w:ascii="Gadugi" w:eastAsia="Times New Roman" w:hAnsi="Gadugi" w:cs="Times New Roman"/>
          <w:b/>
          <w:i w:val="0"/>
          <w:iCs w:val="0"/>
          <w:color w:val="C00000"/>
          <w:sz w:val="24"/>
          <w:szCs w:val="24"/>
          <w:lang w:eastAsia="es-MX"/>
        </w:rPr>
        <w:t>CASO 1:</w:t>
      </w:r>
      <w:r w:rsidRPr="00D36D6B">
        <w:rPr>
          <w:rFonts w:ascii="Gadugi" w:eastAsia="Times New Roman" w:hAnsi="Gadugi" w:cs="Times New Roman"/>
          <w:b/>
          <w:i w:val="0"/>
          <w:iCs w:val="0"/>
          <w:color w:val="C00000"/>
          <w:sz w:val="24"/>
          <w:szCs w:val="24"/>
          <w:lang w:eastAsia="es-MX"/>
        </w:rPr>
        <w:t xml:space="preserve"> CASO ATALA RIFFO Y NIÑAS VS CHILE</w:t>
      </w:r>
      <w:r>
        <w:rPr>
          <w:rFonts w:ascii="Gadugi" w:eastAsia="Times New Roman" w:hAnsi="Gadugi" w:cs="Times New Roman"/>
          <w:b/>
          <w:i w:val="0"/>
          <w:iCs w:val="0"/>
          <w:color w:val="C00000"/>
          <w:sz w:val="24"/>
          <w:szCs w:val="24"/>
          <w:lang w:eastAsia="es-MX"/>
        </w:rPr>
        <w:t xml:space="preserve">    </w:t>
      </w:r>
    </w:p>
    <w:p w14:paraId="713543A9" w14:textId="77777777" w:rsidR="00991189" w:rsidRDefault="00991189" w:rsidP="00991189">
      <w:pPr>
        <w:rPr>
          <w:rFonts w:ascii="Arial" w:hAnsi="Arial" w:cs="Arial"/>
          <w:color w:val="000000"/>
          <w:shd w:val="clear" w:color="auto" w:fill="FFFFFF"/>
        </w:rPr>
      </w:pPr>
    </w:p>
    <w:p w14:paraId="2371AEB8" w14:textId="77777777" w:rsidR="00991189" w:rsidRPr="00927F7E" w:rsidRDefault="00991189" w:rsidP="00991189">
      <w:pPr>
        <w:spacing w:after="0" w:line="240" w:lineRule="auto"/>
        <w:jc w:val="both"/>
        <w:rPr>
          <w:rFonts w:ascii="Gadugi" w:eastAsiaTheme="majorEastAsia" w:hAnsi="Gadugi" w:cstheme="minorHAnsi"/>
          <w:b/>
          <w:bCs/>
          <w:color w:val="C00000"/>
          <w:sz w:val="24"/>
          <w:szCs w:val="24"/>
          <w:lang w:eastAsia="es-MX"/>
        </w:rPr>
      </w:pPr>
      <w:r>
        <w:rPr>
          <w:rFonts w:ascii="Gadugi" w:eastAsiaTheme="majorEastAsia" w:hAnsi="Gadugi" w:cstheme="minorHAnsi"/>
          <w:b/>
          <w:bCs/>
          <w:color w:val="C00000"/>
          <w:sz w:val="24"/>
          <w:szCs w:val="24"/>
          <w:lang w:eastAsia="es-MX"/>
        </w:rPr>
        <w:t>Ó</w:t>
      </w:r>
      <w:r w:rsidRPr="00927F7E">
        <w:rPr>
          <w:rFonts w:ascii="Gadugi" w:eastAsiaTheme="majorEastAsia" w:hAnsi="Gadugi" w:cstheme="minorHAnsi"/>
          <w:b/>
          <w:bCs/>
          <w:color w:val="C00000"/>
          <w:sz w:val="24"/>
          <w:szCs w:val="24"/>
          <w:lang w:eastAsia="es-MX"/>
        </w:rPr>
        <w:t xml:space="preserve">rgano </w:t>
      </w:r>
      <w:proofErr w:type="spellStart"/>
      <w:r w:rsidRPr="00927F7E">
        <w:rPr>
          <w:rFonts w:ascii="Gadugi" w:eastAsiaTheme="majorEastAsia" w:hAnsi="Gadugi" w:cstheme="minorHAnsi"/>
          <w:b/>
          <w:bCs/>
          <w:color w:val="C00000"/>
          <w:sz w:val="24"/>
          <w:szCs w:val="24"/>
          <w:lang w:eastAsia="es-MX"/>
        </w:rPr>
        <w:t>CoIDH</w:t>
      </w:r>
      <w:proofErr w:type="spellEnd"/>
      <w:r w:rsidRPr="00927F7E">
        <w:rPr>
          <w:rFonts w:ascii="Gadugi" w:eastAsiaTheme="majorEastAsia" w:hAnsi="Gadugi" w:cstheme="minorHAnsi"/>
          <w:b/>
          <w:bCs/>
          <w:color w:val="C00000"/>
          <w:sz w:val="24"/>
          <w:szCs w:val="24"/>
          <w:lang w:eastAsia="es-MX"/>
        </w:rPr>
        <w:t>.</w:t>
      </w:r>
    </w:p>
    <w:p w14:paraId="5B489A4A" w14:textId="77777777" w:rsidR="00991189" w:rsidRPr="00927F7E" w:rsidRDefault="00991189" w:rsidP="00991189">
      <w:pPr>
        <w:spacing w:after="0" w:line="240" w:lineRule="auto"/>
        <w:jc w:val="both"/>
        <w:rPr>
          <w:rFonts w:ascii="Gadugi" w:eastAsiaTheme="majorEastAsia" w:hAnsi="Gadugi" w:cstheme="minorHAnsi"/>
          <w:b/>
          <w:bCs/>
          <w:color w:val="C00000"/>
          <w:sz w:val="24"/>
          <w:szCs w:val="24"/>
          <w:lang w:eastAsia="es-MX"/>
        </w:rPr>
      </w:pPr>
    </w:p>
    <w:p w14:paraId="0B53F3BC" w14:textId="77777777" w:rsidR="00991189" w:rsidRPr="00927F7E" w:rsidRDefault="00991189" w:rsidP="00991189">
      <w:pPr>
        <w:spacing w:after="0" w:line="240" w:lineRule="auto"/>
        <w:jc w:val="both"/>
        <w:rPr>
          <w:rFonts w:ascii="Gadugi" w:eastAsiaTheme="majorEastAsia" w:hAnsi="Gadugi" w:cstheme="minorHAnsi"/>
          <w:b/>
          <w:bCs/>
          <w:color w:val="C00000"/>
          <w:sz w:val="24"/>
          <w:szCs w:val="24"/>
          <w:lang w:eastAsia="es-MX"/>
        </w:rPr>
      </w:pPr>
      <w:r w:rsidRPr="00927F7E">
        <w:rPr>
          <w:rFonts w:ascii="Gadugi" w:eastAsiaTheme="majorEastAsia" w:hAnsi="Gadugi" w:cstheme="minorHAnsi"/>
          <w:b/>
          <w:bCs/>
          <w:sz w:val="24"/>
          <w:szCs w:val="24"/>
          <w:lang w:eastAsia="es-MX"/>
        </w:rPr>
        <w:t>Corte Interamericana de Derechos Humanos</w:t>
      </w:r>
    </w:p>
    <w:p w14:paraId="2EBA2786" w14:textId="77777777" w:rsidR="00991189" w:rsidRPr="00927F7E" w:rsidRDefault="00991189" w:rsidP="00991189">
      <w:pPr>
        <w:spacing w:after="0" w:line="240" w:lineRule="auto"/>
        <w:jc w:val="both"/>
        <w:rPr>
          <w:rFonts w:ascii="Gadugi" w:eastAsiaTheme="majorEastAsia" w:hAnsi="Gadugi" w:cstheme="minorHAnsi"/>
          <w:b/>
          <w:bCs/>
          <w:color w:val="C00000"/>
          <w:sz w:val="24"/>
          <w:szCs w:val="24"/>
          <w:lang w:eastAsia="es-MX"/>
        </w:rPr>
      </w:pPr>
      <w:r w:rsidRPr="00927F7E">
        <w:rPr>
          <w:rFonts w:ascii="Gadugi" w:eastAsiaTheme="majorEastAsia" w:hAnsi="Gadugi" w:cstheme="minorHAnsi"/>
          <w:b/>
          <w:bCs/>
          <w:color w:val="C00000"/>
          <w:sz w:val="24"/>
          <w:szCs w:val="24"/>
          <w:lang w:eastAsia="es-MX"/>
        </w:rPr>
        <w:t xml:space="preserve">Caso </w:t>
      </w:r>
      <w:proofErr w:type="spellStart"/>
      <w:r w:rsidRPr="00927F7E">
        <w:rPr>
          <w:rFonts w:ascii="Gadugi" w:eastAsiaTheme="majorEastAsia" w:hAnsi="Gadugi" w:cstheme="minorHAnsi"/>
          <w:b/>
          <w:bCs/>
          <w:color w:val="C00000"/>
          <w:sz w:val="24"/>
          <w:szCs w:val="24"/>
          <w:lang w:eastAsia="es-MX"/>
        </w:rPr>
        <w:t>Atala</w:t>
      </w:r>
      <w:proofErr w:type="spellEnd"/>
      <w:r w:rsidRPr="00927F7E">
        <w:rPr>
          <w:rFonts w:ascii="Gadugi" w:eastAsiaTheme="majorEastAsia" w:hAnsi="Gadugi" w:cstheme="minorHAnsi"/>
          <w:b/>
          <w:bCs/>
          <w:color w:val="C00000"/>
          <w:sz w:val="24"/>
          <w:szCs w:val="24"/>
          <w:lang w:eastAsia="es-MX"/>
        </w:rPr>
        <w:t xml:space="preserve"> Riffo y Niñas Vs. Chile</w:t>
      </w:r>
    </w:p>
    <w:p w14:paraId="368B0A4F" w14:textId="77777777" w:rsidR="00991189" w:rsidRPr="00927F7E" w:rsidRDefault="00991189" w:rsidP="00991189">
      <w:pPr>
        <w:spacing w:after="0" w:line="240" w:lineRule="auto"/>
        <w:jc w:val="both"/>
        <w:rPr>
          <w:rFonts w:ascii="Gadugi" w:eastAsiaTheme="majorEastAsia" w:hAnsi="Gadugi" w:cstheme="minorHAnsi"/>
          <w:b/>
          <w:bCs/>
          <w:sz w:val="24"/>
          <w:szCs w:val="24"/>
          <w:lang w:eastAsia="es-MX"/>
        </w:rPr>
      </w:pPr>
      <w:r w:rsidRPr="00927F7E">
        <w:rPr>
          <w:rFonts w:ascii="Gadugi" w:eastAsiaTheme="majorEastAsia" w:hAnsi="Gadugi" w:cstheme="minorHAnsi"/>
          <w:b/>
          <w:bCs/>
          <w:sz w:val="24"/>
          <w:szCs w:val="24"/>
          <w:lang w:eastAsia="es-MX"/>
        </w:rPr>
        <w:t>Resuelto el 24 de febrero de 2012</w:t>
      </w:r>
    </w:p>
    <w:p w14:paraId="0F174F3F" w14:textId="77777777" w:rsidR="00991189" w:rsidRPr="00927F7E" w:rsidRDefault="00991189" w:rsidP="00991189">
      <w:pPr>
        <w:spacing w:after="0" w:line="240" w:lineRule="auto"/>
        <w:jc w:val="both"/>
        <w:rPr>
          <w:rFonts w:cstheme="minorHAnsi"/>
          <w:sz w:val="24"/>
          <w:szCs w:val="24"/>
          <w:lang w:eastAsia="es-MX"/>
        </w:rPr>
      </w:pPr>
    </w:p>
    <w:p w14:paraId="0C47CF80" w14:textId="77777777" w:rsidR="00991189" w:rsidRPr="00035997" w:rsidRDefault="00991189" w:rsidP="00991189">
      <w:pPr>
        <w:spacing w:after="0" w:line="240" w:lineRule="auto"/>
        <w:jc w:val="both"/>
        <w:rPr>
          <w:rFonts w:cstheme="minorHAnsi"/>
          <w:b/>
          <w:bCs/>
          <w:sz w:val="24"/>
          <w:szCs w:val="24"/>
          <w:lang w:eastAsia="es-MX"/>
        </w:rPr>
      </w:pPr>
      <w:r w:rsidRPr="00035997">
        <w:rPr>
          <w:rFonts w:cstheme="minorHAnsi"/>
          <w:b/>
          <w:bCs/>
          <w:sz w:val="24"/>
          <w:szCs w:val="24"/>
          <w:lang w:eastAsia="es-MX"/>
        </w:rPr>
        <w:t>Temática</w:t>
      </w:r>
    </w:p>
    <w:p w14:paraId="39F00A09" w14:textId="77777777" w:rsidR="00991189" w:rsidRPr="00035997" w:rsidRDefault="00991189" w:rsidP="00991189">
      <w:pPr>
        <w:pStyle w:val="Prrafodelista"/>
        <w:numPr>
          <w:ilvl w:val="0"/>
          <w:numId w:val="11"/>
        </w:numPr>
        <w:jc w:val="both"/>
        <w:rPr>
          <w:rFonts w:asciiTheme="minorHAnsi" w:hAnsiTheme="minorHAnsi" w:cstheme="minorHAnsi"/>
        </w:rPr>
      </w:pPr>
      <w:r w:rsidRPr="00035997">
        <w:rPr>
          <w:rFonts w:asciiTheme="minorHAnsi" w:hAnsiTheme="minorHAnsi" w:cstheme="minorHAnsi"/>
        </w:rPr>
        <w:t>Discriminación por orientación sexual</w:t>
      </w:r>
    </w:p>
    <w:p w14:paraId="48BDDF60" w14:textId="77777777" w:rsidR="00991189" w:rsidRPr="00035997" w:rsidRDefault="00991189" w:rsidP="00991189">
      <w:pPr>
        <w:pStyle w:val="Prrafodelista"/>
        <w:numPr>
          <w:ilvl w:val="0"/>
          <w:numId w:val="11"/>
        </w:numPr>
        <w:jc w:val="both"/>
        <w:rPr>
          <w:rFonts w:asciiTheme="minorHAnsi" w:hAnsiTheme="minorHAnsi" w:cstheme="minorHAnsi"/>
        </w:rPr>
      </w:pPr>
      <w:r w:rsidRPr="00035997">
        <w:rPr>
          <w:rFonts w:asciiTheme="minorHAnsi" w:hAnsiTheme="minorHAnsi" w:cstheme="minorHAnsi"/>
        </w:rPr>
        <w:t>Interés superior del niño</w:t>
      </w:r>
    </w:p>
    <w:p w14:paraId="372F3320" w14:textId="77777777" w:rsidR="00991189" w:rsidRPr="00035997" w:rsidRDefault="00991189" w:rsidP="00991189">
      <w:pPr>
        <w:pStyle w:val="Prrafodelista"/>
        <w:numPr>
          <w:ilvl w:val="0"/>
          <w:numId w:val="11"/>
        </w:numPr>
        <w:jc w:val="both"/>
        <w:rPr>
          <w:rFonts w:asciiTheme="minorHAnsi" w:hAnsiTheme="minorHAnsi" w:cstheme="minorHAnsi"/>
        </w:rPr>
      </w:pPr>
      <w:r w:rsidRPr="00035997">
        <w:rPr>
          <w:rFonts w:asciiTheme="minorHAnsi" w:hAnsiTheme="minorHAnsi" w:cstheme="minorHAnsi"/>
        </w:rPr>
        <w:t>Derecho a la vida privada</w:t>
      </w:r>
    </w:p>
    <w:p w14:paraId="28C936E1" w14:textId="77777777" w:rsidR="00991189" w:rsidRPr="00035997" w:rsidRDefault="00991189" w:rsidP="00991189">
      <w:pPr>
        <w:pStyle w:val="Prrafodelista"/>
        <w:numPr>
          <w:ilvl w:val="0"/>
          <w:numId w:val="11"/>
        </w:numPr>
        <w:jc w:val="both"/>
        <w:rPr>
          <w:rFonts w:asciiTheme="minorHAnsi" w:hAnsiTheme="minorHAnsi" w:cstheme="minorHAnsi"/>
        </w:rPr>
      </w:pPr>
      <w:r w:rsidRPr="00035997">
        <w:rPr>
          <w:rFonts w:asciiTheme="minorHAnsi" w:hAnsiTheme="minorHAnsi" w:cstheme="minorHAnsi"/>
        </w:rPr>
        <w:t>Derecho a la igualdad y no discriminación</w:t>
      </w:r>
    </w:p>
    <w:p w14:paraId="4A4B30ED" w14:textId="77777777" w:rsidR="00991189" w:rsidRPr="00035997" w:rsidRDefault="00991189" w:rsidP="00991189">
      <w:pPr>
        <w:pStyle w:val="Prrafodelista"/>
        <w:numPr>
          <w:ilvl w:val="0"/>
          <w:numId w:val="11"/>
        </w:numPr>
        <w:jc w:val="both"/>
        <w:rPr>
          <w:rFonts w:asciiTheme="minorHAnsi" w:hAnsiTheme="minorHAnsi" w:cstheme="minorHAnsi"/>
        </w:rPr>
      </w:pPr>
      <w:r w:rsidRPr="00035997">
        <w:rPr>
          <w:rFonts w:asciiTheme="minorHAnsi" w:hAnsiTheme="minorHAnsi" w:cstheme="minorHAnsi"/>
        </w:rPr>
        <w:t>Derecho a una familia normal y tradicional</w:t>
      </w:r>
    </w:p>
    <w:p w14:paraId="41A0D01C" w14:textId="77777777" w:rsidR="00991189" w:rsidRPr="00035997" w:rsidRDefault="00991189" w:rsidP="00991189">
      <w:pPr>
        <w:pStyle w:val="Prrafodelista"/>
        <w:numPr>
          <w:ilvl w:val="0"/>
          <w:numId w:val="11"/>
        </w:numPr>
        <w:jc w:val="both"/>
        <w:rPr>
          <w:rFonts w:asciiTheme="minorHAnsi" w:hAnsiTheme="minorHAnsi" w:cstheme="minorHAnsi"/>
        </w:rPr>
      </w:pPr>
      <w:r w:rsidRPr="00035997">
        <w:rPr>
          <w:rFonts w:asciiTheme="minorHAnsi" w:hAnsiTheme="minorHAnsi" w:cstheme="minorHAnsi"/>
        </w:rPr>
        <w:t>Principios de Independencia e Imparcialidad Judicial</w:t>
      </w:r>
    </w:p>
    <w:p w14:paraId="515C9E1C" w14:textId="77777777" w:rsidR="00991189" w:rsidRPr="00927F7E" w:rsidRDefault="00991189" w:rsidP="00991189">
      <w:pPr>
        <w:spacing w:after="0" w:line="240" w:lineRule="auto"/>
        <w:jc w:val="both"/>
        <w:rPr>
          <w:rFonts w:cstheme="minorHAnsi"/>
          <w:sz w:val="24"/>
          <w:szCs w:val="24"/>
          <w:lang w:eastAsia="es-MX"/>
        </w:rPr>
      </w:pPr>
    </w:p>
    <w:p w14:paraId="692A6D23" w14:textId="77777777" w:rsidR="00991189" w:rsidRPr="00927F7E" w:rsidRDefault="00991189" w:rsidP="00991189">
      <w:pPr>
        <w:spacing w:after="0" w:line="240" w:lineRule="auto"/>
        <w:jc w:val="both"/>
        <w:rPr>
          <w:rFonts w:cstheme="minorHAnsi"/>
          <w:b/>
          <w:bCs/>
          <w:sz w:val="24"/>
          <w:szCs w:val="24"/>
          <w:lang w:eastAsia="es-MX"/>
        </w:rPr>
      </w:pPr>
      <w:r w:rsidRPr="00927F7E">
        <w:rPr>
          <w:rFonts w:cstheme="minorHAnsi"/>
          <w:b/>
          <w:bCs/>
          <w:sz w:val="24"/>
          <w:szCs w:val="24"/>
          <w:lang w:eastAsia="es-MX"/>
        </w:rPr>
        <w:t>I. Hechos</w:t>
      </w:r>
    </w:p>
    <w:p w14:paraId="1BA9D72C" w14:textId="77777777" w:rsidR="00991189" w:rsidRPr="00927F7E" w:rsidRDefault="00991189" w:rsidP="00991189">
      <w:pPr>
        <w:spacing w:after="0" w:line="240" w:lineRule="auto"/>
        <w:jc w:val="both"/>
        <w:rPr>
          <w:rFonts w:cstheme="minorHAnsi"/>
          <w:sz w:val="24"/>
          <w:szCs w:val="24"/>
          <w:lang w:eastAsia="es-MX"/>
        </w:rPr>
      </w:pPr>
    </w:p>
    <w:p w14:paraId="5DB06556" w14:textId="77777777" w:rsidR="00991189" w:rsidRPr="00927F7E" w:rsidRDefault="00991189" w:rsidP="00991189">
      <w:pPr>
        <w:spacing w:after="0" w:line="240" w:lineRule="auto"/>
        <w:jc w:val="both"/>
        <w:rPr>
          <w:rFonts w:cstheme="minorHAnsi"/>
          <w:sz w:val="24"/>
          <w:szCs w:val="24"/>
          <w:lang w:eastAsia="es-MX"/>
        </w:rPr>
      </w:pPr>
      <w:r w:rsidRPr="00927F7E">
        <w:rPr>
          <w:rFonts w:cstheme="minorHAnsi"/>
          <w:sz w:val="24"/>
          <w:szCs w:val="24"/>
          <w:lang w:eastAsia="es-MX"/>
        </w:rPr>
        <w:t xml:space="preserve">Se llevo a cabo un proceso de tuición (guarda y custodia) en contra de Karen </w:t>
      </w:r>
      <w:proofErr w:type="spellStart"/>
      <w:r w:rsidRPr="00927F7E">
        <w:rPr>
          <w:rFonts w:cstheme="minorHAnsi"/>
          <w:sz w:val="24"/>
          <w:szCs w:val="24"/>
          <w:lang w:eastAsia="es-MX"/>
        </w:rPr>
        <w:t>Atala</w:t>
      </w:r>
      <w:proofErr w:type="spellEnd"/>
      <w:r w:rsidRPr="00927F7E">
        <w:rPr>
          <w:rFonts w:cstheme="minorHAnsi"/>
          <w:sz w:val="24"/>
          <w:szCs w:val="24"/>
          <w:lang w:eastAsia="es-MX"/>
        </w:rPr>
        <w:t xml:space="preserve"> Riffo en el cual se alegó de manera central que la demandada no se encontraba capacitada para velar y cuidar de sus tres niñas, ya que su nueva opción de vida sexual sumada a una convivencia lésbica con otra mujer, estaban produciendo consecuencias dañinas al desarrollo de las menores, pues la madre no había demostrado interés alguno por velar y proteger el desarrollo integral de ellas. En este sentido, el proceso de tuición (guarda y custodia) giró, entre otras consideraciones, en torno a la orientación sexual de la señora </w:t>
      </w:r>
      <w:proofErr w:type="spellStart"/>
      <w:r w:rsidRPr="00927F7E">
        <w:rPr>
          <w:rFonts w:cstheme="minorHAnsi"/>
          <w:sz w:val="24"/>
          <w:szCs w:val="24"/>
          <w:lang w:eastAsia="es-MX"/>
        </w:rPr>
        <w:t>Atala</w:t>
      </w:r>
      <w:proofErr w:type="spellEnd"/>
      <w:r w:rsidRPr="00927F7E">
        <w:rPr>
          <w:rFonts w:cstheme="minorHAnsi"/>
          <w:sz w:val="24"/>
          <w:szCs w:val="24"/>
          <w:lang w:eastAsia="es-MX"/>
        </w:rPr>
        <w:t xml:space="preserve"> Riffo y las presuntas consecuencias que la convivencia con su pareja podría producir en las tres niñas.</w:t>
      </w:r>
    </w:p>
    <w:p w14:paraId="532C707A" w14:textId="77777777" w:rsidR="00991189" w:rsidRPr="00927F7E" w:rsidRDefault="00991189" w:rsidP="00991189">
      <w:pPr>
        <w:spacing w:after="0" w:line="240" w:lineRule="auto"/>
        <w:jc w:val="both"/>
        <w:rPr>
          <w:rFonts w:cstheme="minorHAnsi"/>
          <w:sz w:val="24"/>
          <w:szCs w:val="24"/>
          <w:lang w:eastAsia="es-MX"/>
        </w:rPr>
      </w:pPr>
    </w:p>
    <w:p w14:paraId="6AE3E929" w14:textId="77777777" w:rsidR="00991189" w:rsidRPr="00927F7E" w:rsidRDefault="00991189" w:rsidP="00991189">
      <w:pPr>
        <w:spacing w:after="0" w:line="240" w:lineRule="auto"/>
        <w:jc w:val="both"/>
        <w:rPr>
          <w:rFonts w:cstheme="minorHAnsi"/>
          <w:sz w:val="24"/>
          <w:szCs w:val="24"/>
          <w:lang w:eastAsia="es-MX"/>
        </w:rPr>
      </w:pPr>
      <w:r w:rsidRPr="00927F7E">
        <w:rPr>
          <w:rFonts w:cstheme="minorHAnsi"/>
          <w:sz w:val="24"/>
          <w:szCs w:val="24"/>
          <w:lang w:eastAsia="es-MX"/>
        </w:rPr>
        <w:t xml:space="preserve">Al respecto, la Corte Suprema de Justicia de Chile invocó las siguientes razones para fundamentar su sentencia: i) un presunto deterioro experimentado por el entorno social, familiar y educacional en que se desenvolvía la existencia de las menores de edad, desde que la madre empezó a convivir en el hogar con su pareja homosexual y los efectos que esa convivencia podía causar en el bienestar y desarrollo psíquico y emocional de las hijas; </w:t>
      </w:r>
      <w:proofErr w:type="spellStart"/>
      <w:r w:rsidRPr="00927F7E">
        <w:rPr>
          <w:rFonts w:cstheme="minorHAnsi"/>
          <w:sz w:val="24"/>
          <w:szCs w:val="24"/>
          <w:lang w:eastAsia="es-MX"/>
        </w:rPr>
        <w:t>ii</w:t>
      </w:r>
      <w:proofErr w:type="spellEnd"/>
      <w:r w:rsidRPr="00927F7E">
        <w:rPr>
          <w:rFonts w:cstheme="minorHAnsi"/>
          <w:sz w:val="24"/>
          <w:szCs w:val="24"/>
          <w:lang w:eastAsia="es-MX"/>
        </w:rPr>
        <w:t xml:space="preserve">) la existencia de una situación de riesgo para el desarrollo integral de las menores respecto de la cual debían ser protegidas por la eventual confusión de roles sexuales que podía producírseles por la carencia en el hogar de un padre de sexo masculino y su reemplazo por otra persona del género femenino; </w:t>
      </w:r>
      <w:proofErr w:type="spellStart"/>
      <w:r w:rsidRPr="00927F7E">
        <w:rPr>
          <w:rFonts w:cstheme="minorHAnsi"/>
          <w:sz w:val="24"/>
          <w:szCs w:val="24"/>
          <w:lang w:eastAsia="es-MX"/>
        </w:rPr>
        <w:t>iii</w:t>
      </w:r>
      <w:proofErr w:type="spellEnd"/>
      <w:r w:rsidRPr="00927F7E">
        <w:rPr>
          <w:rFonts w:cstheme="minorHAnsi"/>
          <w:sz w:val="24"/>
          <w:szCs w:val="24"/>
          <w:lang w:eastAsia="es-MX"/>
        </w:rPr>
        <w:t xml:space="preserve">) la supuesta existencia de un estado de vulnerabilidad en su medio social por el presunto riesgo de una estigmatización social, y </w:t>
      </w:r>
      <w:proofErr w:type="spellStart"/>
      <w:r w:rsidRPr="00927F7E">
        <w:rPr>
          <w:rFonts w:cstheme="minorHAnsi"/>
          <w:sz w:val="24"/>
          <w:szCs w:val="24"/>
          <w:lang w:eastAsia="es-MX"/>
        </w:rPr>
        <w:t>iv</w:t>
      </w:r>
      <w:proofErr w:type="spellEnd"/>
      <w:r w:rsidRPr="00927F7E">
        <w:rPr>
          <w:rFonts w:cstheme="minorHAnsi"/>
          <w:sz w:val="24"/>
          <w:szCs w:val="24"/>
          <w:lang w:eastAsia="es-MX"/>
        </w:rPr>
        <w:t xml:space="preserve">) la priorización de los intereses de la señora </w:t>
      </w:r>
      <w:proofErr w:type="spellStart"/>
      <w:r w:rsidRPr="00927F7E">
        <w:rPr>
          <w:rFonts w:cstheme="minorHAnsi"/>
          <w:sz w:val="24"/>
          <w:szCs w:val="24"/>
          <w:lang w:eastAsia="es-MX"/>
        </w:rPr>
        <w:t>Atala</w:t>
      </w:r>
      <w:proofErr w:type="spellEnd"/>
      <w:r w:rsidRPr="00927F7E">
        <w:rPr>
          <w:rFonts w:cstheme="minorHAnsi"/>
          <w:sz w:val="24"/>
          <w:szCs w:val="24"/>
          <w:lang w:eastAsia="es-MX"/>
        </w:rPr>
        <w:t xml:space="preserve"> Riffo a los de las menores de edad al tomar la decisión de explicitar su condición homosexual.</w:t>
      </w:r>
    </w:p>
    <w:p w14:paraId="4474B8DD" w14:textId="77777777" w:rsidR="00991189" w:rsidRPr="00927F7E" w:rsidRDefault="00991189" w:rsidP="00991189">
      <w:pPr>
        <w:spacing w:after="0" w:line="240" w:lineRule="auto"/>
        <w:jc w:val="both"/>
        <w:rPr>
          <w:rFonts w:cstheme="minorHAnsi"/>
          <w:sz w:val="24"/>
          <w:szCs w:val="24"/>
          <w:lang w:eastAsia="es-MX"/>
        </w:rPr>
      </w:pPr>
    </w:p>
    <w:p w14:paraId="4CE4D093" w14:textId="77777777" w:rsidR="00991189" w:rsidRPr="00927F7E" w:rsidRDefault="00991189" w:rsidP="00991189">
      <w:pPr>
        <w:spacing w:after="0" w:line="240" w:lineRule="auto"/>
        <w:jc w:val="both"/>
        <w:rPr>
          <w:rFonts w:cstheme="minorHAnsi"/>
          <w:b/>
          <w:bCs/>
          <w:sz w:val="24"/>
          <w:szCs w:val="24"/>
          <w:lang w:eastAsia="es-MX"/>
        </w:rPr>
      </w:pPr>
      <w:r w:rsidRPr="00927F7E">
        <w:rPr>
          <w:rFonts w:cstheme="minorHAnsi"/>
          <w:b/>
          <w:bCs/>
          <w:sz w:val="24"/>
          <w:szCs w:val="24"/>
          <w:lang w:eastAsia="es-MX"/>
        </w:rPr>
        <w:lastRenderedPageBreak/>
        <w:t>II.</w:t>
      </w:r>
      <w:r>
        <w:rPr>
          <w:rFonts w:cstheme="minorHAnsi"/>
          <w:b/>
          <w:bCs/>
          <w:sz w:val="24"/>
          <w:szCs w:val="24"/>
          <w:lang w:eastAsia="es-MX"/>
        </w:rPr>
        <w:t xml:space="preserve"> </w:t>
      </w:r>
      <w:r w:rsidRPr="00927F7E">
        <w:rPr>
          <w:rFonts w:cstheme="minorHAnsi"/>
          <w:b/>
          <w:bCs/>
          <w:sz w:val="24"/>
          <w:szCs w:val="24"/>
          <w:lang w:eastAsia="es-MX"/>
        </w:rPr>
        <w:t>Procedimiento ante órganos interamericanos</w:t>
      </w:r>
    </w:p>
    <w:p w14:paraId="01226C86" w14:textId="77777777" w:rsidR="00991189" w:rsidRPr="00E121C1" w:rsidRDefault="00991189" w:rsidP="00991189">
      <w:pPr>
        <w:spacing w:after="0" w:line="240" w:lineRule="auto"/>
        <w:jc w:val="both"/>
        <w:rPr>
          <w:rFonts w:cstheme="minorHAnsi"/>
          <w:b/>
          <w:bCs/>
          <w:sz w:val="24"/>
          <w:szCs w:val="24"/>
          <w:lang w:eastAsia="es-MX"/>
        </w:rPr>
      </w:pPr>
    </w:p>
    <w:p w14:paraId="20AA1158" w14:textId="77777777" w:rsidR="00991189" w:rsidRPr="00E121C1" w:rsidRDefault="00991189" w:rsidP="00991189">
      <w:pPr>
        <w:pStyle w:val="Prrafodelista"/>
        <w:numPr>
          <w:ilvl w:val="0"/>
          <w:numId w:val="12"/>
        </w:numPr>
        <w:jc w:val="both"/>
        <w:rPr>
          <w:rFonts w:asciiTheme="minorHAnsi" w:hAnsiTheme="minorHAnsi" w:cstheme="minorHAnsi"/>
        </w:rPr>
      </w:pPr>
      <w:r w:rsidRPr="00E121C1">
        <w:rPr>
          <w:rFonts w:asciiTheme="minorHAnsi" w:hAnsiTheme="minorHAnsi" w:cstheme="minorHAnsi"/>
        </w:rPr>
        <w:t xml:space="preserve">La petición inicial fue presentada ante la Comisión el 24 de noviembre de 2004 por Karen </w:t>
      </w:r>
      <w:proofErr w:type="spellStart"/>
      <w:r w:rsidRPr="00E121C1">
        <w:rPr>
          <w:rFonts w:asciiTheme="minorHAnsi" w:hAnsiTheme="minorHAnsi" w:cstheme="minorHAnsi"/>
        </w:rPr>
        <w:t>Atala</w:t>
      </w:r>
      <w:proofErr w:type="spellEnd"/>
      <w:r w:rsidRPr="00E121C1">
        <w:rPr>
          <w:rFonts w:asciiTheme="minorHAnsi" w:hAnsiTheme="minorHAnsi" w:cstheme="minorHAnsi"/>
        </w:rPr>
        <w:t xml:space="preserve"> Riffo, la Clínica de Acciones de Interés Público de la Universidad Diego Portales y la Fundación Ideas.</w:t>
      </w:r>
    </w:p>
    <w:p w14:paraId="37682D72" w14:textId="77777777" w:rsidR="00991189" w:rsidRPr="00E121C1" w:rsidRDefault="00991189" w:rsidP="00991189">
      <w:pPr>
        <w:spacing w:after="0" w:line="240" w:lineRule="auto"/>
        <w:jc w:val="both"/>
        <w:rPr>
          <w:rFonts w:cstheme="minorHAnsi"/>
          <w:sz w:val="24"/>
          <w:szCs w:val="24"/>
          <w:lang w:eastAsia="es-MX"/>
        </w:rPr>
      </w:pPr>
    </w:p>
    <w:p w14:paraId="32A4308A" w14:textId="77777777" w:rsidR="00991189" w:rsidRPr="00E121C1" w:rsidRDefault="00991189" w:rsidP="00991189">
      <w:pPr>
        <w:pStyle w:val="Prrafodelista"/>
        <w:numPr>
          <w:ilvl w:val="0"/>
          <w:numId w:val="12"/>
        </w:numPr>
        <w:jc w:val="both"/>
        <w:rPr>
          <w:rFonts w:asciiTheme="minorHAnsi" w:hAnsiTheme="minorHAnsi" w:cstheme="minorHAnsi"/>
        </w:rPr>
      </w:pPr>
      <w:r w:rsidRPr="00E121C1">
        <w:rPr>
          <w:rFonts w:asciiTheme="minorHAnsi" w:hAnsiTheme="minorHAnsi" w:cstheme="minorHAnsi"/>
        </w:rPr>
        <w:t>El 23 de julio de 2008 la Comisión aprobó el Informe de Admisibilidad No. 42/08 y el 18 de diciembre de 2009 emitió el Informe de Fondo No. 139/09, en el cual concluyó que el Estado era responsable e hizo varias recomendaciones.</w:t>
      </w:r>
    </w:p>
    <w:p w14:paraId="5FE6F041" w14:textId="77777777" w:rsidR="00991189" w:rsidRPr="00E121C1" w:rsidRDefault="00991189" w:rsidP="00991189">
      <w:pPr>
        <w:spacing w:after="0" w:line="240" w:lineRule="auto"/>
        <w:jc w:val="both"/>
        <w:rPr>
          <w:rFonts w:cstheme="minorHAnsi"/>
          <w:sz w:val="24"/>
          <w:szCs w:val="24"/>
          <w:lang w:eastAsia="es-MX"/>
        </w:rPr>
      </w:pPr>
    </w:p>
    <w:p w14:paraId="399BCA73" w14:textId="77777777" w:rsidR="00991189" w:rsidRPr="00E121C1" w:rsidRDefault="00991189" w:rsidP="00991189">
      <w:pPr>
        <w:pStyle w:val="Prrafodelista"/>
        <w:numPr>
          <w:ilvl w:val="0"/>
          <w:numId w:val="12"/>
        </w:numPr>
        <w:jc w:val="both"/>
        <w:rPr>
          <w:rFonts w:asciiTheme="minorHAnsi" w:hAnsiTheme="minorHAnsi" w:cstheme="minorHAnsi"/>
        </w:rPr>
      </w:pPr>
      <w:r w:rsidRPr="00E121C1">
        <w:rPr>
          <w:rFonts w:asciiTheme="minorHAnsi" w:hAnsiTheme="minorHAnsi" w:cstheme="minorHAnsi"/>
        </w:rPr>
        <w:t>El 17 de septiembre de 2010 la Comisión Interamericana presentó la demanda ante la Corte Interamericana de Derechos Humanos.</w:t>
      </w:r>
    </w:p>
    <w:p w14:paraId="28B279A4" w14:textId="77777777" w:rsidR="00991189" w:rsidRPr="00927F7E" w:rsidRDefault="00991189" w:rsidP="00991189">
      <w:pPr>
        <w:spacing w:after="0" w:line="240" w:lineRule="auto"/>
        <w:jc w:val="both"/>
        <w:rPr>
          <w:rFonts w:cstheme="minorHAnsi"/>
          <w:sz w:val="24"/>
          <w:szCs w:val="24"/>
          <w:lang w:eastAsia="es-MX"/>
        </w:rPr>
      </w:pPr>
    </w:p>
    <w:p w14:paraId="61F15694" w14:textId="77777777" w:rsidR="00991189" w:rsidRPr="00927F7E" w:rsidRDefault="00991189" w:rsidP="00991189">
      <w:pPr>
        <w:spacing w:after="0" w:line="240" w:lineRule="auto"/>
        <w:jc w:val="both"/>
        <w:rPr>
          <w:rFonts w:cstheme="minorHAnsi"/>
          <w:b/>
          <w:bCs/>
          <w:sz w:val="24"/>
          <w:szCs w:val="24"/>
          <w:lang w:eastAsia="es-MX"/>
        </w:rPr>
      </w:pPr>
      <w:r w:rsidRPr="00927F7E">
        <w:rPr>
          <w:rFonts w:cstheme="minorHAnsi"/>
          <w:b/>
          <w:bCs/>
          <w:sz w:val="24"/>
          <w:szCs w:val="24"/>
          <w:lang w:eastAsia="es-MX"/>
        </w:rPr>
        <w:t>III.</w:t>
      </w:r>
      <w:r>
        <w:rPr>
          <w:rFonts w:cstheme="minorHAnsi"/>
          <w:b/>
          <w:bCs/>
          <w:sz w:val="24"/>
          <w:szCs w:val="24"/>
          <w:lang w:eastAsia="es-MX"/>
        </w:rPr>
        <w:t xml:space="preserve"> </w:t>
      </w:r>
      <w:r w:rsidRPr="00927F7E">
        <w:rPr>
          <w:rFonts w:cstheme="minorHAnsi"/>
          <w:b/>
          <w:bCs/>
          <w:sz w:val="24"/>
          <w:szCs w:val="24"/>
          <w:lang w:eastAsia="es-MX"/>
        </w:rPr>
        <w:t xml:space="preserve">Sentencia </w:t>
      </w:r>
      <w:proofErr w:type="spellStart"/>
      <w:r w:rsidRPr="00927F7E">
        <w:rPr>
          <w:rFonts w:cstheme="minorHAnsi"/>
          <w:b/>
          <w:bCs/>
          <w:sz w:val="24"/>
          <w:szCs w:val="24"/>
          <w:lang w:eastAsia="es-MX"/>
        </w:rPr>
        <w:t>CoIDH</w:t>
      </w:r>
      <w:proofErr w:type="spellEnd"/>
      <w:r w:rsidRPr="00927F7E">
        <w:rPr>
          <w:rFonts w:cstheme="minorHAnsi"/>
          <w:b/>
          <w:bCs/>
          <w:sz w:val="24"/>
          <w:szCs w:val="24"/>
          <w:lang w:eastAsia="es-MX"/>
        </w:rPr>
        <w:t xml:space="preserve"> (Fondo, Reparaciones y Costas)</w:t>
      </w:r>
    </w:p>
    <w:p w14:paraId="029348FB" w14:textId="77777777" w:rsidR="00991189" w:rsidRPr="00927F7E" w:rsidRDefault="00991189" w:rsidP="00991189">
      <w:pPr>
        <w:spacing w:after="0" w:line="240" w:lineRule="auto"/>
        <w:jc w:val="both"/>
        <w:rPr>
          <w:rFonts w:cstheme="minorHAnsi"/>
          <w:sz w:val="24"/>
          <w:szCs w:val="24"/>
          <w:lang w:eastAsia="es-MX"/>
        </w:rPr>
      </w:pPr>
    </w:p>
    <w:p w14:paraId="67637729" w14:textId="77777777" w:rsidR="00991189" w:rsidRPr="00927F7E" w:rsidRDefault="00991189" w:rsidP="00991189">
      <w:pPr>
        <w:spacing w:after="0" w:line="240" w:lineRule="auto"/>
        <w:jc w:val="both"/>
        <w:rPr>
          <w:rFonts w:cstheme="minorHAnsi"/>
          <w:sz w:val="24"/>
          <w:szCs w:val="24"/>
          <w:lang w:eastAsia="es-MX"/>
        </w:rPr>
      </w:pPr>
      <w:r w:rsidRPr="00927F7E">
        <w:rPr>
          <w:rFonts w:cstheme="minorHAnsi"/>
          <w:b/>
          <w:bCs/>
          <w:sz w:val="24"/>
          <w:szCs w:val="24"/>
          <w:lang w:eastAsia="es-MX"/>
        </w:rPr>
        <w:t>La Corte se pronuncia respecto a los siguientes aspectos destacables:</w:t>
      </w:r>
    </w:p>
    <w:p w14:paraId="6DDF3FA7" w14:textId="77777777" w:rsidR="00991189" w:rsidRPr="00927F7E" w:rsidRDefault="00991189" w:rsidP="00991189">
      <w:pPr>
        <w:spacing w:after="0" w:line="240" w:lineRule="auto"/>
        <w:jc w:val="both"/>
        <w:rPr>
          <w:rFonts w:cstheme="minorHAnsi"/>
          <w:sz w:val="24"/>
          <w:szCs w:val="24"/>
          <w:lang w:eastAsia="es-MX"/>
        </w:rPr>
      </w:pPr>
    </w:p>
    <w:p w14:paraId="2899DFC2" w14:textId="77777777" w:rsidR="00991189" w:rsidRPr="00927F7E" w:rsidRDefault="00991189" w:rsidP="00991189">
      <w:pPr>
        <w:spacing w:after="0" w:line="240" w:lineRule="auto"/>
        <w:jc w:val="both"/>
        <w:rPr>
          <w:rFonts w:cstheme="minorHAnsi"/>
          <w:sz w:val="24"/>
          <w:szCs w:val="24"/>
          <w:lang w:eastAsia="es-MX"/>
        </w:rPr>
      </w:pPr>
      <w:r w:rsidRPr="00927F7E">
        <w:rPr>
          <w:rFonts w:cstheme="minorHAnsi"/>
          <w:b/>
          <w:bCs/>
          <w:sz w:val="24"/>
          <w:szCs w:val="24"/>
          <w:lang w:eastAsia="es-MX"/>
        </w:rPr>
        <w:t>A.</w:t>
      </w:r>
      <w:r>
        <w:rPr>
          <w:rFonts w:cstheme="minorHAnsi"/>
          <w:sz w:val="24"/>
          <w:szCs w:val="24"/>
          <w:lang w:eastAsia="es-MX"/>
        </w:rPr>
        <w:t xml:space="preserve"> </w:t>
      </w:r>
      <w:r w:rsidRPr="00927F7E">
        <w:rPr>
          <w:rFonts w:cstheme="minorHAnsi"/>
          <w:sz w:val="24"/>
          <w:szCs w:val="24"/>
          <w:lang w:eastAsia="es-MX"/>
        </w:rPr>
        <w:t xml:space="preserve">Principio de igualdad ante la ley y no discriminación. 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considerarlo inferior, lo trate con hostilidad o de cualquier forma lo discrimine del goce de derechos que sí se reconocen a quienes no se consideran incursos en tal situación. En la actual etapa de la evolución del derecho internacional, el principio fundamental de igualdad y no discriminación ha ingresado en el dominio del </w:t>
      </w:r>
      <w:proofErr w:type="spellStart"/>
      <w:r w:rsidRPr="00927F7E">
        <w:rPr>
          <w:rFonts w:cstheme="minorHAnsi"/>
          <w:sz w:val="24"/>
          <w:szCs w:val="24"/>
          <w:lang w:eastAsia="es-MX"/>
        </w:rPr>
        <w:t>jus</w:t>
      </w:r>
      <w:proofErr w:type="spellEnd"/>
      <w:r w:rsidRPr="00927F7E">
        <w:rPr>
          <w:rFonts w:cstheme="minorHAnsi"/>
          <w:sz w:val="24"/>
          <w:szCs w:val="24"/>
          <w:lang w:eastAsia="es-MX"/>
        </w:rPr>
        <w:t xml:space="preserve"> cogens. Los Estados están obligados a adoptar medidas positivas para revertir o cambiar situaciones discriminatorias existentes en sus sociedades, en perjuicio de determinado grupo de personas. Esto implica el deber especial de protección que el Estado debe ejercer con respecto a actuaciones y prácticas de terceros que, bajo su tolerancia o aquiescencia, creen, mantengan o favorezcan las situaciones discriminatorias.</w:t>
      </w:r>
    </w:p>
    <w:p w14:paraId="3229D325" w14:textId="77777777" w:rsidR="00991189" w:rsidRPr="00927F7E" w:rsidRDefault="00991189" w:rsidP="00991189">
      <w:pPr>
        <w:spacing w:after="0" w:line="240" w:lineRule="auto"/>
        <w:jc w:val="both"/>
        <w:rPr>
          <w:rFonts w:cstheme="minorHAnsi"/>
          <w:sz w:val="24"/>
          <w:szCs w:val="24"/>
          <w:lang w:eastAsia="es-MX"/>
        </w:rPr>
      </w:pPr>
    </w:p>
    <w:p w14:paraId="0995F8BA" w14:textId="77777777" w:rsidR="00991189" w:rsidRPr="00927F7E" w:rsidRDefault="00991189" w:rsidP="00991189">
      <w:pPr>
        <w:spacing w:after="0" w:line="240" w:lineRule="auto"/>
        <w:jc w:val="both"/>
        <w:rPr>
          <w:rFonts w:cstheme="minorHAnsi"/>
          <w:sz w:val="24"/>
          <w:szCs w:val="24"/>
          <w:lang w:eastAsia="es-MX"/>
        </w:rPr>
      </w:pPr>
      <w:r w:rsidRPr="00927F7E">
        <w:rPr>
          <w:rFonts w:cstheme="minorHAnsi"/>
          <w:sz w:val="24"/>
          <w:szCs w:val="24"/>
          <w:lang w:eastAsia="es-MX"/>
        </w:rPr>
        <w:t>En este sentido, los tratados de derechos humanos son instrumentos vivos, cuya interpretación tiene que acompañar la evolución de los tiempos y las condiciones de vida actuales. Los criterios específicos en virtud de los cuales está prohibido discriminar, según el artículo 1.1 de la Convención Americana, no son un listado taxativo o limitativo sino meramente enunciativo. La redacción de dicho artículo deja abiertos los criterios con la inclusión del término “otra condición social” para incorporar así a otras categorías que no hubiesen sido explícitamente indicadas. La expresión “cualquier otra condición social” debe ser interpretada por la Corte, en consecuencia, en la perspectiva de la opción más favorable a la persona y de la evolución de los derechos fundamentales en el derecho internacional contemporáneo, en este sentido atendiendo a las determinaciones de diversos organismos internacionales se concluye que dentro de la expresión “otra condición social” debe también enmarcarse lo relativo a la “orientación sexual de las personas”.</w:t>
      </w:r>
    </w:p>
    <w:p w14:paraId="5973B995" w14:textId="77777777" w:rsidR="00991189" w:rsidRPr="00927F7E" w:rsidRDefault="00991189" w:rsidP="00991189">
      <w:pPr>
        <w:spacing w:after="0" w:line="240" w:lineRule="auto"/>
        <w:jc w:val="both"/>
        <w:rPr>
          <w:rFonts w:cstheme="minorHAnsi"/>
          <w:sz w:val="24"/>
          <w:szCs w:val="24"/>
          <w:lang w:eastAsia="es-MX"/>
        </w:rPr>
      </w:pPr>
    </w:p>
    <w:p w14:paraId="47A363F1" w14:textId="77777777" w:rsidR="00991189" w:rsidRPr="00927F7E" w:rsidRDefault="00991189" w:rsidP="00991189">
      <w:pPr>
        <w:spacing w:after="0" w:line="240" w:lineRule="auto"/>
        <w:jc w:val="both"/>
        <w:rPr>
          <w:rFonts w:cstheme="minorHAnsi"/>
          <w:sz w:val="24"/>
          <w:szCs w:val="24"/>
          <w:lang w:eastAsia="es-MX"/>
        </w:rPr>
      </w:pPr>
      <w:r w:rsidRPr="00927F7E">
        <w:rPr>
          <w:rFonts w:cstheme="minorHAnsi"/>
          <w:sz w:val="24"/>
          <w:szCs w:val="24"/>
          <w:lang w:eastAsia="es-MX"/>
        </w:rPr>
        <w:lastRenderedPageBreak/>
        <w:t>En este sentido, la Corte Interamericana establece que la orientación sexual y la identidad de género de las personas son categorías protegidas por la Convención. Por ello está proscrita por la Convención cualquier norma, acto o práctica discriminatoria basada en la orientación sexual de la persona. En consecuencia, ninguna norma, decisión o práctica de derecho interno, sea por parte de autoridades estatales o por particulares, pueden disminuir o restringir, de modo alguno, los derechos de una persona a partir de su orientación sexual.</w:t>
      </w:r>
    </w:p>
    <w:p w14:paraId="623DF415" w14:textId="77777777" w:rsidR="00991189" w:rsidRPr="00927F7E" w:rsidRDefault="00991189" w:rsidP="00991189">
      <w:pPr>
        <w:spacing w:after="0" w:line="240" w:lineRule="auto"/>
        <w:jc w:val="both"/>
        <w:rPr>
          <w:rFonts w:cstheme="minorHAnsi"/>
          <w:sz w:val="24"/>
          <w:szCs w:val="24"/>
          <w:lang w:eastAsia="es-MX"/>
        </w:rPr>
      </w:pPr>
    </w:p>
    <w:p w14:paraId="7DC9BA2B" w14:textId="77777777" w:rsidR="00991189" w:rsidRPr="00927F7E" w:rsidRDefault="00991189" w:rsidP="00991189">
      <w:pPr>
        <w:spacing w:after="0" w:line="240" w:lineRule="auto"/>
        <w:jc w:val="both"/>
        <w:rPr>
          <w:rFonts w:cstheme="minorHAnsi"/>
          <w:sz w:val="24"/>
          <w:szCs w:val="24"/>
          <w:lang w:eastAsia="es-MX"/>
        </w:rPr>
      </w:pPr>
      <w:r w:rsidRPr="00927F7E">
        <w:rPr>
          <w:rFonts w:cstheme="minorHAnsi"/>
          <w:b/>
          <w:bCs/>
          <w:sz w:val="24"/>
          <w:szCs w:val="24"/>
          <w:lang w:eastAsia="es-MX"/>
        </w:rPr>
        <w:t>B.</w:t>
      </w:r>
      <w:r>
        <w:rPr>
          <w:rFonts w:cstheme="minorHAnsi"/>
          <w:b/>
          <w:bCs/>
          <w:sz w:val="24"/>
          <w:szCs w:val="24"/>
          <w:lang w:eastAsia="es-MX"/>
        </w:rPr>
        <w:t xml:space="preserve"> </w:t>
      </w:r>
      <w:r w:rsidRPr="00927F7E">
        <w:rPr>
          <w:rFonts w:cstheme="minorHAnsi"/>
          <w:sz w:val="24"/>
          <w:szCs w:val="24"/>
          <w:lang w:eastAsia="es-MX"/>
        </w:rPr>
        <w:t xml:space="preserve">Interés superior del niño. La Corte considera que la determinación del interés superior del niño, en casos de cuidado y custodia de menores de edad se debe hacer a partir de la evaluación de los comportamientos parentales específicos y su impacto negativo en el bienestar y desarrollo del niño según el caso, los daños o riesgos reales y probados, y no especulativos o imaginarios. Por tanto, no resultan admisibles las especulaciones, presunciones, estereotipos o consideraciones generalizadas sobre características personales de los padres o preferencias culturales respecto a ciertos conceptos tradicionales de la familia. </w:t>
      </w:r>
    </w:p>
    <w:p w14:paraId="3EF7FD15" w14:textId="77777777" w:rsidR="00991189" w:rsidRPr="00927F7E" w:rsidRDefault="00991189" w:rsidP="00991189">
      <w:pPr>
        <w:spacing w:after="0" w:line="240" w:lineRule="auto"/>
        <w:jc w:val="both"/>
        <w:rPr>
          <w:rFonts w:cstheme="minorHAnsi"/>
          <w:sz w:val="24"/>
          <w:szCs w:val="24"/>
          <w:lang w:eastAsia="es-MX"/>
        </w:rPr>
      </w:pPr>
    </w:p>
    <w:p w14:paraId="4AB4D30A" w14:textId="77777777" w:rsidR="00991189" w:rsidRPr="00927F7E" w:rsidRDefault="00991189" w:rsidP="00991189">
      <w:pPr>
        <w:spacing w:after="0" w:line="240" w:lineRule="auto"/>
        <w:jc w:val="both"/>
        <w:rPr>
          <w:rFonts w:cstheme="minorHAnsi"/>
          <w:sz w:val="24"/>
          <w:szCs w:val="24"/>
          <w:lang w:eastAsia="es-MX"/>
        </w:rPr>
      </w:pPr>
      <w:r w:rsidRPr="00927F7E">
        <w:rPr>
          <w:rFonts w:cstheme="minorHAnsi"/>
          <w:sz w:val="24"/>
          <w:szCs w:val="24"/>
          <w:lang w:eastAsia="es-MX"/>
        </w:rPr>
        <w:t xml:space="preserve">La Corte Interamericana considera que no es válido afirmar, como en el caso, en abstracto, que la decisión se funda en el “interés superior del niño”, lo cual es sin duda un fin legítimo, pues la sola referencia al mismo sin probar, en concreto, los riesgos o daños que podrían conllevar la orientación sexual de la madre, no puede servir de medida idónea para la restricción de un derecho protegido como el de poder ejercer todos los derechos humanos sin discriminación alguna por la orientación sexual de la persona. El interés superior del niño no puede ser utilizado para amparar la discriminación en contra de la madre o el padre por la orientación sexual de cualquiera de ellos. De este modo, el juzgador no puede tomar en consideración esta condición social como elemento para decidir sobre una tuición o custodia. </w:t>
      </w:r>
    </w:p>
    <w:p w14:paraId="1610FA41" w14:textId="77777777" w:rsidR="00991189" w:rsidRPr="00927F7E" w:rsidRDefault="00991189" w:rsidP="00991189">
      <w:pPr>
        <w:spacing w:after="0" w:line="240" w:lineRule="auto"/>
        <w:jc w:val="both"/>
        <w:rPr>
          <w:rFonts w:cstheme="minorHAnsi"/>
          <w:sz w:val="24"/>
          <w:szCs w:val="24"/>
          <w:lang w:eastAsia="es-MX"/>
        </w:rPr>
      </w:pPr>
    </w:p>
    <w:p w14:paraId="245D5E5D" w14:textId="77777777" w:rsidR="00991189" w:rsidRPr="00927F7E" w:rsidRDefault="00991189" w:rsidP="00991189">
      <w:pPr>
        <w:spacing w:after="0" w:line="240" w:lineRule="auto"/>
        <w:jc w:val="both"/>
        <w:rPr>
          <w:rFonts w:cstheme="minorHAnsi"/>
          <w:sz w:val="24"/>
          <w:szCs w:val="24"/>
          <w:lang w:eastAsia="es-MX"/>
        </w:rPr>
      </w:pPr>
      <w:r w:rsidRPr="00927F7E">
        <w:rPr>
          <w:rFonts w:cstheme="minorHAnsi"/>
          <w:sz w:val="24"/>
          <w:szCs w:val="24"/>
          <w:lang w:eastAsia="es-MX"/>
        </w:rPr>
        <w:t xml:space="preserve">Destaca la Corte, que los Estados partes no pueden alegar condiciones de atraso o poca evolución social, como es el hecho de que la sociedad chilena sea mayoritariamente conservadora y reticente a aceptar la convivencia con parejas homosexuales para justificar el interés superior del menor, bajo la idea de prevenir posibles actos de rechazo social a las menores debido a su situación </w:t>
      </w:r>
      <w:proofErr w:type="spellStart"/>
      <w:r w:rsidRPr="00927F7E">
        <w:rPr>
          <w:rFonts w:cstheme="minorHAnsi"/>
          <w:sz w:val="24"/>
          <w:szCs w:val="24"/>
          <w:lang w:eastAsia="es-MX"/>
        </w:rPr>
        <w:t>familar</w:t>
      </w:r>
      <w:proofErr w:type="spellEnd"/>
      <w:r w:rsidRPr="00927F7E">
        <w:rPr>
          <w:rFonts w:cstheme="minorHAnsi"/>
          <w:sz w:val="24"/>
          <w:szCs w:val="24"/>
          <w:lang w:eastAsia="es-MX"/>
        </w:rPr>
        <w:t>, la toma de decisiones de carácter discriminatorio pues, en todo caso, es obligación de los Estados parte, tomar las acciones necesarias para asegurar el cumplimiento de los derechos por parte de sus nacionales.</w:t>
      </w:r>
    </w:p>
    <w:p w14:paraId="2CF9EBF4" w14:textId="77777777" w:rsidR="00991189" w:rsidRPr="00927F7E" w:rsidRDefault="00991189" w:rsidP="00991189">
      <w:pPr>
        <w:spacing w:after="0" w:line="240" w:lineRule="auto"/>
        <w:jc w:val="both"/>
        <w:rPr>
          <w:rFonts w:cstheme="minorHAnsi"/>
          <w:sz w:val="24"/>
          <w:szCs w:val="24"/>
          <w:lang w:eastAsia="es-MX"/>
        </w:rPr>
      </w:pPr>
    </w:p>
    <w:p w14:paraId="0ADDC523" w14:textId="77777777" w:rsidR="00991189" w:rsidRPr="00927F7E" w:rsidRDefault="00991189" w:rsidP="00991189">
      <w:pPr>
        <w:spacing w:after="0" w:line="240" w:lineRule="auto"/>
        <w:jc w:val="both"/>
        <w:rPr>
          <w:rFonts w:cstheme="minorHAnsi"/>
          <w:sz w:val="24"/>
          <w:szCs w:val="24"/>
          <w:lang w:eastAsia="es-MX"/>
        </w:rPr>
      </w:pPr>
      <w:r w:rsidRPr="00927F7E">
        <w:rPr>
          <w:rFonts w:cstheme="minorHAnsi"/>
          <w:b/>
          <w:bCs/>
          <w:sz w:val="24"/>
          <w:szCs w:val="24"/>
          <w:lang w:eastAsia="es-MX"/>
        </w:rPr>
        <w:t>C.</w:t>
      </w:r>
      <w:r>
        <w:rPr>
          <w:rFonts w:cstheme="minorHAnsi"/>
          <w:b/>
          <w:bCs/>
          <w:sz w:val="24"/>
          <w:szCs w:val="24"/>
          <w:lang w:eastAsia="es-MX"/>
        </w:rPr>
        <w:t xml:space="preserve"> </w:t>
      </w:r>
      <w:r w:rsidRPr="00927F7E">
        <w:rPr>
          <w:rFonts w:cstheme="minorHAnsi"/>
          <w:sz w:val="24"/>
          <w:szCs w:val="24"/>
          <w:lang w:eastAsia="es-MX"/>
        </w:rPr>
        <w:t xml:space="preserve">Derecho a la vida privada. Abarca la identidad física y social, el desarrollo personal su autonomía, así como su derecho de establecer y desarrollar relaciones con otras personas y su entorno social. El ámbito de la privacidad se caracteriza por quedar exento e inmune a las invasiones o agresiones abusivas o arbitrarias por parte de terceros o de la </w:t>
      </w:r>
      <w:proofErr w:type="gramStart"/>
      <w:r w:rsidRPr="00927F7E">
        <w:rPr>
          <w:rFonts w:cstheme="minorHAnsi"/>
          <w:sz w:val="24"/>
          <w:szCs w:val="24"/>
          <w:lang w:eastAsia="es-MX"/>
        </w:rPr>
        <w:t>autoridad pública</w:t>
      </w:r>
      <w:proofErr w:type="gramEnd"/>
      <w:r w:rsidRPr="00927F7E">
        <w:rPr>
          <w:rFonts w:cstheme="minorHAnsi"/>
          <w:sz w:val="24"/>
          <w:szCs w:val="24"/>
          <w:lang w:eastAsia="es-MX"/>
        </w:rPr>
        <w:t xml:space="preserve">. La vida privada es un concepto amplio que no es susceptible de definiciones exhaustivas y comprende, entre otros ámbitos protegidos, la vida sexual y el derecho a establecer y desarrollar relaciones con otros seres humanos, tanto en el ámbito privado </w:t>
      </w:r>
      <w:r w:rsidRPr="00927F7E">
        <w:rPr>
          <w:rFonts w:cstheme="minorHAnsi"/>
          <w:sz w:val="24"/>
          <w:szCs w:val="24"/>
          <w:lang w:eastAsia="es-MX"/>
        </w:rPr>
        <w:lastRenderedPageBreak/>
        <w:t>como de hacer público sus preferencias. Incluye la forma en que el individuo se ve a sí mismo y cómo y cuándo decide proyectar a los demás.</w:t>
      </w:r>
    </w:p>
    <w:p w14:paraId="78E08CDA" w14:textId="77777777" w:rsidR="00991189" w:rsidRPr="00927F7E" w:rsidRDefault="00991189" w:rsidP="00991189">
      <w:pPr>
        <w:spacing w:after="0" w:line="240" w:lineRule="auto"/>
        <w:jc w:val="both"/>
        <w:rPr>
          <w:rFonts w:cstheme="minorHAnsi"/>
          <w:sz w:val="24"/>
          <w:szCs w:val="24"/>
          <w:lang w:eastAsia="es-MX"/>
        </w:rPr>
      </w:pPr>
    </w:p>
    <w:p w14:paraId="59888FCA" w14:textId="77777777" w:rsidR="00991189" w:rsidRPr="00927F7E" w:rsidRDefault="00991189" w:rsidP="00991189">
      <w:pPr>
        <w:spacing w:after="0" w:line="240" w:lineRule="auto"/>
        <w:jc w:val="both"/>
        <w:rPr>
          <w:rFonts w:cstheme="minorHAnsi"/>
          <w:sz w:val="24"/>
          <w:szCs w:val="24"/>
          <w:lang w:eastAsia="es-MX"/>
        </w:rPr>
      </w:pPr>
      <w:r w:rsidRPr="00927F7E">
        <w:rPr>
          <w:rFonts w:cstheme="minorHAnsi"/>
          <w:b/>
          <w:bCs/>
          <w:sz w:val="24"/>
          <w:szCs w:val="24"/>
          <w:lang w:eastAsia="es-MX"/>
        </w:rPr>
        <w:t>D.</w:t>
      </w:r>
      <w:r>
        <w:rPr>
          <w:rFonts w:cstheme="minorHAnsi"/>
          <w:sz w:val="24"/>
          <w:szCs w:val="24"/>
          <w:lang w:eastAsia="es-MX"/>
        </w:rPr>
        <w:t xml:space="preserve"> </w:t>
      </w:r>
      <w:r w:rsidRPr="00927F7E">
        <w:rPr>
          <w:rFonts w:cstheme="minorHAnsi"/>
          <w:sz w:val="24"/>
          <w:szCs w:val="24"/>
          <w:lang w:eastAsia="es-MX"/>
        </w:rPr>
        <w:t>Principio de Independencia Judicial. Uno de los objetivos principales que tiene la separación de los poderes públicos, es la garantía de la independencia de los jueces, cuyo objetivo radica en evitar que el sistema judicial y sus integrantes se vean sometidos a restricciones indebidas en el ejercicio de su función por parte de órganos ajenos al Poder Judicial o incluso por parte de aquellos magistrados que ejercen funciones de revisión o apelación, evitando en todo momento la existencia de presiones externas que tengan por objeto incidir en la decisión jurisdiccional. Por ello, el Estado debe abstenerse de realizar injerencias indebidas en el Poder Judicial o en sus integrantes, además de prevenir la existencia de dichas injerencias e investigar y sancionar a quienes las cometan.</w:t>
      </w:r>
    </w:p>
    <w:p w14:paraId="67011751" w14:textId="77777777" w:rsidR="00991189" w:rsidRPr="00927F7E" w:rsidRDefault="00991189" w:rsidP="00991189">
      <w:pPr>
        <w:spacing w:after="0" w:line="240" w:lineRule="auto"/>
        <w:jc w:val="both"/>
        <w:rPr>
          <w:rFonts w:cstheme="minorHAnsi"/>
          <w:sz w:val="24"/>
          <w:szCs w:val="24"/>
          <w:lang w:eastAsia="es-MX"/>
        </w:rPr>
      </w:pPr>
    </w:p>
    <w:p w14:paraId="2FE85D96" w14:textId="77777777" w:rsidR="00991189" w:rsidRPr="00927F7E" w:rsidRDefault="00991189" w:rsidP="00991189">
      <w:pPr>
        <w:spacing w:after="0" w:line="240" w:lineRule="auto"/>
        <w:jc w:val="both"/>
        <w:rPr>
          <w:rFonts w:cstheme="minorHAnsi"/>
          <w:sz w:val="24"/>
          <w:szCs w:val="24"/>
          <w:lang w:eastAsia="es-MX"/>
        </w:rPr>
      </w:pPr>
      <w:r w:rsidRPr="00927F7E">
        <w:rPr>
          <w:rFonts w:cstheme="minorHAnsi"/>
          <w:b/>
          <w:bCs/>
          <w:sz w:val="24"/>
          <w:szCs w:val="24"/>
          <w:lang w:eastAsia="es-MX"/>
        </w:rPr>
        <w:t>E.</w:t>
      </w:r>
      <w:r>
        <w:rPr>
          <w:rFonts w:cstheme="minorHAnsi"/>
          <w:b/>
          <w:bCs/>
          <w:sz w:val="24"/>
          <w:szCs w:val="24"/>
          <w:lang w:eastAsia="es-MX"/>
        </w:rPr>
        <w:t xml:space="preserve"> </w:t>
      </w:r>
      <w:r w:rsidRPr="00927F7E">
        <w:rPr>
          <w:rFonts w:cstheme="minorHAnsi"/>
          <w:sz w:val="24"/>
          <w:szCs w:val="24"/>
          <w:lang w:eastAsia="es-MX"/>
        </w:rPr>
        <w:t xml:space="preserve">Principio de Imparcialidad Judicial. Exige que el juez que interviene en una contienda particular se aproxime a los hechos de la causa careciendo, de manera subjetiva, de todo prejuicio. </w:t>
      </w:r>
      <w:proofErr w:type="gramStart"/>
      <w:r w:rsidRPr="00927F7E">
        <w:rPr>
          <w:rFonts w:cstheme="minorHAnsi"/>
          <w:sz w:val="24"/>
          <w:szCs w:val="24"/>
          <w:lang w:eastAsia="es-MX"/>
        </w:rPr>
        <w:t>Asimismo</w:t>
      </w:r>
      <w:proofErr w:type="gramEnd"/>
      <w:r w:rsidRPr="00927F7E">
        <w:rPr>
          <w:rFonts w:cstheme="minorHAnsi"/>
          <w:sz w:val="24"/>
          <w:szCs w:val="24"/>
          <w:lang w:eastAsia="es-MX"/>
        </w:rPr>
        <w:t xml:space="preserve"> debe ofrecer garantías suficientes de índole objetiva que permitan desterrar toda duda de parcialidad que el justiciable o la comunidad puedan albergar. Por otra parte, la imparcialidad personal o subjetiva se presume a menos que exista prueba en contrario, para ellos es necesario determinar, mediante prueba objetiva, si el juez cuestionado brindó elementos convincentes que permitan eliminar temores legítimos o fundadas sospechas de parcialidad sobre su persona. En todo caso, el juez debe actuar sin estar sujeto a influencia, aliciente, presión, amenaza o intromisión, directa o indirecta. La presunta falta de imparcialidad judicial debe establecerse a partir de elementos probatorios específicos y concretos que indiquen que se está, efectivamente, ante un caso en el que los jueces claramente se han dejado influenciar por aspectos o criterios ajenos a las normas legales.</w:t>
      </w:r>
    </w:p>
    <w:p w14:paraId="005B1132" w14:textId="77777777" w:rsidR="00991189" w:rsidRPr="00927F7E" w:rsidRDefault="00991189" w:rsidP="00991189">
      <w:pPr>
        <w:spacing w:after="0" w:line="240" w:lineRule="auto"/>
        <w:jc w:val="both"/>
        <w:rPr>
          <w:rFonts w:cstheme="minorHAnsi"/>
          <w:sz w:val="24"/>
          <w:szCs w:val="24"/>
          <w:lang w:eastAsia="es-MX"/>
        </w:rPr>
      </w:pPr>
    </w:p>
    <w:p w14:paraId="40AF6C80" w14:textId="77777777" w:rsidR="00991189" w:rsidRPr="00927F7E" w:rsidRDefault="00991189" w:rsidP="00991189">
      <w:pPr>
        <w:spacing w:after="0" w:line="240" w:lineRule="auto"/>
        <w:jc w:val="both"/>
        <w:rPr>
          <w:rFonts w:cstheme="minorHAnsi"/>
          <w:sz w:val="24"/>
          <w:szCs w:val="24"/>
          <w:lang w:eastAsia="es-MX"/>
        </w:rPr>
      </w:pPr>
      <w:r w:rsidRPr="00927F7E">
        <w:rPr>
          <w:rFonts w:cstheme="minorHAnsi"/>
          <w:b/>
          <w:bCs/>
          <w:sz w:val="24"/>
          <w:szCs w:val="24"/>
          <w:lang w:eastAsia="es-MX"/>
        </w:rPr>
        <w:t>F.</w:t>
      </w:r>
      <w:r>
        <w:rPr>
          <w:rFonts w:cstheme="minorHAnsi"/>
          <w:sz w:val="24"/>
          <w:szCs w:val="24"/>
          <w:lang w:eastAsia="es-MX"/>
        </w:rPr>
        <w:t xml:space="preserve"> </w:t>
      </w:r>
      <w:r w:rsidRPr="00927F7E">
        <w:rPr>
          <w:rFonts w:cstheme="minorHAnsi"/>
          <w:sz w:val="24"/>
          <w:szCs w:val="24"/>
          <w:lang w:eastAsia="es-MX"/>
        </w:rPr>
        <w:t xml:space="preserve">Derecho a una familia normal y tradicional. En la Convención Americana no se encuentra determinado un concepto cerrado de familia, ni mucho menos se protege sólo un modelo “tradicional” de la misma. El concepto de vida familiar no está reducido únicamente al matrimonio y debe abarcar otros lazos familiares de hecho donde las partes tienen vida en común por fuera del matrimonio. En el caso Salgueiro da Silva </w:t>
      </w:r>
      <w:proofErr w:type="spellStart"/>
      <w:r w:rsidRPr="00927F7E">
        <w:rPr>
          <w:rFonts w:cstheme="minorHAnsi"/>
          <w:sz w:val="24"/>
          <w:szCs w:val="24"/>
          <w:lang w:eastAsia="es-MX"/>
        </w:rPr>
        <w:t>Mouta</w:t>
      </w:r>
      <w:proofErr w:type="spellEnd"/>
      <w:r w:rsidRPr="00927F7E">
        <w:rPr>
          <w:rFonts w:cstheme="minorHAnsi"/>
          <w:sz w:val="24"/>
          <w:szCs w:val="24"/>
          <w:lang w:eastAsia="es-MX"/>
        </w:rPr>
        <w:t xml:space="preserve"> Vs. Portugal, el Tribunal Europeo consideró que la decisión de un tribunal nacional de retirar a un padre homosexual la custodia de su hija menor de edad, con el argumento que la niña debería vivir en una familia portuguesa tradicional, carecía de relación razonable de proporcionalidad entre la medida tomada (retiro de la custodia) y el fin perseguido (protección del interés superior de la menor de edad).</w:t>
      </w:r>
    </w:p>
    <w:p w14:paraId="24E25354" w14:textId="77777777" w:rsidR="00991189" w:rsidRPr="00927F7E" w:rsidRDefault="00991189" w:rsidP="00991189">
      <w:pPr>
        <w:spacing w:after="0" w:line="240" w:lineRule="auto"/>
        <w:jc w:val="both"/>
        <w:rPr>
          <w:rFonts w:cstheme="minorHAnsi"/>
          <w:sz w:val="24"/>
          <w:szCs w:val="24"/>
          <w:lang w:eastAsia="es-MX"/>
        </w:rPr>
      </w:pPr>
    </w:p>
    <w:p w14:paraId="19A383CD" w14:textId="77777777" w:rsidR="00991189" w:rsidRPr="00927F7E" w:rsidRDefault="00991189" w:rsidP="00991189">
      <w:pPr>
        <w:spacing w:after="0" w:line="240" w:lineRule="auto"/>
        <w:jc w:val="both"/>
        <w:rPr>
          <w:rFonts w:cstheme="minorHAnsi"/>
          <w:sz w:val="24"/>
          <w:szCs w:val="24"/>
          <w:lang w:eastAsia="es-MX"/>
        </w:rPr>
      </w:pPr>
      <w:r w:rsidRPr="00927F7E">
        <w:rPr>
          <w:rFonts w:cstheme="minorHAnsi"/>
          <w:b/>
          <w:bCs/>
          <w:sz w:val="24"/>
          <w:szCs w:val="24"/>
          <w:lang w:eastAsia="es-MX"/>
        </w:rPr>
        <w:t>G.</w:t>
      </w:r>
      <w:r>
        <w:rPr>
          <w:rFonts w:cstheme="minorHAnsi"/>
          <w:sz w:val="24"/>
          <w:szCs w:val="24"/>
          <w:lang w:eastAsia="es-MX"/>
        </w:rPr>
        <w:t xml:space="preserve"> </w:t>
      </w:r>
      <w:r w:rsidRPr="00927F7E">
        <w:rPr>
          <w:rFonts w:cstheme="minorHAnsi"/>
          <w:sz w:val="24"/>
          <w:szCs w:val="24"/>
          <w:lang w:eastAsia="es-MX"/>
        </w:rPr>
        <w:t xml:space="preserve">Derecho de los niños a ser escuchados en proceso judicial. Los niños y las niñas ejercen sus derechos de manera progresiva a medida que desarrollan un mayor nivel de autonomía personal. El aplicador del derecho deberá tomar en consideración las condiciones específicas del menor de edad y su interés superior para acordar la participación de éste, según corresponda, en la determinación de sus derechos. En esta ponderación se procurará el mayor acceso del menor de edad, en la medida de lo posible, al examen de su propio </w:t>
      </w:r>
      <w:r w:rsidRPr="00927F7E">
        <w:rPr>
          <w:rFonts w:cstheme="minorHAnsi"/>
          <w:sz w:val="24"/>
          <w:szCs w:val="24"/>
          <w:lang w:eastAsia="es-MX"/>
        </w:rPr>
        <w:lastRenderedPageBreak/>
        <w:t xml:space="preserve">caso. Las niñas y los niños deben ser informados de su derecho a ser escuchados directamente o por medio de un representante, si así lo desean. En casos en que se presenten conflictos de intereses entre la madre y el padre, es necesario que el Estado garantice, en lo posible, que los intereses del menor de edad sean representados por alguien ajeno a dicho conflicto. De la misma forma, no basta con escuchar al niño, sino que las opiniones del niño tienen que tomarse en consideración seriamente a partir de que el niño sea capaz de formarse un juicio propio, lo que requiere que las opiniones del niño sean evaluadas mediante un examen caso por caso. Si el niño está en condiciones de formarse un juicio propio de manera razonable e independiente, el encargado de adoptar decisiones debe tener en cuenta las opiniones del niño como factor destacado en la resolución de la cuestión. Por tanto, en el contexto de decisiones judiciales sobre la custodia, toda la legislación sobre separación y divorcio debe incluir el derecho del niño a ser escuchado por los encargados de adoptar decisiones. </w:t>
      </w:r>
    </w:p>
    <w:p w14:paraId="3104117C" w14:textId="77777777" w:rsidR="00991189" w:rsidRPr="00927F7E" w:rsidRDefault="00991189" w:rsidP="00991189">
      <w:pPr>
        <w:spacing w:after="0" w:line="240" w:lineRule="auto"/>
        <w:jc w:val="both"/>
        <w:rPr>
          <w:rFonts w:cstheme="minorHAnsi"/>
          <w:sz w:val="24"/>
          <w:szCs w:val="24"/>
          <w:lang w:eastAsia="es-MX"/>
        </w:rPr>
      </w:pPr>
    </w:p>
    <w:p w14:paraId="041F9CDD" w14:textId="77777777" w:rsidR="00991189" w:rsidRPr="00927F7E" w:rsidRDefault="00991189" w:rsidP="00991189">
      <w:pPr>
        <w:spacing w:after="0" w:line="240" w:lineRule="auto"/>
        <w:jc w:val="both"/>
        <w:rPr>
          <w:rFonts w:cstheme="minorHAnsi"/>
          <w:b/>
          <w:bCs/>
          <w:sz w:val="24"/>
          <w:szCs w:val="24"/>
          <w:lang w:eastAsia="es-MX"/>
        </w:rPr>
      </w:pPr>
      <w:r w:rsidRPr="00927F7E">
        <w:rPr>
          <w:rFonts w:cstheme="minorHAnsi"/>
          <w:b/>
          <w:bCs/>
          <w:sz w:val="24"/>
          <w:szCs w:val="24"/>
          <w:lang w:eastAsia="es-MX"/>
        </w:rPr>
        <w:t>La Corte determinó la responsabilidad del Estado por:</w:t>
      </w:r>
    </w:p>
    <w:p w14:paraId="4BD18374" w14:textId="77777777" w:rsidR="00991189" w:rsidRPr="00927F7E" w:rsidRDefault="00991189" w:rsidP="00991189">
      <w:pPr>
        <w:spacing w:after="0" w:line="240" w:lineRule="auto"/>
        <w:jc w:val="both"/>
        <w:rPr>
          <w:rFonts w:cstheme="minorHAnsi"/>
          <w:sz w:val="24"/>
          <w:szCs w:val="24"/>
          <w:lang w:eastAsia="es-MX"/>
        </w:rPr>
      </w:pPr>
    </w:p>
    <w:p w14:paraId="3FACE9AF" w14:textId="77777777" w:rsidR="00991189" w:rsidRPr="00927F7E" w:rsidRDefault="00991189" w:rsidP="00991189">
      <w:pPr>
        <w:spacing w:after="0" w:line="240" w:lineRule="auto"/>
        <w:jc w:val="both"/>
        <w:rPr>
          <w:rFonts w:cstheme="minorHAnsi"/>
          <w:sz w:val="24"/>
          <w:szCs w:val="24"/>
          <w:lang w:eastAsia="es-MX"/>
        </w:rPr>
      </w:pPr>
      <w:r w:rsidRPr="00927F7E">
        <w:rPr>
          <w:rFonts w:cstheme="minorHAnsi"/>
          <w:b/>
          <w:bCs/>
          <w:sz w:val="24"/>
          <w:szCs w:val="24"/>
          <w:lang w:eastAsia="es-MX"/>
        </w:rPr>
        <w:t>i.</w:t>
      </w:r>
      <w:r>
        <w:rPr>
          <w:rFonts w:cstheme="minorHAnsi"/>
          <w:sz w:val="24"/>
          <w:szCs w:val="24"/>
          <w:lang w:eastAsia="es-MX"/>
        </w:rPr>
        <w:t xml:space="preserve"> </w:t>
      </w:r>
      <w:r w:rsidRPr="00927F7E">
        <w:rPr>
          <w:rFonts w:cstheme="minorHAnsi"/>
          <w:sz w:val="24"/>
          <w:szCs w:val="24"/>
          <w:lang w:eastAsia="es-MX"/>
        </w:rPr>
        <w:t xml:space="preserve">la violación del derecho a la igualdad y la no discriminación consagrado en el artículo 24 de la Convención, en perjuicio de Karen </w:t>
      </w:r>
      <w:proofErr w:type="spellStart"/>
      <w:r w:rsidRPr="00927F7E">
        <w:rPr>
          <w:rFonts w:cstheme="minorHAnsi"/>
          <w:sz w:val="24"/>
          <w:szCs w:val="24"/>
          <w:lang w:eastAsia="es-MX"/>
        </w:rPr>
        <w:t>Atala</w:t>
      </w:r>
      <w:proofErr w:type="spellEnd"/>
      <w:r w:rsidRPr="00927F7E">
        <w:rPr>
          <w:rFonts w:cstheme="minorHAnsi"/>
          <w:sz w:val="24"/>
          <w:szCs w:val="24"/>
          <w:lang w:eastAsia="es-MX"/>
        </w:rPr>
        <w:t xml:space="preserve"> Riffo y de sus menores hijas, </w:t>
      </w:r>
    </w:p>
    <w:p w14:paraId="678DB1AB" w14:textId="77777777" w:rsidR="00991189" w:rsidRPr="00927F7E" w:rsidRDefault="00991189" w:rsidP="00991189">
      <w:pPr>
        <w:spacing w:after="0" w:line="240" w:lineRule="auto"/>
        <w:jc w:val="both"/>
        <w:rPr>
          <w:rFonts w:cstheme="minorHAnsi"/>
          <w:sz w:val="24"/>
          <w:szCs w:val="24"/>
          <w:lang w:eastAsia="es-MX"/>
        </w:rPr>
      </w:pPr>
    </w:p>
    <w:p w14:paraId="41E5D7D2" w14:textId="77777777" w:rsidR="00991189" w:rsidRPr="00927F7E" w:rsidRDefault="00991189" w:rsidP="00991189">
      <w:pPr>
        <w:spacing w:after="0" w:line="240" w:lineRule="auto"/>
        <w:jc w:val="both"/>
        <w:rPr>
          <w:rFonts w:cstheme="minorHAnsi"/>
          <w:sz w:val="24"/>
          <w:szCs w:val="24"/>
          <w:lang w:eastAsia="es-MX"/>
        </w:rPr>
      </w:pPr>
      <w:proofErr w:type="spellStart"/>
      <w:r w:rsidRPr="00927F7E">
        <w:rPr>
          <w:rFonts w:cstheme="minorHAnsi"/>
          <w:b/>
          <w:bCs/>
          <w:sz w:val="24"/>
          <w:szCs w:val="24"/>
          <w:lang w:eastAsia="es-MX"/>
        </w:rPr>
        <w:t>ii</w:t>
      </w:r>
      <w:proofErr w:type="spellEnd"/>
      <w:r w:rsidRPr="00927F7E">
        <w:rPr>
          <w:rFonts w:cstheme="minorHAnsi"/>
          <w:b/>
          <w:bCs/>
          <w:sz w:val="24"/>
          <w:szCs w:val="24"/>
          <w:lang w:eastAsia="es-MX"/>
        </w:rPr>
        <w:t>.</w:t>
      </w:r>
      <w:r>
        <w:rPr>
          <w:rFonts w:cstheme="minorHAnsi"/>
          <w:sz w:val="24"/>
          <w:szCs w:val="24"/>
          <w:lang w:eastAsia="es-MX"/>
        </w:rPr>
        <w:t xml:space="preserve"> </w:t>
      </w:r>
      <w:r w:rsidRPr="00927F7E">
        <w:rPr>
          <w:rFonts w:cstheme="minorHAnsi"/>
          <w:sz w:val="24"/>
          <w:szCs w:val="24"/>
          <w:lang w:eastAsia="es-MX"/>
        </w:rPr>
        <w:t xml:space="preserve">la violación del derecho a la vida privada y familiar consagrado en el artículo 11.2 y 17.1, de la Convención, en perjuicio de Karen </w:t>
      </w:r>
      <w:proofErr w:type="spellStart"/>
      <w:r w:rsidRPr="00927F7E">
        <w:rPr>
          <w:rFonts w:cstheme="minorHAnsi"/>
          <w:sz w:val="24"/>
          <w:szCs w:val="24"/>
          <w:lang w:eastAsia="es-MX"/>
        </w:rPr>
        <w:t>Atala</w:t>
      </w:r>
      <w:proofErr w:type="spellEnd"/>
      <w:r w:rsidRPr="00927F7E">
        <w:rPr>
          <w:rFonts w:cstheme="minorHAnsi"/>
          <w:sz w:val="24"/>
          <w:szCs w:val="24"/>
          <w:lang w:eastAsia="es-MX"/>
        </w:rPr>
        <w:t xml:space="preserve"> Riffo y de sus menores hijas, y</w:t>
      </w:r>
    </w:p>
    <w:p w14:paraId="29955FF1" w14:textId="77777777" w:rsidR="00991189" w:rsidRPr="00927F7E" w:rsidRDefault="00991189" w:rsidP="00991189">
      <w:pPr>
        <w:spacing w:after="0" w:line="240" w:lineRule="auto"/>
        <w:jc w:val="both"/>
        <w:rPr>
          <w:rFonts w:cstheme="minorHAnsi"/>
          <w:sz w:val="24"/>
          <w:szCs w:val="24"/>
          <w:lang w:eastAsia="es-MX"/>
        </w:rPr>
      </w:pPr>
    </w:p>
    <w:p w14:paraId="628E736B" w14:textId="77777777" w:rsidR="00991189" w:rsidRPr="00927F7E" w:rsidRDefault="00991189" w:rsidP="00991189">
      <w:pPr>
        <w:spacing w:after="0" w:line="240" w:lineRule="auto"/>
        <w:jc w:val="both"/>
        <w:rPr>
          <w:rFonts w:cstheme="minorHAnsi"/>
          <w:sz w:val="24"/>
          <w:szCs w:val="24"/>
          <w:lang w:eastAsia="es-MX"/>
        </w:rPr>
      </w:pPr>
      <w:proofErr w:type="spellStart"/>
      <w:r w:rsidRPr="00927F7E">
        <w:rPr>
          <w:rFonts w:cstheme="minorHAnsi"/>
          <w:b/>
          <w:bCs/>
          <w:sz w:val="24"/>
          <w:szCs w:val="24"/>
          <w:lang w:eastAsia="es-MX"/>
        </w:rPr>
        <w:t>iii</w:t>
      </w:r>
      <w:proofErr w:type="spellEnd"/>
      <w:r w:rsidRPr="00927F7E">
        <w:rPr>
          <w:rFonts w:cstheme="minorHAnsi"/>
          <w:b/>
          <w:bCs/>
          <w:sz w:val="24"/>
          <w:szCs w:val="24"/>
          <w:lang w:eastAsia="es-MX"/>
        </w:rPr>
        <w:t>.</w:t>
      </w:r>
      <w:r>
        <w:rPr>
          <w:rFonts w:cstheme="minorHAnsi"/>
          <w:sz w:val="24"/>
          <w:szCs w:val="24"/>
          <w:lang w:eastAsia="es-MX"/>
        </w:rPr>
        <w:t xml:space="preserve"> </w:t>
      </w:r>
      <w:r w:rsidRPr="00927F7E">
        <w:rPr>
          <w:rFonts w:cstheme="minorHAnsi"/>
          <w:sz w:val="24"/>
          <w:szCs w:val="24"/>
          <w:lang w:eastAsia="es-MX"/>
        </w:rPr>
        <w:t>la violación del derecho a ser oído consagrado en el artículo 8.1, de la Convención en perjuicio de las niñas M., V. y R.</w:t>
      </w:r>
    </w:p>
    <w:p w14:paraId="0DEECC08" w14:textId="77777777" w:rsidR="00991189" w:rsidRDefault="00991189" w:rsidP="00991189">
      <w:pPr>
        <w:rPr>
          <w:color w:val="C00000"/>
          <w:lang w:eastAsia="es-MX"/>
        </w:rPr>
      </w:pPr>
    </w:p>
    <w:p w14:paraId="1D16018F" w14:textId="77777777" w:rsidR="00991189" w:rsidRDefault="00991189" w:rsidP="00991189">
      <w:pPr>
        <w:rPr>
          <w:color w:val="C00000"/>
          <w:lang w:eastAsia="es-MX"/>
        </w:rPr>
      </w:pPr>
    </w:p>
    <w:p w14:paraId="70469CB2" w14:textId="77777777" w:rsidR="00991189" w:rsidRPr="00EC17E3" w:rsidRDefault="00991189" w:rsidP="00991189">
      <w:pPr>
        <w:rPr>
          <w:color w:val="C00000"/>
          <w:lang w:eastAsia="es-MX"/>
        </w:rPr>
      </w:pPr>
    </w:p>
    <w:p w14:paraId="5FF63905" w14:textId="77777777" w:rsidR="00991189" w:rsidRPr="004E415D" w:rsidRDefault="00991189" w:rsidP="00991189">
      <w:pPr>
        <w:pStyle w:val="Ttulo4"/>
        <w:spacing w:before="0" w:line="240" w:lineRule="auto"/>
        <w:rPr>
          <w:rFonts w:ascii="Gadugi" w:eastAsia="Times New Roman" w:hAnsi="Gadugi" w:cs="Times New Roman"/>
          <w:b/>
          <w:i w:val="0"/>
          <w:iCs w:val="0"/>
          <w:color w:val="C00000"/>
          <w:sz w:val="24"/>
          <w:szCs w:val="24"/>
          <w:lang w:eastAsia="es-MX"/>
        </w:rPr>
      </w:pPr>
      <w:r w:rsidRPr="00EC17E3">
        <w:rPr>
          <w:rFonts w:ascii="Gadugi" w:eastAsia="Times New Roman" w:hAnsi="Gadugi" w:cs="Times New Roman"/>
          <w:b/>
          <w:i w:val="0"/>
          <w:iCs w:val="0"/>
          <w:color w:val="C00000"/>
          <w:sz w:val="24"/>
          <w:szCs w:val="24"/>
          <w:lang w:eastAsia="es-MX"/>
        </w:rPr>
        <w:t>CASO 2:</w:t>
      </w:r>
      <w:r>
        <w:rPr>
          <w:rFonts w:ascii="Gadugi" w:eastAsia="Times New Roman" w:hAnsi="Gadugi" w:cs="Times New Roman"/>
          <w:b/>
          <w:i w:val="0"/>
          <w:iCs w:val="0"/>
          <w:color w:val="C00000"/>
          <w:sz w:val="24"/>
          <w:szCs w:val="24"/>
          <w:lang w:eastAsia="es-MX"/>
        </w:rPr>
        <w:t xml:space="preserve"> </w:t>
      </w:r>
      <w:r w:rsidRPr="004E415D">
        <w:rPr>
          <w:rFonts w:ascii="Gadugi" w:eastAsia="Times New Roman" w:hAnsi="Gadugi" w:cs="Times New Roman"/>
          <w:b/>
          <w:i w:val="0"/>
          <w:iCs w:val="0"/>
          <w:color w:val="C00000"/>
          <w:sz w:val="24"/>
          <w:szCs w:val="24"/>
          <w:lang w:eastAsia="es-MX"/>
        </w:rPr>
        <w:t>CASO DE LAS NIÑAS YEAN Y BOSICO VS REPÚBLICA DOMINICANA</w:t>
      </w:r>
    </w:p>
    <w:p w14:paraId="03F66570" w14:textId="77777777" w:rsidR="00991189" w:rsidRPr="004E415D" w:rsidRDefault="00991189" w:rsidP="00991189">
      <w:pPr>
        <w:rPr>
          <w:rFonts w:ascii="Gadugi" w:eastAsia="Times New Roman" w:hAnsi="Gadugi" w:cs="Times New Roman"/>
          <w:b/>
          <w:color w:val="C00000"/>
          <w:sz w:val="24"/>
          <w:szCs w:val="24"/>
          <w:lang w:eastAsia="es-MX"/>
        </w:rPr>
      </w:pPr>
    </w:p>
    <w:p w14:paraId="1E9E2D64" w14:textId="77777777" w:rsidR="00991189" w:rsidRDefault="00991189" w:rsidP="00991189">
      <w:pPr>
        <w:spacing w:after="0" w:line="240" w:lineRule="auto"/>
        <w:rPr>
          <w:rFonts w:ascii="Gadugi" w:hAnsi="Gadugi"/>
          <w:b/>
          <w:color w:val="C00000"/>
          <w:sz w:val="24"/>
          <w:szCs w:val="24"/>
        </w:rPr>
      </w:pPr>
      <w:r w:rsidRPr="00133A01">
        <w:rPr>
          <w:rFonts w:ascii="Gadugi" w:hAnsi="Gadugi"/>
          <w:b/>
          <w:color w:val="C00000"/>
          <w:sz w:val="24"/>
          <w:szCs w:val="24"/>
        </w:rPr>
        <w:t xml:space="preserve">Órgano </w:t>
      </w:r>
      <w:proofErr w:type="spellStart"/>
      <w:r w:rsidRPr="00133A01">
        <w:rPr>
          <w:rFonts w:ascii="Gadugi" w:hAnsi="Gadugi"/>
          <w:b/>
          <w:color w:val="C00000"/>
          <w:sz w:val="24"/>
          <w:szCs w:val="24"/>
        </w:rPr>
        <w:t>CoIDH</w:t>
      </w:r>
      <w:proofErr w:type="spellEnd"/>
      <w:r w:rsidRPr="00133A01">
        <w:rPr>
          <w:rFonts w:ascii="Gadugi" w:hAnsi="Gadugi"/>
          <w:b/>
          <w:color w:val="C00000"/>
          <w:sz w:val="24"/>
          <w:szCs w:val="24"/>
        </w:rPr>
        <w:t>.</w:t>
      </w:r>
    </w:p>
    <w:p w14:paraId="3540158B" w14:textId="77777777" w:rsidR="00991189" w:rsidRDefault="00991189" w:rsidP="00991189">
      <w:pPr>
        <w:spacing w:after="0" w:line="240" w:lineRule="auto"/>
        <w:rPr>
          <w:lang w:eastAsia="es-MX"/>
        </w:rPr>
      </w:pPr>
    </w:p>
    <w:p w14:paraId="76874285" w14:textId="77777777" w:rsidR="00991189" w:rsidRPr="00A94E1C" w:rsidRDefault="00991189" w:rsidP="00991189">
      <w:pPr>
        <w:spacing w:after="0" w:line="240" w:lineRule="auto"/>
        <w:rPr>
          <w:rFonts w:ascii="Gadugi" w:hAnsi="Gadugi"/>
          <w:b/>
          <w:sz w:val="24"/>
          <w:szCs w:val="24"/>
        </w:rPr>
      </w:pPr>
      <w:r w:rsidRPr="00A94E1C">
        <w:rPr>
          <w:rFonts w:ascii="Gadugi" w:hAnsi="Gadugi"/>
          <w:b/>
          <w:sz w:val="24"/>
          <w:szCs w:val="24"/>
        </w:rPr>
        <w:t>Corte Interamericana de Derechos Humanos</w:t>
      </w:r>
    </w:p>
    <w:p w14:paraId="3E0FDE07" w14:textId="77777777" w:rsidR="00991189" w:rsidRPr="00A94E1C" w:rsidRDefault="00991189" w:rsidP="00991189">
      <w:pPr>
        <w:spacing w:after="0" w:line="240" w:lineRule="auto"/>
        <w:rPr>
          <w:rFonts w:ascii="Gadugi" w:hAnsi="Gadugi"/>
          <w:b/>
          <w:color w:val="C00000"/>
          <w:sz w:val="24"/>
          <w:szCs w:val="24"/>
        </w:rPr>
      </w:pPr>
      <w:r w:rsidRPr="00A94E1C">
        <w:rPr>
          <w:rFonts w:ascii="Gadugi" w:hAnsi="Gadugi"/>
          <w:b/>
          <w:color w:val="C00000"/>
          <w:sz w:val="24"/>
          <w:szCs w:val="24"/>
        </w:rPr>
        <w:t xml:space="preserve">Caso de las Niñas </w:t>
      </w:r>
      <w:proofErr w:type="spellStart"/>
      <w:r w:rsidRPr="00A94E1C">
        <w:rPr>
          <w:rFonts w:ascii="Gadugi" w:hAnsi="Gadugi"/>
          <w:b/>
          <w:color w:val="C00000"/>
          <w:sz w:val="24"/>
          <w:szCs w:val="24"/>
        </w:rPr>
        <w:t>Yean</w:t>
      </w:r>
      <w:proofErr w:type="spellEnd"/>
      <w:r w:rsidRPr="00A94E1C">
        <w:rPr>
          <w:rFonts w:ascii="Gadugi" w:hAnsi="Gadugi"/>
          <w:b/>
          <w:color w:val="C00000"/>
          <w:sz w:val="24"/>
          <w:szCs w:val="24"/>
        </w:rPr>
        <w:t xml:space="preserve"> y </w:t>
      </w:r>
      <w:proofErr w:type="spellStart"/>
      <w:r w:rsidRPr="00A94E1C">
        <w:rPr>
          <w:rFonts w:ascii="Gadugi" w:hAnsi="Gadugi"/>
          <w:b/>
          <w:color w:val="C00000"/>
          <w:sz w:val="24"/>
          <w:szCs w:val="24"/>
        </w:rPr>
        <w:t>Bosico</w:t>
      </w:r>
      <w:proofErr w:type="spellEnd"/>
      <w:r w:rsidRPr="00A94E1C">
        <w:rPr>
          <w:rFonts w:ascii="Gadugi" w:hAnsi="Gadugi"/>
          <w:b/>
          <w:color w:val="C00000"/>
          <w:sz w:val="24"/>
          <w:szCs w:val="24"/>
        </w:rPr>
        <w:t xml:space="preserve"> vs. </w:t>
      </w:r>
      <w:proofErr w:type="gramStart"/>
      <w:r w:rsidRPr="00A94E1C">
        <w:rPr>
          <w:rFonts w:ascii="Gadugi" w:hAnsi="Gadugi"/>
          <w:b/>
          <w:color w:val="C00000"/>
          <w:sz w:val="24"/>
          <w:szCs w:val="24"/>
        </w:rPr>
        <w:t>República  Dominicana</w:t>
      </w:r>
      <w:proofErr w:type="gramEnd"/>
    </w:p>
    <w:p w14:paraId="01C59A2C" w14:textId="77777777" w:rsidR="00991189" w:rsidRPr="00A94E1C" w:rsidRDefault="00991189" w:rsidP="00991189">
      <w:pPr>
        <w:spacing w:after="0" w:line="240" w:lineRule="auto"/>
        <w:rPr>
          <w:rFonts w:ascii="Gadugi" w:hAnsi="Gadugi"/>
          <w:b/>
          <w:sz w:val="24"/>
          <w:szCs w:val="24"/>
        </w:rPr>
      </w:pPr>
      <w:r w:rsidRPr="00A94E1C">
        <w:rPr>
          <w:rFonts w:ascii="Gadugi" w:hAnsi="Gadugi"/>
          <w:b/>
          <w:sz w:val="24"/>
          <w:szCs w:val="24"/>
        </w:rPr>
        <w:t>Resuelto el 8 de septiembre de 2005</w:t>
      </w:r>
    </w:p>
    <w:p w14:paraId="14B8457B" w14:textId="77777777" w:rsidR="00991189" w:rsidRPr="00BA3875" w:rsidRDefault="00991189" w:rsidP="00991189">
      <w:pPr>
        <w:rPr>
          <w:b/>
          <w:bCs/>
          <w:lang w:eastAsia="es-MX"/>
        </w:rPr>
      </w:pPr>
    </w:p>
    <w:p w14:paraId="7C4E3BB3" w14:textId="77777777" w:rsidR="00991189" w:rsidRPr="00BA3875" w:rsidRDefault="00991189" w:rsidP="00991189">
      <w:pPr>
        <w:spacing w:after="0" w:line="240" w:lineRule="auto"/>
        <w:rPr>
          <w:rFonts w:cstheme="minorHAnsi"/>
          <w:b/>
          <w:bCs/>
          <w:sz w:val="24"/>
          <w:szCs w:val="24"/>
          <w:lang w:eastAsia="es-MX"/>
        </w:rPr>
      </w:pPr>
      <w:r w:rsidRPr="00BA3875">
        <w:rPr>
          <w:rFonts w:cstheme="minorHAnsi"/>
          <w:b/>
          <w:bCs/>
          <w:sz w:val="24"/>
          <w:szCs w:val="24"/>
          <w:lang w:eastAsia="es-MX"/>
        </w:rPr>
        <w:t>Temática</w:t>
      </w:r>
    </w:p>
    <w:p w14:paraId="605545D3" w14:textId="77777777" w:rsidR="00991189" w:rsidRPr="00BA3875" w:rsidRDefault="00991189" w:rsidP="00991189">
      <w:pPr>
        <w:pStyle w:val="Prrafodelista"/>
        <w:numPr>
          <w:ilvl w:val="0"/>
          <w:numId w:val="9"/>
        </w:numPr>
        <w:rPr>
          <w:rFonts w:asciiTheme="minorHAnsi" w:hAnsiTheme="minorHAnsi" w:cstheme="minorHAnsi"/>
        </w:rPr>
      </w:pPr>
      <w:r w:rsidRPr="00BA3875">
        <w:rPr>
          <w:rFonts w:asciiTheme="minorHAnsi" w:hAnsiTheme="minorHAnsi" w:cstheme="minorHAnsi"/>
        </w:rPr>
        <w:t>Libertad de conciencia y religión;</w:t>
      </w:r>
    </w:p>
    <w:p w14:paraId="42649CF9" w14:textId="77777777" w:rsidR="00991189" w:rsidRPr="00BA3875" w:rsidRDefault="00991189" w:rsidP="00991189">
      <w:pPr>
        <w:pStyle w:val="Prrafodelista"/>
        <w:numPr>
          <w:ilvl w:val="0"/>
          <w:numId w:val="9"/>
        </w:numPr>
        <w:rPr>
          <w:rFonts w:asciiTheme="minorHAnsi" w:hAnsiTheme="minorHAnsi" w:cstheme="minorHAnsi"/>
        </w:rPr>
      </w:pPr>
      <w:r w:rsidRPr="00BA3875">
        <w:rPr>
          <w:rFonts w:asciiTheme="minorHAnsi" w:hAnsiTheme="minorHAnsi" w:cstheme="minorHAnsi"/>
        </w:rPr>
        <w:t>Derechos de los niños y las niñas</w:t>
      </w:r>
    </w:p>
    <w:p w14:paraId="28E6D6D3" w14:textId="77777777" w:rsidR="00991189" w:rsidRPr="00BA3875" w:rsidRDefault="00991189" w:rsidP="00991189">
      <w:pPr>
        <w:pStyle w:val="Prrafodelista"/>
        <w:numPr>
          <w:ilvl w:val="0"/>
          <w:numId w:val="9"/>
        </w:numPr>
        <w:rPr>
          <w:rFonts w:asciiTheme="minorHAnsi" w:hAnsiTheme="minorHAnsi" w:cstheme="minorHAnsi"/>
        </w:rPr>
      </w:pPr>
      <w:r w:rsidRPr="00BA3875">
        <w:rPr>
          <w:rFonts w:asciiTheme="minorHAnsi" w:hAnsiTheme="minorHAnsi" w:cstheme="minorHAnsi"/>
        </w:rPr>
        <w:t>Derecho a la integridad personal</w:t>
      </w:r>
    </w:p>
    <w:p w14:paraId="3ACC1260" w14:textId="77777777" w:rsidR="00991189" w:rsidRPr="00BA3875" w:rsidRDefault="00991189" w:rsidP="00991189">
      <w:pPr>
        <w:pStyle w:val="Prrafodelista"/>
        <w:numPr>
          <w:ilvl w:val="0"/>
          <w:numId w:val="9"/>
        </w:numPr>
        <w:rPr>
          <w:rFonts w:asciiTheme="minorHAnsi" w:hAnsiTheme="minorHAnsi" w:cstheme="minorHAnsi"/>
        </w:rPr>
      </w:pPr>
      <w:r w:rsidRPr="00BA3875">
        <w:rPr>
          <w:rFonts w:asciiTheme="minorHAnsi" w:hAnsiTheme="minorHAnsi" w:cstheme="minorHAnsi"/>
        </w:rPr>
        <w:t>Derecho al nombre</w:t>
      </w:r>
    </w:p>
    <w:p w14:paraId="41E9CFC8" w14:textId="77777777" w:rsidR="00991189" w:rsidRPr="00A94E1C" w:rsidRDefault="00991189" w:rsidP="00991189">
      <w:pPr>
        <w:spacing w:after="0" w:line="240" w:lineRule="auto"/>
        <w:rPr>
          <w:rFonts w:cstheme="minorHAnsi"/>
          <w:sz w:val="24"/>
          <w:szCs w:val="24"/>
          <w:lang w:eastAsia="es-MX"/>
        </w:rPr>
      </w:pPr>
    </w:p>
    <w:p w14:paraId="41D4FC81" w14:textId="77777777" w:rsidR="00991189" w:rsidRPr="00936C9D" w:rsidRDefault="00991189" w:rsidP="00991189">
      <w:pPr>
        <w:spacing w:after="0" w:line="240" w:lineRule="auto"/>
        <w:jc w:val="both"/>
        <w:rPr>
          <w:rFonts w:cstheme="minorHAnsi"/>
          <w:b/>
          <w:bCs/>
          <w:sz w:val="24"/>
          <w:szCs w:val="24"/>
          <w:lang w:eastAsia="es-MX"/>
        </w:rPr>
      </w:pPr>
      <w:r w:rsidRPr="00936C9D">
        <w:rPr>
          <w:rFonts w:cstheme="minorHAnsi"/>
          <w:b/>
          <w:bCs/>
          <w:sz w:val="24"/>
          <w:szCs w:val="24"/>
          <w:lang w:eastAsia="es-MX"/>
        </w:rPr>
        <w:t>Caso concreto</w:t>
      </w:r>
    </w:p>
    <w:p w14:paraId="22E7BA54" w14:textId="77777777" w:rsidR="00991189" w:rsidRPr="00A94E1C" w:rsidRDefault="00991189" w:rsidP="00991189">
      <w:pPr>
        <w:spacing w:after="0" w:line="240" w:lineRule="auto"/>
        <w:jc w:val="both"/>
        <w:rPr>
          <w:rFonts w:cstheme="minorHAnsi"/>
          <w:sz w:val="24"/>
          <w:szCs w:val="24"/>
          <w:lang w:eastAsia="es-MX"/>
        </w:rPr>
      </w:pPr>
    </w:p>
    <w:p w14:paraId="2EE3FDB6" w14:textId="77777777" w:rsidR="00991189" w:rsidRPr="00A94E1C" w:rsidRDefault="00991189" w:rsidP="00991189">
      <w:pPr>
        <w:spacing w:after="0" w:line="240" w:lineRule="auto"/>
        <w:jc w:val="both"/>
        <w:rPr>
          <w:rFonts w:cstheme="minorHAnsi"/>
          <w:sz w:val="24"/>
          <w:szCs w:val="24"/>
          <w:lang w:eastAsia="es-MX"/>
        </w:rPr>
      </w:pPr>
      <w:r w:rsidRPr="00A94E1C">
        <w:rPr>
          <w:rFonts w:cstheme="minorHAnsi"/>
          <w:sz w:val="24"/>
          <w:szCs w:val="24"/>
          <w:lang w:eastAsia="es-MX"/>
        </w:rPr>
        <w:t xml:space="preserve">El caso se refiere a la responsabilidad internacional del Estado por la negación de la emisión de las actas de nacimiento a favor de Dilcia Oliven </w:t>
      </w:r>
      <w:proofErr w:type="spellStart"/>
      <w:r w:rsidRPr="00A94E1C">
        <w:rPr>
          <w:rFonts w:cstheme="minorHAnsi"/>
          <w:sz w:val="24"/>
          <w:szCs w:val="24"/>
          <w:lang w:eastAsia="es-MX"/>
        </w:rPr>
        <w:t>Yean</w:t>
      </w:r>
      <w:proofErr w:type="spellEnd"/>
      <w:r w:rsidRPr="00A94E1C">
        <w:rPr>
          <w:rFonts w:cstheme="minorHAnsi"/>
          <w:sz w:val="24"/>
          <w:szCs w:val="24"/>
          <w:lang w:eastAsia="es-MX"/>
        </w:rPr>
        <w:t xml:space="preserve"> y Violeta </w:t>
      </w:r>
      <w:proofErr w:type="spellStart"/>
      <w:r w:rsidRPr="00A94E1C">
        <w:rPr>
          <w:rFonts w:cstheme="minorHAnsi"/>
          <w:sz w:val="24"/>
          <w:szCs w:val="24"/>
          <w:lang w:eastAsia="es-MX"/>
        </w:rPr>
        <w:t>Bosico</w:t>
      </w:r>
      <w:proofErr w:type="spellEnd"/>
      <w:r w:rsidRPr="00A94E1C">
        <w:rPr>
          <w:rFonts w:cstheme="minorHAnsi"/>
          <w:sz w:val="24"/>
          <w:szCs w:val="24"/>
          <w:lang w:eastAsia="es-MX"/>
        </w:rPr>
        <w:t xml:space="preserve"> </w:t>
      </w:r>
      <w:proofErr w:type="spellStart"/>
      <w:r w:rsidRPr="00A94E1C">
        <w:rPr>
          <w:rFonts w:cstheme="minorHAnsi"/>
          <w:sz w:val="24"/>
          <w:szCs w:val="24"/>
          <w:lang w:eastAsia="es-MX"/>
        </w:rPr>
        <w:t>Cofi</w:t>
      </w:r>
      <w:proofErr w:type="spellEnd"/>
      <w:r w:rsidRPr="00A94E1C">
        <w:rPr>
          <w:rFonts w:cstheme="minorHAnsi"/>
          <w:sz w:val="24"/>
          <w:szCs w:val="24"/>
          <w:lang w:eastAsia="es-MX"/>
        </w:rPr>
        <w:t xml:space="preserve"> a través de las autoridades del Registro Civil, y las perjudiciales consecuencias que dicha situación generó en ellas.</w:t>
      </w:r>
    </w:p>
    <w:p w14:paraId="7B88F6BF" w14:textId="77777777" w:rsidR="00991189" w:rsidRPr="00A94E1C" w:rsidRDefault="00991189" w:rsidP="00991189">
      <w:pPr>
        <w:spacing w:after="0" w:line="240" w:lineRule="auto"/>
        <w:jc w:val="both"/>
        <w:rPr>
          <w:rFonts w:cstheme="minorHAnsi"/>
          <w:sz w:val="24"/>
          <w:szCs w:val="24"/>
          <w:lang w:eastAsia="es-MX"/>
        </w:rPr>
      </w:pPr>
    </w:p>
    <w:p w14:paraId="506EF01A" w14:textId="77777777" w:rsidR="00991189" w:rsidRDefault="00991189" w:rsidP="00991189">
      <w:pPr>
        <w:spacing w:after="0" w:line="240" w:lineRule="auto"/>
        <w:jc w:val="both"/>
        <w:rPr>
          <w:rFonts w:cstheme="minorHAnsi"/>
          <w:b/>
          <w:bCs/>
          <w:sz w:val="24"/>
          <w:szCs w:val="24"/>
          <w:lang w:eastAsia="es-MX"/>
        </w:rPr>
      </w:pPr>
      <w:r w:rsidRPr="005D2BA1">
        <w:rPr>
          <w:rFonts w:cstheme="minorHAnsi"/>
          <w:b/>
          <w:bCs/>
          <w:sz w:val="24"/>
          <w:szCs w:val="24"/>
          <w:lang w:eastAsia="es-MX"/>
        </w:rPr>
        <w:t>Hechos</w:t>
      </w:r>
    </w:p>
    <w:p w14:paraId="4AFDF2E1" w14:textId="77777777" w:rsidR="00991189" w:rsidRPr="005D2BA1" w:rsidRDefault="00991189" w:rsidP="00991189">
      <w:pPr>
        <w:spacing w:after="0" w:line="240" w:lineRule="auto"/>
        <w:jc w:val="both"/>
        <w:rPr>
          <w:rFonts w:cstheme="minorHAnsi"/>
          <w:b/>
          <w:bCs/>
          <w:sz w:val="24"/>
          <w:szCs w:val="24"/>
          <w:lang w:eastAsia="es-MX"/>
        </w:rPr>
      </w:pPr>
    </w:p>
    <w:p w14:paraId="0B5B8EFD" w14:textId="77777777" w:rsidR="00991189" w:rsidRPr="005D2BA1" w:rsidRDefault="00991189" w:rsidP="00991189">
      <w:pPr>
        <w:pStyle w:val="Prrafodelista"/>
        <w:numPr>
          <w:ilvl w:val="0"/>
          <w:numId w:val="13"/>
        </w:numPr>
        <w:jc w:val="both"/>
        <w:rPr>
          <w:rFonts w:asciiTheme="minorHAnsi" w:hAnsiTheme="minorHAnsi" w:cstheme="minorHAnsi"/>
        </w:rPr>
      </w:pPr>
      <w:r w:rsidRPr="005D2BA1">
        <w:rPr>
          <w:rFonts w:asciiTheme="minorHAnsi" w:hAnsiTheme="minorHAnsi" w:cstheme="minorHAnsi"/>
        </w:rPr>
        <w:t xml:space="preserve">El 5 de marzo de 1997, cuando Dilcia </w:t>
      </w:r>
      <w:proofErr w:type="spellStart"/>
      <w:r w:rsidRPr="005D2BA1">
        <w:rPr>
          <w:rFonts w:asciiTheme="minorHAnsi" w:hAnsiTheme="minorHAnsi" w:cstheme="minorHAnsi"/>
        </w:rPr>
        <w:t>Yean</w:t>
      </w:r>
      <w:proofErr w:type="spellEnd"/>
      <w:r w:rsidRPr="005D2BA1">
        <w:rPr>
          <w:rFonts w:asciiTheme="minorHAnsi" w:hAnsiTheme="minorHAnsi" w:cstheme="minorHAnsi"/>
        </w:rPr>
        <w:t xml:space="preserve"> tenía 10 meses de edad y Violeta </w:t>
      </w:r>
      <w:proofErr w:type="spellStart"/>
      <w:r w:rsidRPr="005D2BA1">
        <w:rPr>
          <w:rFonts w:asciiTheme="minorHAnsi" w:hAnsiTheme="minorHAnsi" w:cstheme="minorHAnsi"/>
        </w:rPr>
        <w:t>Bosico</w:t>
      </w:r>
      <w:proofErr w:type="spellEnd"/>
      <w:r w:rsidRPr="005D2BA1">
        <w:rPr>
          <w:rFonts w:asciiTheme="minorHAnsi" w:hAnsiTheme="minorHAnsi" w:cstheme="minorHAnsi"/>
        </w:rPr>
        <w:t xml:space="preserve"> tenía 12 años de edad, comparecieron ante la Oficialía Civil de Sabana Grande de </w:t>
      </w:r>
      <w:proofErr w:type="spellStart"/>
      <w:r w:rsidRPr="005D2BA1">
        <w:rPr>
          <w:rFonts w:asciiTheme="minorHAnsi" w:hAnsiTheme="minorHAnsi" w:cstheme="minorHAnsi"/>
        </w:rPr>
        <w:t>Boyá</w:t>
      </w:r>
      <w:proofErr w:type="spellEnd"/>
      <w:r w:rsidRPr="005D2BA1">
        <w:rPr>
          <w:rFonts w:asciiTheme="minorHAnsi" w:hAnsiTheme="minorHAnsi" w:cstheme="minorHAnsi"/>
        </w:rPr>
        <w:t xml:space="preserve"> el señor Genaro Rincón </w:t>
      </w:r>
      <w:proofErr w:type="spellStart"/>
      <w:r w:rsidRPr="005D2BA1">
        <w:rPr>
          <w:rFonts w:asciiTheme="minorHAnsi" w:hAnsiTheme="minorHAnsi" w:cstheme="minorHAnsi"/>
        </w:rPr>
        <w:t>Miesse</w:t>
      </w:r>
      <w:proofErr w:type="spellEnd"/>
      <w:r w:rsidRPr="005D2BA1">
        <w:rPr>
          <w:rFonts w:asciiTheme="minorHAnsi" w:hAnsiTheme="minorHAnsi" w:cstheme="minorHAnsi"/>
        </w:rPr>
        <w:t xml:space="preserve">, quien en aquella época era abogado de MUDHA, la señora </w:t>
      </w:r>
      <w:proofErr w:type="spellStart"/>
      <w:r w:rsidRPr="005D2BA1">
        <w:rPr>
          <w:rFonts w:asciiTheme="minorHAnsi" w:hAnsiTheme="minorHAnsi" w:cstheme="minorHAnsi"/>
        </w:rPr>
        <w:t>Tiramen</w:t>
      </w:r>
      <w:proofErr w:type="spellEnd"/>
      <w:r w:rsidRPr="005D2BA1">
        <w:rPr>
          <w:rFonts w:asciiTheme="minorHAnsi" w:hAnsiTheme="minorHAnsi" w:cstheme="minorHAnsi"/>
        </w:rPr>
        <w:t xml:space="preserve"> </w:t>
      </w:r>
      <w:proofErr w:type="spellStart"/>
      <w:r w:rsidRPr="005D2BA1">
        <w:rPr>
          <w:rFonts w:asciiTheme="minorHAnsi" w:hAnsiTheme="minorHAnsi" w:cstheme="minorHAnsi"/>
        </w:rPr>
        <w:t>Bosico</w:t>
      </w:r>
      <w:proofErr w:type="spellEnd"/>
      <w:r w:rsidRPr="005D2BA1">
        <w:rPr>
          <w:rFonts w:asciiTheme="minorHAnsi" w:hAnsiTheme="minorHAnsi" w:cstheme="minorHAnsi"/>
        </w:rPr>
        <w:t xml:space="preserve"> </w:t>
      </w:r>
      <w:proofErr w:type="spellStart"/>
      <w:r w:rsidRPr="005D2BA1">
        <w:rPr>
          <w:rFonts w:asciiTheme="minorHAnsi" w:hAnsiTheme="minorHAnsi" w:cstheme="minorHAnsi"/>
        </w:rPr>
        <w:t>Cofi</w:t>
      </w:r>
      <w:proofErr w:type="spellEnd"/>
      <w:r w:rsidRPr="005D2BA1">
        <w:rPr>
          <w:rFonts w:asciiTheme="minorHAnsi" w:hAnsiTheme="minorHAnsi" w:cstheme="minorHAnsi"/>
        </w:rPr>
        <w:t xml:space="preserve">, quien acompañaba a su hija Violeta </w:t>
      </w:r>
      <w:proofErr w:type="spellStart"/>
      <w:r w:rsidRPr="005D2BA1">
        <w:rPr>
          <w:rFonts w:asciiTheme="minorHAnsi" w:hAnsiTheme="minorHAnsi" w:cstheme="minorHAnsi"/>
        </w:rPr>
        <w:t>Bosico</w:t>
      </w:r>
      <w:proofErr w:type="spellEnd"/>
      <w:r w:rsidRPr="005D2BA1">
        <w:rPr>
          <w:rFonts w:asciiTheme="minorHAnsi" w:hAnsiTheme="minorHAnsi" w:cstheme="minorHAnsi"/>
        </w:rPr>
        <w:t xml:space="preserve">, y la señora Martha Remigio, prima de la madre de Dilcia </w:t>
      </w:r>
      <w:proofErr w:type="spellStart"/>
      <w:r w:rsidRPr="005D2BA1">
        <w:rPr>
          <w:rFonts w:asciiTheme="minorHAnsi" w:hAnsiTheme="minorHAnsi" w:cstheme="minorHAnsi"/>
        </w:rPr>
        <w:t>Yean</w:t>
      </w:r>
      <w:proofErr w:type="spellEnd"/>
      <w:r w:rsidRPr="005D2BA1">
        <w:rPr>
          <w:rFonts w:asciiTheme="minorHAnsi" w:hAnsiTheme="minorHAnsi" w:cstheme="minorHAnsi"/>
        </w:rPr>
        <w:t xml:space="preserve"> y quien acompañaba a ésta niña, con la finalidad de solicitar el registro tardío de nacimiento para, entre otros niños, Dilcia </w:t>
      </w:r>
      <w:proofErr w:type="spellStart"/>
      <w:r w:rsidRPr="005D2BA1">
        <w:rPr>
          <w:rFonts w:asciiTheme="minorHAnsi" w:hAnsiTheme="minorHAnsi" w:cstheme="minorHAnsi"/>
        </w:rPr>
        <w:t>Yean</w:t>
      </w:r>
      <w:proofErr w:type="spellEnd"/>
      <w:r w:rsidRPr="005D2BA1">
        <w:rPr>
          <w:rFonts w:asciiTheme="minorHAnsi" w:hAnsiTheme="minorHAnsi" w:cstheme="minorHAnsi"/>
        </w:rPr>
        <w:t xml:space="preserve"> y Violeta </w:t>
      </w:r>
      <w:proofErr w:type="spellStart"/>
      <w:r w:rsidRPr="005D2BA1">
        <w:rPr>
          <w:rFonts w:asciiTheme="minorHAnsi" w:hAnsiTheme="minorHAnsi" w:cstheme="minorHAnsi"/>
        </w:rPr>
        <w:t>Bosico</w:t>
      </w:r>
      <w:proofErr w:type="spellEnd"/>
      <w:r w:rsidRPr="005D2BA1">
        <w:rPr>
          <w:rFonts w:asciiTheme="minorHAnsi" w:hAnsiTheme="minorHAnsi" w:cstheme="minorHAnsi"/>
        </w:rPr>
        <w:t>.</w:t>
      </w:r>
    </w:p>
    <w:p w14:paraId="52892CF1" w14:textId="77777777" w:rsidR="00991189" w:rsidRPr="005D2BA1" w:rsidRDefault="00991189" w:rsidP="00991189">
      <w:pPr>
        <w:spacing w:after="0" w:line="240" w:lineRule="auto"/>
        <w:jc w:val="both"/>
        <w:rPr>
          <w:rFonts w:cstheme="minorHAnsi"/>
          <w:sz w:val="24"/>
          <w:szCs w:val="24"/>
          <w:lang w:eastAsia="es-MX"/>
        </w:rPr>
      </w:pPr>
    </w:p>
    <w:p w14:paraId="738DF9C2" w14:textId="77777777" w:rsidR="00991189" w:rsidRPr="005D2BA1" w:rsidRDefault="00991189" w:rsidP="00991189">
      <w:pPr>
        <w:pStyle w:val="Prrafodelista"/>
        <w:numPr>
          <w:ilvl w:val="0"/>
          <w:numId w:val="13"/>
        </w:numPr>
        <w:jc w:val="both"/>
        <w:rPr>
          <w:rFonts w:asciiTheme="minorHAnsi" w:hAnsiTheme="minorHAnsi" w:cstheme="minorHAnsi"/>
        </w:rPr>
      </w:pPr>
      <w:r w:rsidRPr="005D2BA1">
        <w:rPr>
          <w:rFonts w:asciiTheme="minorHAnsi" w:hAnsiTheme="minorHAnsi" w:cstheme="minorHAnsi"/>
        </w:rPr>
        <w:t xml:space="preserve">En la Oficialía Civil de Sabana Grande de </w:t>
      </w:r>
      <w:proofErr w:type="spellStart"/>
      <w:r w:rsidRPr="005D2BA1">
        <w:rPr>
          <w:rFonts w:asciiTheme="minorHAnsi" w:hAnsiTheme="minorHAnsi" w:cstheme="minorHAnsi"/>
        </w:rPr>
        <w:t>Boyá</w:t>
      </w:r>
      <w:proofErr w:type="spellEnd"/>
      <w:r w:rsidRPr="005D2BA1">
        <w:rPr>
          <w:rFonts w:asciiTheme="minorHAnsi" w:hAnsiTheme="minorHAnsi" w:cstheme="minorHAnsi"/>
        </w:rPr>
        <w:t xml:space="preserve"> la oficial civil encargada de los registros de nacimiento, señora Thelma Bienvenida Reyes, informó al señor Genaro Rincón </w:t>
      </w:r>
      <w:proofErr w:type="spellStart"/>
      <w:r w:rsidRPr="005D2BA1">
        <w:rPr>
          <w:rFonts w:asciiTheme="minorHAnsi" w:hAnsiTheme="minorHAnsi" w:cstheme="minorHAnsi"/>
        </w:rPr>
        <w:t>Miesse</w:t>
      </w:r>
      <w:proofErr w:type="spellEnd"/>
      <w:r w:rsidRPr="005D2BA1">
        <w:rPr>
          <w:rFonts w:asciiTheme="minorHAnsi" w:hAnsiTheme="minorHAnsi" w:cstheme="minorHAnsi"/>
        </w:rPr>
        <w:t xml:space="preserve"> que no era posible registrar a las niñas, porque los solicitantes no contaban con todos los documentos requeridos por la Junta Central Electoral para dicho procedimiento.</w:t>
      </w:r>
    </w:p>
    <w:p w14:paraId="28B36A02" w14:textId="77777777" w:rsidR="00991189" w:rsidRPr="005D2BA1" w:rsidRDefault="00991189" w:rsidP="00991189">
      <w:pPr>
        <w:spacing w:after="0" w:line="240" w:lineRule="auto"/>
        <w:jc w:val="both"/>
        <w:rPr>
          <w:rFonts w:cstheme="minorHAnsi"/>
          <w:sz w:val="24"/>
          <w:szCs w:val="24"/>
          <w:lang w:eastAsia="es-MX"/>
        </w:rPr>
      </w:pPr>
    </w:p>
    <w:p w14:paraId="05F6A32D" w14:textId="77777777" w:rsidR="00991189" w:rsidRPr="005D2BA1" w:rsidRDefault="00991189" w:rsidP="00991189">
      <w:pPr>
        <w:pStyle w:val="Prrafodelista"/>
        <w:numPr>
          <w:ilvl w:val="0"/>
          <w:numId w:val="13"/>
        </w:numPr>
        <w:jc w:val="both"/>
        <w:rPr>
          <w:rFonts w:asciiTheme="minorHAnsi" w:hAnsiTheme="minorHAnsi" w:cstheme="minorHAnsi"/>
        </w:rPr>
      </w:pPr>
      <w:r w:rsidRPr="005D2BA1">
        <w:rPr>
          <w:rFonts w:asciiTheme="minorHAnsi" w:hAnsiTheme="minorHAnsi" w:cstheme="minorHAnsi"/>
        </w:rPr>
        <w:t xml:space="preserve">El 11 de septiembre de 1997 MUDHA y el Comité Dominicano de Derechos Humanos (CDH), a través de sus abogados Genaro Rincón </w:t>
      </w:r>
      <w:proofErr w:type="spellStart"/>
      <w:r w:rsidRPr="005D2BA1">
        <w:rPr>
          <w:rFonts w:asciiTheme="minorHAnsi" w:hAnsiTheme="minorHAnsi" w:cstheme="minorHAnsi"/>
        </w:rPr>
        <w:t>Miesse</w:t>
      </w:r>
      <w:proofErr w:type="spellEnd"/>
      <w:r w:rsidRPr="005D2BA1">
        <w:rPr>
          <w:rFonts w:asciiTheme="minorHAnsi" w:hAnsiTheme="minorHAnsi" w:cstheme="minorHAnsi"/>
        </w:rPr>
        <w:t xml:space="preserve"> y Marcelino de la Cruz </w:t>
      </w:r>
      <w:proofErr w:type="spellStart"/>
      <w:r w:rsidRPr="005D2BA1">
        <w:rPr>
          <w:rFonts w:asciiTheme="minorHAnsi" w:hAnsiTheme="minorHAnsi" w:cstheme="minorHAnsi"/>
        </w:rPr>
        <w:t>Nuñez</w:t>
      </w:r>
      <w:proofErr w:type="spellEnd"/>
      <w:r w:rsidRPr="005D2BA1">
        <w:rPr>
          <w:rFonts w:asciiTheme="minorHAnsi" w:hAnsiTheme="minorHAnsi" w:cstheme="minorHAnsi"/>
        </w:rPr>
        <w:t xml:space="preserve">, interpusieron una "demanda en solicitud de autorización de declaraciones tardías", ante el Procurador Fiscal del Juzgado de Primera Instancia del Distrito Judicial de la Provincia de Monte Plata, a favor de un grupo determinado de niños, entre los cuales se encontraban las niñas Dilcia </w:t>
      </w:r>
      <w:proofErr w:type="spellStart"/>
      <w:r w:rsidRPr="005D2BA1">
        <w:rPr>
          <w:rFonts w:asciiTheme="minorHAnsi" w:hAnsiTheme="minorHAnsi" w:cstheme="minorHAnsi"/>
        </w:rPr>
        <w:t>Yean</w:t>
      </w:r>
      <w:proofErr w:type="spellEnd"/>
      <w:r w:rsidRPr="005D2BA1">
        <w:rPr>
          <w:rFonts w:asciiTheme="minorHAnsi" w:hAnsiTheme="minorHAnsi" w:cstheme="minorHAnsi"/>
        </w:rPr>
        <w:t xml:space="preserve"> y Violeta </w:t>
      </w:r>
      <w:proofErr w:type="spellStart"/>
      <w:r w:rsidRPr="005D2BA1">
        <w:rPr>
          <w:rFonts w:asciiTheme="minorHAnsi" w:hAnsiTheme="minorHAnsi" w:cstheme="minorHAnsi"/>
        </w:rPr>
        <w:t>Bosico</w:t>
      </w:r>
      <w:proofErr w:type="spellEnd"/>
      <w:r w:rsidRPr="005D2BA1">
        <w:rPr>
          <w:rFonts w:asciiTheme="minorHAnsi" w:hAnsiTheme="minorHAnsi" w:cstheme="minorHAnsi"/>
        </w:rPr>
        <w:t>.</w:t>
      </w:r>
    </w:p>
    <w:p w14:paraId="61DE9DA8" w14:textId="77777777" w:rsidR="00991189" w:rsidRPr="005D2BA1" w:rsidRDefault="00991189" w:rsidP="00991189">
      <w:pPr>
        <w:spacing w:after="0" w:line="240" w:lineRule="auto"/>
        <w:jc w:val="both"/>
        <w:rPr>
          <w:rFonts w:cstheme="minorHAnsi"/>
          <w:sz w:val="24"/>
          <w:szCs w:val="24"/>
          <w:lang w:eastAsia="es-MX"/>
        </w:rPr>
      </w:pPr>
    </w:p>
    <w:p w14:paraId="34532B98" w14:textId="77777777" w:rsidR="00991189" w:rsidRPr="005D2BA1" w:rsidRDefault="00991189" w:rsidP="00991189">
      <w:pPr>
        <w:pStyle w:val="Prrafodelista"/>
        <w:numPr>
          <w:ilvl w:val="0"/>
          <w:numId w:val="13"/>
        </w:numPr>
        <w:jc w:val="both"/>
        <w:rPr>
          <w:rFonts w:asciiTheme="minorHAnsi" w:hAnsiTheme="minorHAnsi" w:cstheme="minorHAnsi"/>
        </w:rPr>
      </w:pPr>
      <w:r w:rsidRPr="005D2BA1">
        <w:rPr>
          <w:rFonts w:asciiTheme="minorHAnsi" w:hAnsiTheme="minorHAnsi" w:cstheme="minorHAnsi"/>
        </w:rPr>
        <w:t xml:space="preserve">El 25 de marzo de 1999, cuando la República Dominicana reconoció la competencia contenciosa de la Corte Interamericana, las niñas Dilcia </w:t>
      </w:r>
      <w:proofErr w:type="spellStart"/>
      <w:r w:rsidRPr="005D2BA1">
        <w:rPr>
          <w:rFonts w:asciiTheme="minorHAnsi" w:hAnsiTheme="minorHAnsi" w:cstheme="minorHAnsi"/>
        </w:rPr>
        <w:t>Yean</w:t>
      </w:r>
      <w:proofErr w:type="spellEnd"/>
      <w:r w:rsidRPr="005D2BA1">
        <w:rPr>
          <w:rFonts w:asciiTheme="minorHAnsi" w:hAnsiTheme="minorHAnsi" w:cstheme="minorHAnsi"/>
        </w:rPr>
        <w:t xml:space="preserve"> y Violeta </w:t>
      </w:r>
      <w:proofErr w:type="spellStart"/>
      <w:r w:rsidRPr="005D2BA1">
        <w:rPr>
          <w:rFonts w:asciiTheme="minorHAnsi" w:hAnsiTheme="minorHAnsi" w:cstheme="minorHAnsi"/>
        </w:rPr>
        <w:t>Bosico</w:t>
      </w:r>
      <w:proofErr w:type="spellEnd"/>
      <w:r w:rsidRPr="005D2BA1">
        <w:rPr>
          <w:rFonts w:asciiTheme="minorHAnsi" w:hAnsiTheme="minorHAnsi" w:cstheme="minorHAnsi"/>
        </w:rPr>
        <w:t xml:space="preserve"> no tenían sus actas de nacimiento ni la nacionalidad dominicana.</w:t>
      </w:r>
    </w:p>
    <w:p w14:paraId="75BC3FD4" w14:textId="77777777" w:rsidR="00991189" w:rsidRPr="005D2BA1" w:rsidRDefault="00991189" w:rsidP="00991189">
      <w:pPr>
        <w:spacing w:after="0" w:line="240" w:lineRule="auto"/>
        <w:jc w:val="both"/>
        <w:rPr>
          <w:rFonts w:cstheme="minorHAnsi"/>
          <w:sz w:val="24"/>
          <w:szCs w:val="24"/>
          <w:lang w:eastAsia="es-MX"/>
        </w:rPr>
      </w:pPr>
    </w:p>
    <w:p w14:paraId="51E9B182" w14:textId="77777777" w:rsidR="00991189" w:rsidRPr="005D2BA1" w:rsidRDefault="00991189" w:rsidP="00991189">
      <w:pPr>
        <w:pStyle w:val="Prrafodelista"/>
        <w:numPr>
          <w:ilvl w:val="0"/>
          <w:numId w:val="13"/>
        </w:numPr>
        <w:jc w:val="both"/>
        <w:rPr>
          <w:rFonts w:asciiTheme="minorHAnsi" w:hAnsiTheme="minorHAnsi" w:cstheme="minorHAnsi"/>
        </w:rPr>
      </w:pPr>
      <w:r w:rsidRPr="005D2BA1">
        <w:rPr>
          <w:rFonts w:asciiTheme="minorHAnsi" w:hAnsiTheme="minorHAnsi" w:cstheme="minorHAnsi"/>
        </w:rPr>
        <w:t xml:space="preserve">El 8 de septiembre de 1999, </w:t>
      </w:r>
      <w:proofErr w:type="gramStart"/>
      <w:r w:rsidRPr="005D2BA1">
        <w:rPr>
          <w:rFonts w:asciiTheme="minorHAnsi" w:hAnsiTheme="minorHAnsi" w:cstheme="minorHAnsi"/>
        </w:rPr>
        <w:t>en razón de</w:t>
      </w:r>
      <w:proofErr w:type="gramEnd"/>
      <w:r w:rsidRPr="005D2BA1">
        <w:rPr>
          <w:rFonts w:asciiTheme="minorHAnsi" w:hAnsiTheme="minorHAnsi" w:cstheme="minorHAnsi"/>
        </w:rPr>
        <w:t xml:space="preserve"> las medidas cautelares ordenadas por la Comisión Interamericana a favor de las niñas Dilcia y Violeta, el Estado ordenó a la Dirección General de Migración que emitiera, a favor de las presuntas víctimas, "certificaciones temporales de estadía en el país hasta tanto se conociera y se definiera su status migratorio en la República Dominicana".</w:t>
      </w:r>
    </w:p>
    <w:p w14:paraId="0D4BAE0F" w14:textId="77777777" w:rsidR="00991189" w:rsidRPr="005D2BA1" w:rsidRDefault="00991189" w:rsidP="00991189">
      <w:pPr>
        <w:spacing w:after="0" w:line="240" w:lineRule="auto"/>
        <w:jc w:val="both"/>
        <w:rPr>
          <w:rFonts w:cstheme="minorHAnsi"/>
          <w:sz w:val="24"/>
          <w:szCs w:val="24"/>
          <w:lang w:eastAsia="es-MX"/>
        </w:rPr>
      </w:pPr>
    </w:p>
    <w:p w14:paraId="2B612328" w14:textId="77777777" w:rsidR="00991189" w:rsidRPr="005D2BA1" w:rsidRDefault="00991189" w:rsidP="00991189">
      <w:pPr>
        <w:pStyle w:val="Prrafodelista"/>
        <w:numPr>
          <w:ilvl w:val="0"/>
          <w:numId w:val="13"/>
        </w:numPr>
        <w:jc w:val="both"/>
        <w:rPr>
          <w:rFonts w:asciiTheme="minorHAnsi" w:hAnsiTheme="minorHAnsi" w:cstheme="minorHAnsi"/>
        </w:rPr>
      </w:pPr>
      <w:r w:rsidRPr="005D2BA1">
        <w:rPr>
          <w:rFonts w:asciiTheme="minorHAnsi" w:hAnsiTheme="minorHAnsi" w:cstheme="minorHAnsi"/>
        </w:rPr>
        <w:t xml:space="preserve">El 21 de septiembre de 2001, luego de comunicarse con funcionarios de la Secretaría de Relaciones Exteriores, las señoras </w:t>
      </w:r>
      <w:proofErr w:type="spellStart"/>
      <w:r w:rsidRPr="005D2BA1">
        <w:rPr>
          <w:rFonts w:asciiTheme="minorHAnsi" w:hAnsiTheme="minorHAnsi" w:cstheme="minorHAnsi"/>
        </w:rPr>
        <w:t>Leonidas</w:t>
      </w:r>
      <w:proofErr w:type="spellEnd"/>
      <w:r w:rsidRPr="005D2BA1">
        <w:rPr>
          <w:rFonts w:asciiTheme="minorHAnsi" w:hAnsiTheme="minorHAnsi" w:cstheme="minorHAnsi"/>
        </w:rPr>
        <w:t xml:space="preserve"> Oliven </w:t>
      </w:r>
      <w:proofErr w:type="spellStart"/>
      <w:r w:rsidRPr="005D2BA1">
        <w:rPr>
          <w:rFonts w:asciiTheme="minorHAnsi" w:hAnsiTheme="minorHAnsi" w:cstheme="minorHAnsi"/>
        </w:rPr>
        <w:t>Yean</w:t>
      </w:r>
      <w:proofErr w:type="spellEnd"/>
      <w:r w:rsidRPr="005D2BA1">
        <w:rPr>
          <w:rFonts w:asciiTheme="minorHAnsi" w:hAnsiTheme="minorHAnsi" w:cstheme="minorHAnsi"/>
        </w:rPr>
        <w:t xml:space="preserve"> y </w:t>
      </w:r>
      <w:proofErr w:type="spellStart"/>
      <w:r w:rsidRPr="005D2BA1">
        <w:rPr>
          <w:rFonts w:asciiTheme="minorHAnsi" w:hAnsiTheme="minorHAnsi" w:cstheme="minorHAnsi"/>
        </w:rPr>
        <w:t>Tiramen</w:t>
      </w:r>
      <w:proofErr w:type="spellEnd"/>
      <w:r w:rsidRPr="005D2BA1">
        <w:rPr>
          <w:rFonts w:asciiTheme="minorHAnsi" w:hAnsiTheme="minorHAnsi" w:cstheme="minorHAnsi"/>
        </w:rPr>
        <w:t xml:space="preserve"> </w:t>
      </w:r>
      <w:proofErr w:type="spellStart"/>
      <w:r w:rsidRPr="005D2BA1">
        <w:rPr>
          <w:rFonts w:asciiTheme="minorHAnsi" w:hAnsiTheme="minorHAnsi" w:cstheme="minorHAnsi"/>
        </w:rPr>
        <w:t>Bosico</w:t>
      </w:r>
      <w:proofErr w:type="spellEnd"/>
      <w:r w:rsidRPr="005D2BA1">
        <w:rPr>
          <w:rFonts w:asciiTheme="minorHAnsi" w:hAnsiTheme="minorHAnsi" w:cstheme="minorHAnsi"/>
        </w:rPr>
        <w:t xml:space="preserve"> </w:t>
      </w:r>
      <w:proofErr w:type="spellStart"/>
      <w:r w:rsidRPr="005D2BA1">
        <w:rPr>
          <w:rFonts w:asciiTheme="minorHAnsi" w:hAnsiTheme="minorHAnsi" w:cstheme="minorHAnsi"/>
        </w:rPr>
        <w:t>Cofi</w:t>
      </w:r>
      <w:proofErr w:type="spellEnd"/>
      <w:r w:rsidRPr="005D2BA1">
        <w:rPr>
          <w:rFonts w:asciiTheme="minorHAnsi" w:hAnsiTheme="minorHAnsi" w:cstheme="minorHAnsi"/>
        </w:rPr>
        <w:t xml:space="preserve">, acompañadas del señor Genaro Rincón </w:t>
      </w:r>
      <w:proofErr w:type="spellStart"/>
      <w:r w:rsidRPr="005D2BA1">
        <w:rPr>
          <w:rFonts w:asciiTheme="minorHAnsi" w:hAnsiTheme="minorHAnsi" w:cstheme="minorHAnsi"/>
        </w:rPr>
        <w:t>Miesse</w:t>
      </w:r>
      <w:proofErr w:type="spellEnd"/>
      <w:r w:rsidRPr="005D2BA1">
        <w:rPr>
          <w:rFonts w:asciiTheme="minorHAnsi" w:hAnsiTheme="minorHAnsi" w:cstheme="minorHAnsi"/>
        </w:rPr>
        <w:t xml:space="preserve">, se dirigieron a la Oficialía del Estado </w:t>
      </w:r>
      <w:r w:rsidRPr="005D2BA1">
        <w:rPr>
          <w:rFonts w:asciiTheme="minorHAnsi" w:hAnsiTheme="minorHAnsi" w:cstheme="minorHAnsi"/>
        </w:rPr>
        <w:lastRenderedPageBreak/>
        <w:t xml:space="preserve">Civil de la Primera Circunscripción para realizar las inscripciones de nacimiento de sus hijas Dilcia </w:t>
      </w:r>
      <w:proofErr w:type="spellStart"/>
      <w:r w:rsidRPr="005D2BA1">
        <w:rPr>
          <w:rFonts w:asciiTheme="minorHAnsi" w:hAnsiTheme="minorHAnsi" w:cstheme="minorHAnsi"/>
        </w:rPr>
        <w:t>Yean</w:t>
      </w:r>
      <w:proofErr w:type="spellEnd"/>
      <w:r w:rsidRPr="005D2BA1">
        <w:rPr>
          <w:rFonts w:asciiTheme="minorHAnsi" w:hAnsiTheme="minorHAnsi" w:cstheme="minorHAnsi"/>
        </w:rPr>
        <w:t xml:space="preserve"> y Violeta </w:t>
      </w:r>
      <w:proofErr w:type="spellStart"/>
      <w:r w:rsidRPr="005D2BA1">
        <w:rPr>
          <w:rFonts w:asciiTheme="minorHAnsi" w:hAnsiTheme="minorHAnsi" w:cstheme="minorHAnsi"/>
        </w:rPr>
        <w:t>Bosico</w:t>
      </w:r>
      <w:proofErr w:type="spellEnd"/>
      <w:r w:rsidRPr="005D2BA1">
        <w:rPr>
          <w:rFonts w:asciiTheme="minorHAnsi" w:hAnsiTheme="minorHAnsi" w:cstheme="minorHAnsi"/>
        </w:rPr>
        <w:t>, respectivamente.  En la Oficialía no se les requirió que pagaran impuesto alguno, ni que firmaran documentos o que prestaran una declaración pública.</w:t>
      </w:r>
    </w:p>
    <w:p w14:paraId="488E87BA" w14:textId="77777777" w:rsidR="00991189" w:rsidRPr="005D2BA1" w:rsidRDefault="00991189" w:rsidP="00991189">
      <w:pPr>
        <w:spacing w:after="0" w:line="240" w:lineRule="auto"/>
        <w:jc w:val="both"/>
        <w:rPr>
          <w:rFonts w:cstheme="minorHAnsi"/>
          <w:sz w:val="24"/>
          <w:szCs w:val="24"/>
          <w:lang w:eastAsia="es-MX"/>
        </w:rPr>
      </w:pPr>
    </w:p>
    <w:p w14:paraId="1EF9CE61" w14:textId="77777777" w:rsidR="00991189" w:rsidRPr="005D2BA1" w:rsidRDefault="00991189" w:rsidP="00991189">
      <w:pPr>
        <w:pStyle w:val="Prrafodelista"/>
        <w:numPr>
          <w:ilvl w:val="0"/>
          <w:numId w:val="13"/>
        </w:numPr>
        <w:jc w:val="both"/>
        <w:rPr>
          <w:rFonts w:asciiTheme="minorHAnsi" w:hAnsiTheme="minorHAnsi" w:cstheme="minorHAnsi"/>
        </w:rPr>
      </w:pPr>
      <w:r w:rsidRPr="005D2BA1">
        <w:rPr>
          <w:rFonts w:asciiTheme="minorHAnsi" w:hAnsiTheme="minorHAnsi" w:cstheme="minorHAnsi"/>
        </w:rPr>
        <w:t xml:space="preserve">El 25 de septiembre de 2001 el Estado otorgó a la niña Dilcia Oliven </w:t>
      </w:r>
      <w:proofErr w:type="spellStart"/>
      <w:r w:rsidRPr="005D2BA1">
        <w:rPr>
          <w:rFonts w:asciiTheme="minorHAnsi" w:hAnsiTheme="minorHAnsi" w:cstheme="minorHAnsi"/>
        </w:rPr>
        <w:t>Yean</w:t>
      </w:r>
      <w:proofErr w:type="spellEnd"/>
      <w:r w:rsidRPr="005D2BA1">
        <w:rPr>
          <w:rFonts w:asciiTheme="minorHAnsi" w:hAnsiTheme="minorHAnsi" w:cstheme="minorHAnsi"/>
        </w:rPr>
        <w:t xml:space="preserve"> el acta de nacimiento emitida por la Oficialía del Estado Civil de la Primera Circunscripción de Distrito Nacional de la República Dominicana.</w:t>
      </w:r>
    </w:p>
    <w:p w14:paraId="706F109D" w14:textId="77777777" w:rsidR="00991189" w:rsidRPr="005D2BA1" w:rsidRDefault="00991189" w:rsidP="00991189">
      <w:pPr>
        <w:spacing w:after="0" w:line="240" w:lineRule="auto"/>
        <w:jc w:val="both"/>
        <w:rPr>
          <w:rFonts w:cstheme="minorHAnsi"/>
          <w:sz w:val="24"/>
          <w:szCs w:val="24"/>
          <w:lang w:eastAsia="es-MX"/>
        </w:rPr>
      </w:pPr>
    </w:p>
    <w:p w14:paraId="6FDD4BC5" w14:textId="77777777" w:rsidR="00991189" w:rsidRPr="005D2BA1" w:rsidRDefault="00991189" w:rsidP="00991189">
      <w:pPr>
        <w:pStyle w:val="Prrafodelista"/>
        <w:numPr>
          <w:ilvl w:val="0"/>
          <w:numId w:val="13"/>
        </w:numPr>
        <w:jc w:val="both"/>
        <w:rPr>
          <w:rFonts w:asciiTheme="minorHAnsi" w:hAnsiTheme="minorHAnsi" w:cstheme="minorHAnsi"/>
        </w:rPr>
      </w:pPr>
      <w:r w:rsidRPr="005D2BA1">
        <w:rPr>
          <w:rFonts w:asciiTheme="minorHAnsi" w:hAnsiTheme="minorHAnsi" w:cstheme="minorHAnsi"/>
        </w:rPr>
        <w:t xml:space="preserve">El 25 de septiembre de 2001 el Estado otorgó a la niña Violeta </w:t>
      </w:r>
      <w:proofErr w:type="spellStart"/>
      <w:r w:rsidRPr="005D2BA1">
        <w:rPr>
          <w:rFonts w:asciiTheme="minorHAnsi" w:hAnsiTheme="minorHAnsi" w:cstheme="minorHAnsi"/>
        </w:rPr>
        <w:t>Bosico</w:t>
      </w:r>
      <w:proofErr w:type="spellEnd"/>
      <w:r w:rsidRPr="005D2BA1">
        <w:rPr>
          <w:rFonts w:asciiTheme="minorHAnsi" w:hAnsiTheme="minorHAnsi" w:cstheme="minorHAnsi"/>
        </w:rPr>
        <w:t xml:space="preserve"> el acta de nacimiento emitida por la Oficialía del Estado Civil de la Primera Circunscripción de Distrito Nacional de la República Dominicana</w:t>
      </w:r>
    </w:p>
    <w:p w14:paraId="17B0C4C6" w14:textId="77777777" w:rsidR="00991189" w:rsidRPr="005D2BA1" w:rsidRDefault="00991189" w:rsidP="00991189">
      <w:pPr>
        <w:spacing w:after="0" w:line="240" w:lineRule="auto"/>
        <w:jc w:val="both"/>
        <w:rPr>
          <w:rFonts w:cstheme="minorHAnsi"/>
          <w:sz w:val="24"/>
          <w:szCs w:val="24"/>
          <w:lang w:eastAsia="es-MX"/>
        </w:rPr>
      </w:pPr>
    </w:p>
    <w:p w14:paraId="73798B4F" w14:textId="77777777" w:rsidR="00991189" w:rsidRDefault="00991189" w:rsidP="00991189">
      <w:pPr>
        <w:spacing w:after="0" w:line="240" w:lineRule="auto"/>
        <w:jc w:val="both"/>
        <w:rPr>
          <w:rFonts w:cstheme="minorHAnsi"/>
          <w:b/>
          <w:bCs/>
          <w:sz w:val="24"/>
          <w:szCs w:val="24"/>
          <w:lang w:eastAsia="es-MX"/>
        </w:rPr>
      </w:pPr>
      <w:r w:rsidRPr="005D2BA1">
        <w:rPr>
          <w:rFonts w:cstheme="minorHAnsi"/>
          <w:b/>
          <w:bCs/>
          <w:sz w:val="24"/>
          <w:szCs w:val="24"/>
          <w:lang w:eastAsia="es-MX"/>
        </w:rPr>
        <w:t xml:space="preserve">Consideraciones de la </w:t>
      </w:r>
      <w:proofErr w:type="spellStart"/>
      <w:r w:rsidRPr="005D2BA1">
        <w:rPr>
          <w:rFonts w:cstheme="minorHAnsi"/>
          <w:b/>
          <w:bCs/>
          <w:sz w:val="24"/>
          <w:szCs w:val="24"/>
          <w:lang w:eastAsia="es-MX"/>
        </w:rPr>
        <w:t>CoIDH</w:t>
      </w:r>
      <w:proofErr w:type="spellEnd"/>
    </w:p>
    <w:p w14:paraId="18E25C6C" w14:textId="77777777" w:rsidR="00991189" w:rsidRPr="005D2BA1" w:rsidRDefault="00991189" w:rsidP="00991189">
      <w:pPr>
        <w:spacing w:after="0" w:line="240" w:lineRule="auto"/>
        <w:jc w:val="both"/>
        <w:rPr>
          <w:rFonts w:cstheme="minorHAnsi"/>
          <w:b/>
          <w:bCs/>
          <w:sz w:val="24"/>
          <w:szCs w:val="24"/>
          <w:lang w:eastAsia="es-MX"/>
        </w:rPr>
      </w:pPr>
    </w:p>
    <w:p w14:paraId="3F00657D" w14:textId="77777777" w:rsidR="00991189" w:rsidRPr="00A94E1C" w:rsidRDefault="00991189" w:rsidP="00991189">
      <w:pPr>
        <w:spacing w:after="0" w:line="240" w:lineRule="auto"/>
        <w:jc w:val="both"/>
        <w:rPr>
          <w:rFonts w:cstheme="minorHAnsi"/>
          <w:sz w:val="24"/>
          <w:szCs w:val="24"/>
          <w:lang w:eastAsia="es-MX"/>
        </w:rPr>
      </w:pPr>
      <w:r w:rsidRPr="00A94E1C">
        <w:rPr>
          <w:rFonts w:cstheme="minorHAnsi"/>
          <w:sz w:val="24"/>
          <w:szCs w:val="24"/>
          <w:lang w:eastAsia="es-MX"/>
        </w:rPr>
        <w:t>La Corte consideró que el Estado, al no indicar expresamente durante el procedimiento de admisibilidad ante la Comisión Interamericana cuáles serían los recursos idóneos y efectivos que deberían haber sido agotados, renunció implícitamente a un medio de defensa que la Convención Americana establece en su favor e incurrió en admisión tácita de la inexistencia de dichos recursos o del oportuno agotamiento de éstos.  Dado lo anterior, el Estado estaba impedido de alegar el no agotamiento de los recursos jerárquico, de amparo, de inconstitucionalidad, y de reconsideración ante el Oficial del Estado Civil y ante el juzgado de primera instancia, en el procedimiento ante la Corte.</w:t>
      </w:r>
    </w:p>
    <w:p w14:paraId="0D42467A" w14:textId="77777777" w:rsidR="00991189" w:rsidRPr="00A94E1C" w:rsidRDefault="00991189" w:rsidP="00991189">
      <w:pPr>
        <w:spacing w:after="0" w:line="240" w:lineRule="auto"/>
        <w:jc w:val="both"/>
        <w:rPr>
          <w:rFonts w:cstheme="minorHAnsi"/>
          <w:sz w:val="24"/>
          <w:szCs w:val="24"/>
          <w:lang w:eastAsia="es-MX"/>
        </w:rPr>
      </w:pPr>
    </w:p>
    <w:p w14:paraId="42967689" w14:textId="77777777" w:rsidR="00991189" w:rsidRPr="00A94E1C" w:rsidRDefault="00991189" w:rsidP="00991189">
      <w:pPr>
        <w:spacing w:after="0" w:line="240" w:lineRule="auto"/>
        <w:jc w:val="both"/>
        <w:rPr>
          <w:rFonts w:cstheme="minorHAnsi"/>
          <w:sz w:val="24"/>
          <w:szCs w:val="24"/>
          <w:lang w:eastAsia="es-MX"/>
        </w:rPr>
      </w:pPr>
      <w:r w:rsidRPr="00A94E1C">
        <w:rPr>
          <w:rFonts w:cstheme="minorHAnsi"/>
          <w:sz w:val="24"/>
          <w:szCs w:val="24"/>
          <w:lang w:eastAsia="es-MX"/>
        </w:rPr>
        <w:t xml:space="preserve">La Corte estimó necesario resaltar que, si bien la denegación de la solicitud de inscripción tardía de nacimiento en el registro civil de las niñas ocurrió el 5 de marzo de 1997 y la decisión del Procurador Fiscal que confirmó dicha denegación fue dictada el 20 de julio de 1998, ambos hechos determinaron que las niñas Dilcia </w:t>
      </w:r>
      <w:proofErr w:type="spellStart"/>
      <w:r w:rsidRPr="00A94E1C">
        <w:rPr>
          <w:rFonts w:cstheme="minorHAnsi"/>
          <w:sz w:val="24"/>
          <w:szCs w:val="24"/>
          <w:lang w:eastAsia="es-MX"/>
        </w:rPr>
        <w:t>Yean</w:t>
      </w:r>
      <w:proofErr w:type="spellEnd"/>
      <w:r w:rsidRPr="00A94E1C">
        <w:rPr>
          <w:rFonts w:cstheme="minorHAnsi"/>
          <w:sz w:val="24"/>
          <w:szCs w:val="24"/>
          <w:lang w:eastAsia="es-MX"/>
        </w:rPr>
        <w:t xml:space="preserve"> y Violeta </w:t>
      </w:r>
      <w:proofErr w:type="spellStart"/>
      <w:r w:rsidRPr="00A94E1C">
        <w:rPr>
          <w:rFonts w:cstheme="minorHAnsi"/>
          <w:sz w:val="24"/>
          <w:szCs w:val="24"/>
          <w:lang w:eastAsia="es-MX"/>
        </w:rPr>
        <w:t>Bosico</w:t>
      </w:r>
      <w:proofErr w:type="spellEnd"/>
      <w:r w:rsidRPr="00A94E1C">
        <w:rPr>
          <w:rFonts w:cstheme="minorHAnsi"/>
          <w:sz w:val="24"/>
          <w:szCs w:val="24"/>
          <w:lang w:eastAsia="es-MX"/>
        </w:rPr>
        <w:t xml:space="preserve"> estuviesen sin nacionalidad hasta el 25 de septiembre de 2001. Consecuentemente, dicha denegación persistió después del 25 de marzo de 1999, fecha de reconocimiento de la competencia contenciosa de la Corte por la República Dominicana, razón por la cual este Tribunal afirma su competencia para conocer de dicha denegación.</w:t>
      </w:r>
    </w:p>
    <w:p w14:paraId="214E32CC" w14:textId="77777777" w:rsidR="00991189" w:rsidRPr="00A94E1C" w:rsidRDefault="00991189" w:rsidP="00991189">
      <w:pPr>
        <w:spacing w:after="0" w:line="240" w:lineRule="auto"/>
        <w:jc w:val="both"/>
        <w:rPr>
          <w:rFonts w:cstheme="minorHAnsi"/>
          <w:sz w:val="24"/>
          <w:szCs w:val="24"/>
          <w:lang w:eastAsia="es-MX"/>
        </w:rPr>
      </w:pPr>
    </w:p>
    <w:p w14:paraId="4FFF8B75" w14:textId="77777777" w:rsidR="00991189" w:rsidRPr="00A94E1C" w:rsidRDefault="00991189" w:rsidP="00991189">
      <w:pPr>
        <w:spacing w:after="0" w:line="240" w:lineRule="auto"/>
        <w:jc w:val="both"/>
        <w:rPr>
          <w:rFonts w:cstheme="minorHAnsi"/>
          <w:sz w:val="24"/>
          <w:szCs w:val="24"/>
          <w:lang w:eastAsia="es-MX"/>
        </w:rPr>
      </w:pPr>
      <w:r w:rsidRPr="00A94E1C">
        <w:rPr>
          <w:rFonts w:cstheme="minorHAnsi"/>
          <w:sz w:val="24"/>
          <w:szCs w:val="24"/>
          <w:lang w:eastAsia="es-MX"/>
        </w:rPr>
        <w:t>La Corte consideró que el principio de derecho imperativo de protección igualitaria y efectiva de la ley y no discriminación determinaba que los Estados, al regular los mecanismos de otorgamiento de la nacionalidad, deben abstenerse de producir regulaciones discriminatorias o que tengan efectos discriminatorios en los diferentes grupos de una población al momento de ejercer sus derechos.  Además, los Estados deben combatir las prácticas discriminatorias en todos sus niveles, en especial en los órganos públicos, y finalmente debe adoptar las medidas afirmativas necesarias para asegurar una efectiva igualdad ante la ley de todas las personas.</w:t>
      </w:r>
    </w:p>
    <w:p w14:paraId="1995EF0F" w14:textId="77777777" w:rsidR="00991189" w:rsidRPr="00A94E1C" w:rsidRDefault="00991189" w:rsidP="00991189">
      <w:pPr>
        <w:spacing w:after="0" w:line="240" w:lineRule="auto"/>
        <w:jc w:val="both"/>
        <w:rPr>
          <w:rFonts w:cstheme="minorHAnsi"/>
          <w:sz w:val="24"/>
          <w:szCs w:val="24"/>
          <w:lang w:eastAsia="es-MX"/>
        </w:rPr>
      </w:pPr>
    </w:p>
    <w:p w14:paraId="2800C6FA" w14:textId="77777777" w:rsidR="00991189" w:rsidRPr="00A94E1C" w:rsidRDefault="00991189" w:rsidP="00991189">
      <w:pPr>
        <w:spacing w:after="0" w:line="240" w:lineRule="auto"/>
        <w:jc w:val="both"/>
        <w:rPr>
          <w:rFonts w:cstheme="minorHAnsi"/>
          <w:sz w:val="24"/>
          <w:szCs w:val="24"/>
          <w:lang w:eastAsia="es-MX"/>
        </w:rPr>
      </w:pPr>
      <w:r w:rsidRPr="00A94E1C">
        <w:rPr>
          <w:rFonts w:cstheme="minorHAnsi"/>
          <w:sz w:val="24"/>
          <w:szCs w:val="24"/>
          <w:lang w:eastAsia="es-MX"/>
        </w:rPr>
        <w:t xml:space="preserve">La Corte consideró necesario señalar que el deber de respetar y garantizar el principio de la igualdad ante la ley y no discriminación es independiente del estatus migratorio de una </w:t>
      </w:r>
      <w:r w:rsidRPr="00A94E1C">
        <w:rPr>
          <w:rFonts w:cstheme="minorHAnsi"/>
          <w:sz w:val="24"/>
          <w:szCs w:val="24"/>
          <w:lang w:eastAsia="es-MX"/>
        </w:rPr>
        <w:lastRenderedPageBreak/>
        <w:t>persona en un Estado.  Es decir, los Estados tienen la obligación de garantizar este principio fundamental a sus ciudadanos y a toda persona extranjera que se encuentre en su territorio, sin discriminación alguna por su estancia regular o irregular, su nacionalidad, raza, género o cualquier otra causa.</w:t>
      </w:r>
    </w:p>
    <w:p w14:paraId="40DE24F6" w14:textId="77777777" w:rsidR="00991189" w:rsidRPr="00A94E1C" w:rsidRDefault="00991189" w:rsidP="00991189">
      <w:pPr>
        <w:spacing w:after="0" w:line="240" w:lineRule="auto"/>
        <w:jc w:val="both"/>
        <w:rPr>
          <w:rFonts w:cstheme="minorHAnsi"/>
          <w:sz w:val="24"/>
          <w:szCs w:val="24"/>
          <w:lang w:eastAsia="es-MX"/>
        </w:rPr>
      </w:pPr>
    </w:p>
    <w:p w14:paraId="253CB76D" w14:textId="77777777" w:rsidR="00991189" w:rsidRPr="00A94E1C" w:rsidRDefault="00991189" w:rsidP="00991189">
      <w:pPr>
        <w:spacing w:after="0" w:line="240" w:lineRule="auto"/>
        <w:jc w:val="both"/>
        <w:rPr>
          <w:rFonts w:cstheme="minorHAnsi"/>
          <w:sz w:val="24"/>
          <w:szCs w:val="24"/>
          <w:lang w:eastAsia="es-MX"/>
        </w:rPr>
      </w:pPr>
      <w:r w:rsidRPr="00A94E1C">
        <w:rPr>
          <w:rFonts w:cstheme="minorHAnsi"/>
          <w:sz w:val="24"/>
          <w:szCs w:val="24"/>
          <w:lang w:eastAsia="es-MX"/>
        </w:rPr>
        <w:t xml:space="preserve">La Corte consideró que al presentarse ante la Oficialía del Estado Civil y realizar la solicitud de inscripción tardía las niñas hicieron exigible su derecho a la nacionalidad, para lo cual cumplieron con la presentación de la constancia de nacimiento y de la cédula de sus madres, que eran los dos requisitos que se les debía aplicar, conforme a la legislación interna pertinente y </w:t>
      </w:r>
      <w:proofErr w:type="gramStart"/>
      <w:r w:rsidRPr="00A94E1C">
        <w:rPr>
          <w:rFonts w:cstheme="minorHAnsi"/>
          <w:sz w:val="24"/>
          <w:szCs w:val="24"/>
          <w:lang w:eastAsia="es-MX"/>
        </w:rPr>
        <w:t>de acuerdo a</w:t>
      </w:r>
      <w:proofErr w:type="gramEnd"/>
      <w:r w:rsidRPr="00A94E1C">
        <w:rPr>
          <w:rFonts w:cstheme="minorHAnsi"/>
          <w:sz w:val="24"/>
          <w:szCs w:val="24"/>
          <w:lang w:eastAsia="es-MX"/>
        </w:rPr>
        <w:t xml:space="preserve"> sus edades. Pese a lo anterior, el Estado rechazó la solicitud, y denegó la nacionalidad dominicana a las presuntas víctimas.</w:t>
      </w:r>
    </w:p>
    <w:p w14:paraId="2555A412" w14:textId="77777777" w:rsidR="00991189" w:rsidRPr="00A94E1C" w:rsidRDefault="00991189" w:rsidP="00991189">
      <w:pPr>
        <w:spacing w:after="0" w:line="240" w:lineRule="auto"/>
        <w:jc w:val="both"/>
        <w:rPr>
          <w:rFonts w:cstheme="minorHAnsi"/>
          <w:sz w:val="24"/>
          <w:szCs w:val="24"/>
          <w:lang w:eastAsia="es-MX"/>
        </w:rPr>
      </w:pPr>
    </w:p>
    <w:p w14:paraId="6184075A" w14:textId="77777777" w:rsidR="00991189" w:rsidRPr="00A94E1C" w:rsidRDefault="00991189" w:rsidP="00991189">
      <w:pPr>
        <w:spacing w:after="0" w:line="240" w:lineRule="auto"/>
        <w:jc w:val="both"/>
        <w:rPr>
          <w:rFonts w:cstheme="minorHAnsi"/>
          <w:sz w:val="24"/>
          <w:szCs w:val="24"/>
          <w:lang w:eastAsia="es-MX"/>
        </w:rPr>
      </w:pPr>
      <w:r w:rsidRPr="00A94E1C">
        <w:rPr>
          <w:rFonts w:cstheme="minorHAnsi"/>
          <w:sz w:val="24"/>
          <w:szCs w:val="24"/>
          <w:lang w:eastAsia="es-MX"/>
        </w:rPr>
        <w:t xml:space="preserve">La Corte encontró que por razones discriminatorias y contrarias a la normativa interna pertinente, el Estado dejó de otorgar la nacionalidad a las niñas, lo que constituyó una privación arbitraria de su nacionalidad, y las dejó apátridas por más de cuatro años y cuatro meses, en violación de los artículos 20 y 24 de la Convención Americana, en relación con el artículo 19 de la misma, y también en relación con el artículo 1.1 de este instrumento, en perjuicio de las niñas Dilcia </w:t>
      </w:r>
      <w:proofErr w:type="spellStart"/>
      <w:r w:rsidRPr="00A94E1C">
        <w:rPr>
          <w:rFonts w:cstheme="minorHAnsi"/>
          <w:sz w:val="24"/>
          <w:szCs w:val="24"/>
          <w:lang w:eastAsia="es-MX"/>
        </w:rPr>
        <w:t>Yean</w:t>
      </w:r>
      <w:proofErr w:type="spellEnd"/>
      <w:r w:rsidRPr="00A94E1C">
        <w:rPr>
          <w:rFonts w:cstheme="minorHAnsi"/>
          <w:sz w:val="24"/>
          <w:szCs w:val="24"/>
          <w:lang w:eastAsia="es-MX"/>
        </w:rPr>
        <w:t xml:space="preserve"> y Violeta </w:t>
      </w:r>
      <w:proofErr w:type="spellStart"/>
      <w:r w:rsidRPr="00A94E1C">
        <w:rPr>
          <w:rFonts w:cstheme="minorHAnsi"/>
          <w:sz w:val="24"/>
          <w:szCs w:val="24"/>
          <w:lang w:eastAsia="es-MX"/>
        </w:rPr>
        <w:t>Bosico</w:t>
      </w:r>
      <w:proofErr w:type="spellEnd"/>
      <w:r w:rsidRPr="00A94E1C">
        <w:rPr>
          <w:rFonts w:cstheme="minorHAnsi"/>
          <w:sz w:val="24"/>
          <w:szCs w:val="24"/>
          <w:lang w:eastAsia="es-MX"/>
        </w:rPr>
        <w:t>.</w:t>
      </w:r>
    </w:p>
    <w:p w14:paraId="211AE61B" w14:textId="77777777" w:rsidR="00991189" w:rsidRPr="00A94E1C" w:rsidRDefault="00991189" w:rsidP="00991189">
      <w:pPr>
        <w:spacing w:after="0" w:line="240" w:lineRule="auto"/>
        <w:jc w:val="both"/>
        <w:rPr>
          <w:rFonts w:cstheme="minorHAnsi"/>
          <w:sz w:val="24"/>
          <w:szCs w:val="24"/>
          <w:lang w:eastAsia="es-MX"/>
        </w:rPr>
      </w:pPr>
    </w:p>
    <w:p w14:paraId="1FFA6E8E" w14:textId="77777777" w:rsidR="00991189" w:rsidRPr="00A94E1C" w:rsidRDefault="00991189" w:rsidP="00991189">
      <w:pPr>
        <w:spacing w:after="0" w:line="240" w:lineRule="auto"/>
        <w:jc w:val="both"/>
        <w:rPr>
          <w:rFonts w:cstheme="minorHAnsi"/>
          <w:sz w:val="24"/>
          <w:szCs w:val="24"/>
          <w:lang w:eastAsia="es-MX"/>
        </w:rPr>
      </w:pPr>
      <w:r w:rsidRPr="00A94E1C">
        <w:rPr>
          <w:rFonts w:cstheme="minorHAnsi"/>
          <w:sz w:val="24"/>
          <w:szCs w:val="24"/>
          <w:lang w:eastAsia="es-MX"/>
        </w:rPr>
        <w:t xml:space="preserve">La Corte observó que la violación del derecho a la nacionalidad de las niñas </w:t>
      </w:r>
      <w:proofErr w:type="spellStart"/>
      <w:r w:rsidRPr="00A94E1C">
        <w:rPr>
          <w:rFonts w:cstheme="minorHAnsi"/>
          <w:sz w:val="24"/>
          <w:szCs w:val="24"/>
          <w:lang w:eastAsia="es-MX"/>
        </w:rPr>
        <w:t>Yean</w:t>
      </w:r>
      <w:proofErr w:type="spellEnd"/>
      <w:r w:rsidRPr="00A94E1C">
        <w:rPr>
          <w:rFonts w:cstheme="minorHAnsi"/>
          <w:sz w:val="24"/>
          <w:szCs w:val="24"/>
          <w:lang w:eastAsia="es-MX"/>
        </w:rPr>
        <w:t xml:space="preserve"> y </w:t>
      </w:r>
      <w:proofErr w:type="spellStart"/>
      <w:r w:rsidRPr="00A94E1C">
        <w:rPr>
          <w:rFonts w:cstheme="minorHAnsi"/>
          <w:sz w:val="24"/>
          <w:szCs w:val="24"/>
          <w:lang w:eastAsia="es-MX"/>
        </w:rPr>
        <w:t>Bosico</w:t>
      </w:r>
      <w:proofErr w:type="spellEnd"/>
      <w:r w:rsidRPr="00A94E1C">
        <w:rPr>
          <w:rFonts w:cstheme="minorHAnsi"/>
          <w:sz w:val="24"/>
          <w:szCs w:val="24"/>
          <w:lang w:eastAsia="es-MX"/>
        </w:rPr>
        <w:t>, la condición de apátridas en que fueron mantenidas, y el no reconocimiento de su personalidad jurídica ni de su nombre, desnaturalizó y negó la proyección externa o social de su personalidad.</w:t>
      </w:r>
    </w:p>
    <w:p w14:paraId="657001C5" w14:textId="77777777" w:rsidR="00991189" w:rsidRPr="00A94E1C" w:rsidRDefault="00991189" w:rsidP="00991189">
      <w:pPr>
        <w:spacing w:after="0" w:line="240" w:lineRule="auto"/>
        <w:jc w:val="both"/>
        <w:rPr>
          <w:rFonts w:cstheme="minorHAnsi"/>
          <w:sz w:val="24"/>
          <w:szCs w:val="24"/>
          <w:lang w:eastAsia="es-MX"/>
        </w:rPr>
      </w:pPr>
    </w:p>
    <w:p w14:paraId="1500C7A6" w14:textId="77777777" w:rsidR="00991189" w:rsidRDefault="00991189" w:rsidP="00991189">
      <w:pPr>
        <w:spacing w:after="0" w:line="240" w:lineRule="auto"/>
        <w:jc w:val="both"/>
        <w:rPr>
          <w:rFonts w:cstheme="minorHAnsi"/>
          <w:b/>
          <w:bCs/>
          <w:sz w:val="24"/>
          <w:szCs w:val="24"/>
          <w:lang w:eastAsia="es-MX"/>
        </w:rPr>
      </w:pPr>
      <w:r w:rsidRPr="005D2BA1">
        <w:rPr>
          <w:rFonts w:cstheme="minorHAnsi"/>
          <w:b/>
          <w:bCs/>
          <w:sz w:val="24"/>
          <w:szCs w:val="24"/>
          <w:lang w:eastAsia="es-MX"/>
        </w:rPr>
        <w:t>Reparaciones</w:t>
      </w:r>
    </w:p>
    <w:p w14:paraId="59F7E00E" w14:textId="77777777" w:rsidR="00991189" w:rsidRPr="005D2BA1" w:rsidRDefault="00991189" w:rsidP="00991189">
      <w:pPr>
        <w:spacing w:after="0" w:line="240" w:lineRule="auto"/>
        <w:jc w:val="both"/>
        <w:rPr>
          <w:rFonts w:cstheme="minorHAnsi"/>
          <w:b/>
          <w:bCs/>
          <w:sz w:val="24"/>
          <w:szCs w:val="24"/>
          <w:lang w:eastAsia="es-MX"/>
        </w:rPr>
      </w:pPr>
    </w:p>
    <w:p w14:paraId="155B4E22" w14:textId="77777777" w:rsidR="00991189" w:rsidRPr="00A94E1C" w:rsidRDefault="00991189" w:rsidP="00991189">
      <w:pPr>
        <w:spacing w:after="0" w:line="240" w:lineRule="auto"/>
        <w:jc w:val="both"/>
        <w:rPr>
          <w:rFonts w:cstheme="minorHAnsi"/>
          <w:sz w:val="24"/>
          <w:szCs w:val="24"/>
          <w:lang w:eastAsia="es-MX"/>
        </w:rPr>
      </w:pPr>
      <w:r w:rsidRPr="00A94E1C">
        <w:rPr>
          <w:rFonts w:cstheme="minorHAnsi"/>
          <w:sz w:val="24"/>
          <w:szCs w:val="24"/>
          <w:lang w:eastAsia="es-MX"/>
        </w:rPr>
        <w:t>La Corte dispone que:</w:t>
      </w:r>
    </w:p>
    <w:p w14:paraId="6AD1280B" w14:textId="77777777" w:rsidR="00991189" w:rsidRPr="00A94E1C" w:rsidRDefault="00991189" w:rsidP="00991189">
      <w:pPr>
        <w:spacing w:after="0" w:line="240" w:lineRule="auto"/>
        <w:jc w:val="both"/>
        <w:rPr>
          <w:rFonts w:cstheme="minorHAnsi"/>
          <w:sz w:val="24"/>
          <w:szCs w:val="24"/>
          <w:lang w:eastAsia="es-MX"/>
        </w:rPr>
      </w:pPr>
    </w:p>
    <w:p w14:paraId="74FA28F3" w14:textId="77777777" w:rsidR="00991189" w:rsidRPr="005D2BA1" w:rsidRDefault="00991189" w:rsidP="00991189">
      <w:pPr>
        <w:pStyle w:val="Prrafodelista"/>
        <w:numPr>
          <w:ilvl w:val="0"/>
          <w:numId w:val="14"/>
        </w:numPr>
        <w:jc w:val="both"/>
        <w:rPr>
          <w:rFonts w:asciiTheme="minorHAnsi" w:hAnsiTheme="minorHAnsi" w:cstheme="minorHAnsi"/>
        </w:rPr>
      </w:pPr>
      <w:r w:rsidRPr="005D2BA1">
        <w:rPr>
          <w:rFonts w:asciiTheme="minorHAnsi" w:hAnsiTheme="minorHAnsi" w:cstheme="minorHAnsi"/>
        </w:rPr>
        <w:t>Esta Sentencia constituye per se una forma de reparación.</w:t>
      </w:r>
    </w:p>
    <w:p w14:paraId="3C01F554" w14:textId="77777777" w:rsidR="00991189" w:rsidRPr="005D2BA1" w:rsidRDefault="00991189" w:rsidP="00991189">
      <w:pPr>
        <w:spacing w:after="0" w:line="240" w:lineRule="auto"/>
        <w:jc w:val="both"/>
        <w:rPr>
          <w:rFonts w:cstheme="minorHAnsi"/>
          <w:sz w:val="24"/>
          <w:szCs w:val="24"/>
          <w:lang w:eastAsia="es-MX"/>
        </w:rPr>
      </w:pPr>
    </w:p>
    <w:p w14:paraId="322D6584" w14:textId="77777777" w:rsidR="00991189" w:rsidRPr="005D2BA1" w:rsidRDefault="00991189" w:rsidP="00991189">
      <w:pPr>
        <w:pStyle w:val="Prrafodelista"/>
        <w:numPr>
          <w:ilvl w:val="0"/>
          <w:numId w:val="14"/>
        </w:numPr>
        <w:jc w:val="both"/>
        <w:rPr>
          <w:rFonts w:asciiTheme="minorHAnsi" w:hAnsiTheme="minorHAnsi" w:cstheme="minorHAnsi"/>
        </w:rPr>
      </w:pPr>
      <w:r w:rsidRPr="005D2BA1">
        <w:rPr>
          <w:rFonts w:asciiTheme="minorHAnsi" w:hAnsiTheme="minorHAnsi" w:cstheme="minorHAnsi"/>
        </w:rPr>
        <w:t xml:space="preserve">El Estado debe publicar, en el plazo de seis meses, contado a partir de la notificación de la presente Sentencia en el Diario Oficial y en otro diario de circulación nacional en la República Dominicana, al menos por una vez, tanto la Sección denominada "Hechos Probados", sin las notas de pie de página correspondientes, como los puntos resolutivos de la presente Sentencia, en los términos de </w:t>
      </w:r>
      <w:proofErr w:type="gramStart"/>
      <w:r w:rsidRPr="005D2BA1">
        <w:rPr>
          <w:rFonts w:asciiTheme="minorHAnsi" w:hAnsiTheme="minorHAnsi" w:cstheme="minorHAnsi"/>
        </w:rPr>
        <w:t>la misma</w:t>
      </w:r>
      <w:proofErr w:type="gramEnd"/>
      <w:r w:rsidRPr="005D2BA1">
        <w:rPr>
          <w:rFonts w:asciiTheme="minorHAnsi" w:hAnsiTheme="minorHAnsi" w:cstheme="minorHAnsi"/>
        </w:rPr>
        <w:t>.</w:t>
      </w:r>
    </w:p>
    <w:p w14:paraId="129C562B" w14:textId="77777777" w:rsidR="00991189" w:rsidRPr="005D2BA1" w:rsidRDefault="00991189" w:rsidP="00991189">
      <w:pPr>
        <w:spacing w:after="0" w:line="240" w:lineRule="auto"/>
        <w:jc w:val="both"/>
        <w:rPr>
          <w:rFonts w:cstheme="minorHAnsi"/>
          <w:sz w:val="24"/>
          <w:szCs w:val="24"/>
          <w:lang w:eastAsia="es-MX"/>
        </w:rPr>
      </w:pPr>
    </w:p>
    <w:p w14:paraId="12A2619A" w14:textId="77777777" w:rsidR="00991189" w:rsidRPr="005D2BA1" w:rsidRDefault="00991189" w:rsidP="00991189">
      <w:pPr>
        <w:pStyle w:val="Prrafodelista"/>
        <w:numPr>
          <w:ilvl w:val="0"/>
          <w:numId w:val="14"/>
        </w:numPr>
        <w:jc w:val="both"/>
        <w:rPr>
          <w:rFonts w:asciiTheme="minorHAnsi" w:hAnsiTheme="minorHAnsi" w:cstheme="minorHAnsi"/>
        </w:rPr>
      </w:pPr>
      <w:r w:rsidRPr="005D2BA1">
        <w:rPr>
          <w:rFonts w:asciiTheme="minorHAnsi" w:hAnsiTheme="minorHAnsi" w:cstheme="minorHAnsi"/>
        </w:rPr>
        <w:t xml:space="preserve">El Estado debe hacer un acto público de reconocimiento de responsabilidad internacional y de petición de disculpas a las víctimas Dilcia </w:t>
      </w:r>
      <w:proofErr w:type="spellStart"/>
      <w:r w:rsidRPr="005D2BA1">
        <w:rPr>
          <w:rFonts w:asciiTheme="minorHAnsi" w:hAnsiTheme="minorHAnsi" w:cstheme="minorHAnsi"/>
        </w:rPr>
        <w:t>Yean</w:t>
      </w:r>
      <w:proofErr w:type="spellEnd"/>
      <w:r w:rsidRPr="005D2BA1">
        <w:rPr>
          <w:rFonts w:asciiTheme="minorHAnsi" w:hAnsiTheme="minorHAnsi" w:cstheme="minorHAnsi"/>
        </w:rPr>
        <w:t xml:space="preserve"> y Violeta </w:t>
      </w:r>
      <w:proofErr w:type="spellStart"/>
      <w:r w:rsidRPr="005D2BA1">
        <w:rPr>
          <w:rFonts w:asciiTheme="minorHAnsi" w:hAnsiTheme="minorHAnsi" w:cstheme="minorHAnsi"/>
        </w:rPr>
        <w:t>Bosico</w:t>
      </w:r>
      <w:proofErr w:type="spellEnd"/>
      <w:r w:rsidRPr="005D2BA1">
        <w:rPr>
          <w:rFonts w:asciiTheme="minorHAnsi" w:hAnsiTheme="minorHAnsi" w:cstheme="minorHAnsi"/>
        </w:rPr>
        <w:t xml:space="preserve">, y a </w:t>
      </w:r>
      <w:proofErr w:type="spellStart"/>
      <w:r w:rsidRPr="005D2BA1">
        <w:rPr>
          <w:rFonts w:asciiTheme="minorHAnsi" w:hAnsiTheme="minorHAnsi" w:cstheme="minorHAnsi"/>
        </w:rPr>
        <w:t>Leonidas</w:t>
      </w:r>
      <w:proofErr w:type="spellEnd"/>
      <w:r w:rsidRPr="005D2BA1">
        <w:rPr>
          <w:rFonts w:asciiTheme="minorHAnsi" w:hAnsiTheme="minorHAnsi" w:cstheme="minorHAnsi"/>
        </w:rPr>
        <w:t xml:space="preserve"> Oliven </w:t>
      </w:r>
      <w:proofErr w:type="spellStart"/>
      <w:r w:rsidRPr="005D2BA1">
        <w:rPr>
          <w:rFonts w:asciiTheme="minorHAnsi" w:hAnsiTheme="minorHAnsi" w:cstheme="minorHAnsi"/>
        </w:rPr>
        <w:t>Yean</w:t>
      </w:r>
      <w:proofErr w:type="spellEnd"/>
      <w:r w:rsidRPr="005D2BA1">
        <w:rPr>
          <w:rFonts w:asciiTheme="minorHAnsi" w:hAnsiTheme="minorHAnsi" w:cstheme="minorHAnsi"/>
        </w:rPr>
        <w:t xml:space="preserve">, </w:t>
      </w:r>
      <w:proofErr w:type="spellStart"/>
      <w:r w:rsidRPr="005D2BA1">
        <w:rPr>
          <w:rFonts w:asciiTheme="minorHAnsi" w:hAnsiTheme="minorHAnsi" w:cstheme="minorHAnsi"/>
        </w:rPr>
        <w:t>Tiramen</w:t>
      </w:r>
      <w:proofErr w:type="spellEnd"/>
      <w:r w:rsidRPr="005D2BA1">
        <w:rPr>
          <w:rFonts w:asciiTheme="minorHAnsi" w:hAnsiTheme="minorHAnsi" w:cstheme="minorHAnsi"/>
        </w:rPr>
        <w:t xml:space="preserve"> </w:t>
      </w:r>
      <w:proofErr w:type="spellStart"/>
      <w:r w:rsidRPr="005D2BA1">
        <w:rPr>
          <w:rFonts w:asciiTheme="minorHAnsi" w:hAnsiTheme="minorHAnsi" w:cstheme="minorHAnsi"/>
        </w:rPr>
        <w:t>Bosico</w:t>
      </w:r>
      <w:proofErr w:type="spellEnd"/>
      <w:r w:rsidRPr="005D2BA1">
        <w:rPr>
          <w:rFonts w:asciiTheme="minorHAnsi" w:hAnsiTheme="minorHAnsi" w:cstheme="minorHAnsi"/>
        </w:rPr>
        <w:t xml:space="preserve"> </w:t>
      </w:r>
      <w:proofErr w:type="spellStart"/>
      <w:r w:rsidRPr="005D2BA1">
        <w:rPr>
          <w:rFonts w:asciiTheme="minorHAnsi" w:hAnsiTheme="minorHAnsi" w:cstheme="minorHAnsi"/>
        </w:rPr>
        <w:t>Cofi</w:t>
      </w:r>
      <w:proofErr w:type="spellEnd"/>
      <w:r w:rsidRPr="005D2BA1">
        <w:rPr>
          <w:rFonts w:asciiTheme="minorHAnsi" w:hAnsiTheme="minorHAnsi" w:cstheme="minorHAnsi"/>
        </w:rPr>
        <w:t xml:space="preserve"> y Teresa </w:t>
      </w:r>
      <w:proofErr w:type="spellStart"/>
      <w:r w:rsidRPr="005D2BA1">
        <w:rPr>
          <w:rFonts w:asciiTheme="minorHAnsi" w:hAnsiTheme="minorHAnsi" w:cstheme="minorHAnsi"/>
        </w:rPr>
        <w:t>Tucent</w:t>
      </w:r>
      <w:proofErr w:type="spellEnd"/>
      <w:r w:rsidRPr="005D2BA1">
        <w:rPr>
          <w:rFonts w:asciiTheme="minorHAnsi" w:hAnsiTheme="minorHAnsi" w:cstheme="minorHAnsi"/>
        </w:rPr>
        <w:t xml:space="preserve"> Mena, en un plazo de seis meses, con la participación de autoridades estatales, de las víctimas y sus familiares, así como de los representantes y con difusión en los medios de comunicación (radio, prensa y televisión).  El referido acto tendrá efectos de satisfacción y servirá como garantía de no repetición, en los términos de la presente Sentencia.</w:t>
      </w:r>
    </w:p>
    <w:p w14:paraId="7A870A56" w14:textId="77777777" w:rsidR="00991189" w:rsidRPr="005D2BA1" w:rsidRDefault="00991189" w:rsidP="00991189">
      <w:pPr>
        <w:spacing w:after="0" w:line="240" w:lineRule="auto"/>
        <w:jc w:val="both"/>
        <w:rPr>
          <w:rFonts w:cstheme="minorHAnsi"/>
          <w:sz w:val="24"/>
          <w:szCs w:val="24"/>
          <w:lang w:eastAsia="es-MX"/>
        </w:rPr>
      </w:pPr>
    </w:p>
    <w:p w14:paraId="29A48AB1" w14:textId="77777777" w:rsidR="00991189" w:rsidRPr="005D2BA1" w:rsidRDefault="00991189" w:rsidP="00991189">
      <w:pPr>
        <w:pStyle w:val="Prrafodelista"/>
        <w:numPr>
          <w:ilvl w:val="0"/>
          <w:numId w:val="14"/>
        </w:numPr>
        <w:jc w:val="both"/>
        <w:rPr>
          <w:rFonts w:asciiTheme="minorHAnsi" w:hAnsiTheme="minorHAnsi" w:cstheme="minorHAnsi"/>
        </w:rPr>
      </w:pPr>
      <w:r w:rsidRPr="005D2BA1">
        <w:rPr>
          <w:rFonts w:asciiTheme="minorHAnsi" w:hAnsiTheme="minorHAnsi" w:cstheme="minorHAnsi"/>
        </w:rPr>
        <w:t>El Estado debe adoptar en su derecho interno, dentro de un plazo razonable, de acuerdo con el artículo 2 de la Convención Americana, las medidas legislativas, administrativas y de cualquier otra índole que sean necesarias para regular el procedimiento y los requisitos conducentes a adquirir la nacionalidad dominicana, mediante la declaración tardía de nacimiento.  Dicho procedimiento debe ser sencillo, accesible y razonable, en consideración de que, de otra forma, los solicitantes pudieran quedar en condición de ser apátridas.  Además, debe existir un recurso efectivo para los casos en que sea denegada la solicitud, en los términos de la Convención Americana, de conformidad con la presente Sentencia.</w:t>
      </w:r>
    </w:p>
    <w:p w14:paraId="28696F1C" w14:textId="77777777" w:rsidR="00991189" w:rsidRPr="005D2BA1" w:rsidRDefault="00991189" w:rsidP="00991189">
      <w:pPr>
        <w:spacing w:after="0" w:line="240" w:lineRule="auto"/>
        <w:jc w:val="both"/>
        <w:rPr>
          <w:rFonts w:cstheme="minorHAnsi"/>
          <w:sz w:val="24"/>
          <w:szCs w:val="24"/>
          <w:lang w:eastAsia="es-MX"/>
        </w:rPr>
      </w:pPr>
    </w:p>
    <w:p w14:paraId="6FD85199" w14:textId="77777777" w:rsidR="00991189" w:rsidRDefault="00991189" w:rsidP="00991189">
      <w:pPr>
        <w:pStyle w:val="Prrafodelista"/>
        <w:numPr>
          <w:ilvl w:val="0"/>
          <w:numId w:val="14"/>
        </w:numPr>
        <w:jc w:val="both"/>
        <w:rPr>
          <w:rFonts w:asciiTheme="minorHAnsi" w:hAnsiTheme="minorHAnsi" w:cstheme="minorHAnsi"/>
        </w:rPr>
      </w:pPr>
      <w:r w:rsidRPr="005D2BA1">
        <w:rPr>
          <w:rFonts w:asciiTheme="minorHAnsi" w:hAnsiTheme="minorHAnsi" w:cstheme="minorHAnsi"/>
        </w:rPr>
        <w:t xml:space="preserve">El Estado debe pagar, por concepto de indemnización por daño inmaterial, la cantidad fijada en el párrafo 226 de la presente Sentencia, a la niña Dilcia </w:t>
      </w:r>
      <w:proofErr w:type="spellStart"/>
      <w:r w:rsidRPr="005D2BA1">
        <w:rPr>
          <w:rFonts w:asciiTheme="minorHAnsi" w:hAnsiTheme="minorHAnsi" w:cstheme="minorHAnsi"/>
        </w:rPr>
        <w:t>Yean</w:t>
      </w:r>
      <w:proofErr w:type="spellEnd"/>
      <w:r w:rsidRPr="005D2BA1">
        <w:rPr>
          <w:rFonts w:asciiTheme="minorHAnsi" w:hAnsiTheme="minorHAnsi" w:cstheme="minorHAnsi"/>
        </w:rPr>
        <w:t xml:space="preserve">, y la cantidad fijada en el mismo párrafo a la niña Violeta </w:t>
      </w:r>
      <w:proofErr w:type="spellStart"/>
      <w:r w:rsidRPr="005D2BA1">
        <w:rPr>
          <w:rFonts w:asciiTheme="minorHAnsi" w:hAnsiTheme="minorHAnsi" w:cstheme="minorHAnsi"/>
        </w:rPr>
        <w:t>Bosico</w:t>
      </w:r>
      <w:proofErr w:type="spellEnd"/>
      <w:r w:rsidRPr="005D2BA1">
        <w:rPr>
          <w:rFonts w:asciiTheme="minorHAnsi" w:hAnsiTheme="minorHAnsi" w:cstheme="minorHAnsi"/>
        </w:rPr>
        <w:t>.</w:t>
      </w:r>
    </w:p>
    <w:p w14:paraId="58BF3EE9" w14:textId="77777777" w:rsidR="00991189" w:rsidRPr="005D2BA1" w:rsidRDefault="00991189" w:rsidP="00991189">
      <w:pPr>
        <w:pStyle w:val="Prrafodelista"/>
        <w:rPr>
          <w:rFonts w:cstheme="minorHAnsi"/>
        </w:rPr>
      </w:pPr>
    </w:p>
    <w:p w14:paraId="3BDD52E0" w14:textId="77777777" w:rsidR="00991189" w:rsidRPr="005D2BA1" w:rsidRDefault="00991189" w:rsidP="00991189">
      <w:pPr>
        <w:pStyle w:val="Prrafodelista"/>
        <w:numPr>
          <w:ilvl w:val="0"/>
          <w:numId w:val="14"/>
        </w:numPr>
        <w:jc w:val="both"/>
        <w:rPr>
          <w:rFonts w:asciiTheme="minorHAnsi" w:hAnsiTheme="minorHAnsi" w:cstheme="minorHAnsi"/>
        </w:rPr>
      </w:pPr>
      <w:r w:rsidRPr="005D2BA1">
        <w:rPr>
          <w:rFonts w:asciiTheme="minorHAnsi" w:hAnsiTheme="minorHAnsi" w:cstheme="minorHAnsi"/>
        </w:rPr>
        <w:t xml:space="preserve">El Estado debe pagar, por concepto de las costas y gastos generados en el ámbito interno e internacional ante el sistema interamericano de protección de los derechos humanos, la cantidad fijada en el párrafo 250 de la presente sentencia a las señoras </w:t>
      </w:r>
      <w:proofErr w:type="spellStart"/>
      <w:r w:rsidRPr="005D2BA1">
        <w:rPr>
          <w:rFonts w:asciiTheme="minorHAnsi" w:hAnsiTheme="minorHAnsi" w:cstheme="minorHAnsi"/>
        </w:rPr>
        <w:t>Leonidas</w:t>
      </w:r>
      <w:proofErr w:type="spellEnd"/>
      <w:r w:rsidRPr="005D2BA1">
        <w:rPr>
          <w:rFonts w:asciiTheme="minorHAnsi" w:hAnsiTheme="minorHAnsi" w:cstheme="minorHAnsi"/>
        </w:rPr>
        <w:t xml:space="preserve"> Oliven </w:t>
      </w:r>
      <w:proofErr w:type="spellStart"/>
      <w:r w:rsidRPr="005D2BA1">
        <w:rPr>
          <w:rFonts w:asciiTheme="minorHAnsi" w:hAnsiTheme="minorHAnsi" w:cstheme="minorHAnsi"/>
        </w:rPr>
        <w:t>Yean</w:t>
      </w:r>
      <w:proofErr w:type="spellEnd"/>
      <w:r w:rsidRPr="005D2BA1">
        <w:rPr>
          <w:rFonts w:asciiTheme="minorHAnsi" w:hAnsiTheme="minorHAnsi" w:cstheme="minorHAnsi"/>
        </w:rPr>
        <w:t xml:space="preserve"> y </w:t>
      </w:r>
      <w:proofErr w:type="spellStart"/>
      <w:r w:rsidRPr="005D2BA1">
        <w:rPr>
          <w:rFonts w:asciiTheme="minorHAnsi" w:hAnsiTheme="minorHAnsi" w:cstheme="minorHAnsi"/>
        </w:rPr>
        <w:t>Tiramen</w:t>
      </w:r>
      <w:proofErr w:type="spellEnd"/>
      <w:r w:rsidRPr="005D2BA1">
        <w:rPr>
          <w:rFonts w:asciiTheme="minorHAnsi" w:hAnsiTheme="minorHAnsi" w:cstheme="minorHAnsi"/>
        </w:rPr>
        <w:t xml:space="preserve"> </w:t>
      </w:r>
      <w:proofErr w:type="spellStart"/>
      <w:r w:rsidRPr="005D2BA1">
        <w:rPr>
          <w:rFonts w:asciiTheme="minorHAnsi" w:hAnsiTheme="minorHAnsi" w:cstheme="minorHAnsi"/>
        </w:rPr>
        <w:t>Bosico</w:t>
      </w:r>
      <w:proofErr w:type="spellEnd"/>
      <w:r w:rsidRPr="005D2BA1">
        <w:rPr>
          <w:rFonts w:asciiTheme="minorHAnsi" w:hAnsiTheme="minorHAnsi" w:cstheme="minorHAnsi"/>
        </w:rPr>
        <w:t xml:space="preserve"> </w:t>
      </w:r>
      <w:proofErr w:type="spellStart"/>
      <w:r w:rsidRPr="005D2BA1">
        <w:rPr>
          <w:rFonts w:asciiTheme="minorHAnsi" w:hAnsiTheme="minorHAnsi" w:cstheme="minorHAnsi"/>
        </w:rPr>
        <w:t>Cofi</w:t>
      </w:r>
      <w:proofErr w:type="spellEnd"/>
      <w:r w:rsidRPr="005D2BA1">
        <w:rPr>
          <w:rFonts w:asciiTheme="minorHAnsi" w:hAnsiTheme="minorHAnsi" w:cstheme="minorHAnsi"/>
        </w:rPr>
        <w:t xml:space="preserve">, quienes efectuarán los pagos al Movimiento de Mujeres Domínico Haitianas (MUDHA), al Centro por la Justicia y el Derecho Internacional (CEJIL), y a la International Human </w:t>
      </w:r>
      <w:proofErr w:type="spellStart"/>
      <w:r w:rsidRPr="005D2BA1">
        <w:rPr>
          <w:rFonts w:asciiTheme="minorHAnsi" w:hAnsiTheme="minorHAnsi" w:cstheme="minorHAnsi"/>
        </w:rPr>
        <w:t>Rights</w:t>
      </w:r>
      <w:proofErr w:type="spellEnd"/>
      <w:r w:rsidRPr="005D2BA1">
        <w:rPr>
          <w:rFonts w:asciiTheme="minorHAnsi" w:hAnsiTheme="minorHAnsi" w:cstheme="minorHAnsi"/>
        </w:rPr>
        <w:t xml:space="preserve"> </w:t>
      </w:r>
      <w:proofErr w:type="spellStart"/>
      <w:r w:rsidRPr="005D2BA1">
        <w:rPr>
          <w:rFonts w:asciiTheme="minorHAnsi" w:hAnsiTheme="minorHAnsi" w:cstheme="minorHAnsi"/>
        </w:rPr>
        <w:t>Law</w:t>
      </w:r>
      <w:proofErr w:type="spellEnd"/>
      <w:r w:rsidRPr="005D2BA1">
        <w:rPr>
          <w:rFonts w:asciiTheme="minorHAnsi" w:hAnsiTheme="minorHAnsi" w:cstheme="minorHAnsi"/>
        </w:rPr>
        <w:t xml:space="preserve"> </w:t>
      </w:r>
      <w:proofErr w:type="spellStart"/>
      <w:r w:rsidRPr="005D2BA1">
        <w:rPr>
          <w:rFonts w:asciiTheme="minorHAnsi" w:hAnsiTheme="minorHAnsi" w:cstheme="minorHAnsi"/>
        </w:rPr>
        <w:t>Clinic</w:t>
      </w:r>
      <w:proofErr w:type="spellEnd"/>
      <w:r w:rsidRPr="005D2BA1">
        <w:rPr>
          <w:rFonts w:asciiTheme="minorHAnsi" w:hAnsiTheme="minorHAnsi" w:cstheme="minorHAnsi"/>
        </w:rPr>
        <w:t xml:space="preserve">, </w:t>
      </w:r>
      <w:proofErr w:type="spellStart"/>
      <w:r w:rsidRPr="005D2BA1">
        <w:rPr>
          <w:rFonts w:asciiTheme="minorHAnsi" w:hAnsiTheme="minorHAnsi" w:cstheme="minorHAnsi"/>
        </w:rPr>
        <w:t>School</w:t>
      </w:r>
      <w:proofErr w:type="spellEnd"/>
      <w:r w:rsidRPr="005D2BA1">
        <w:rPr>
          <w:rFonts w:asciiTheme="minorHAnsi" w:hAnsiTheme="minorHAnsi" w:cstheme="minorHAnsi"/>
        </w:rPr>
        <w:t xml:space="preserve"> </w:t>
      </w:r>
      <w:proofErr w:type="spellStart"/>
      <w:r w:rsidRPr="005D2BA1">
        <w:rPr>
          <w:rFonts w:asciiTheme="minorHAnsi" w:hAnsiTheme="minorHAnsi" w:cstheme="minorHAnsi"/>
        </w:rPr>
        <w:t>of</w:t>
      </w:r>
      <w:proofErr w:type="spellEnd"/>
      <w:r w:rsidRPr="005D2BA1">
        <w:rPr>
          <w:rFonts w:asciiTheme="minorHAnsi" w:hAnsiTheme="minorHAnsi" w:cstheme="minorHAnsi"/>
        </w:rPr>
        <w:t xml:space="preserve"> </w:t>
      </w:r>
      <w:proofErr w:type="spellStart"/>
      <w:r w:rsidRPr="005D2BA1">
        <w:rPr>
          <w:rFonts w:asciiTheme="minorHAnsi" w:hAnsiTheme="minorHAnsi" w:cstheme="minorHAnsi"/>
        </w:rPr>
        <w:t>Law</w:t>
      </w:r>
      <w:proofErr w:type="spellEnd"/>
      <w:r w:rsidRPr="005D2BA1">
        <w:rPr>
          <w:rFonts w:asciiTheme="minorHAnsi" w:hAnsiTheme="minorHAnsi" w:cstheme="minorHAnsi"/>
        </w:rPr>
        <w:t xml:space="preserve"> (</w:t>
      </w:r>
      <w:proofErr w:type="spellStart"/>
      <w:r w:rsidRPr="005D2BA1">
        <w:rPr>
          <w:rFonts w:asciiTheme="minorHAnsi" w:hAnsiTheme="minorHAnsi" w:cstheme="minorHAnsi"/>
        </w:rPr>
        <w:t>Boalt</w:t>
      </w:r>
      <w:proofErr w:type="spellEnd"/>
      <w:r w:rsidRPr="005D2BA1">
        <w:rPr>
          <w:rFonts w:asciiTheme="minorHAnsi" w:hAnsiTheme="minorHAnsi" w:cstheme="minorHAnsi"/>
        </w:rPr>
        <w:t xml:space="preserve"> Hall), </w:t>
      </w:r>
      <w:proofErr w:type="spellStart"/>
      <w:r w:rsidRPr="005D2BA1">
        <w:rPr>
          <w:rFonts w:asciiTheme="minorHAnsi" w:hAnsiTheme="minorHAnsi" w:cstheme="minorHAnsi"/>
        </w:rPr>
        <w:t>University</w:t>
      </w:r>
      <w:proofErr w:type="spellEnd"/>
      <w:r w:rsidRPr="005D2BA1">
        <w:rPr>
          <w:rFonts w:asciiTheme="minorHAnsi" w:hAnsiTheme="minorHAnsi" w:cstheme="minorHAnsi"/>
        </w:rPr>
        <w:t xml:space="preserve"> </w:t>
      </w:r>
      <w:proofErr w:type="spellStart"/>
      <w:r w:rsidRPr="005D2BA1">
        <w:rPr>
          <w:rFonts w:asciiTheme="minorHAnsi" w:hAnsiTheme="minorHAnsi" w:cstheme="minorHAnsi"/>
        </w:rPr>
        <w:t>of</w:t>
      </w:r>
      <w:proofErr w:type="spellEnd"/>
      <w:r w:rsidRPr="005D2BA1">
        <w:rPr>
          <w:rFonts w:asciiTheme="minorHAnsi" w:hAnsiTheme="minorHAnsi" w:cstheme="minorHAnsi"/>
        </w:rPr>
        <w:t xml:space="preserve"> California, Berkeley para compensar los gastos realizados por éstos.</w:t>
      </w:r>
    </w:p>
    <w:p w14:paraId="34C13A3C" w14:textId="77777777" w:rsidR="00991189" w:rsidRPr="00A94E1C" w:rsidRDefault="00991189" w:rsidP="00991189">
      <w:pPr>
        <w:spacing w:after="0" w:line="240" w:lineRule="auto"/>
        <w:jc w:val="both"/>
        <w:rPr>
          <w:rFonts w:cstheme="minorHAnsi"/>
          <w:sz w:val="24"/>
          <w:szCs w:val="24"/>
          <w:lang w:eastAsia="es-MX"/>
        </w:rPr>
      </w:pPr>
    </w:p>
    <w:p w14:paraId="73E3E7FC" w14:textId="77777777" w:rsidR="00991189" w:rsidRPr="00A94E1C" w:rsidRDefault="00991189" w:rsidP="00991189">
      <w:pPr>
        <w:spacing w:after="0" w:line="240" w:lineRule="auto"/>
        <w:jc w:val="both"/>
        <w:rPr>
          <w:rFonts w:cstheme="minorHAnsi"/>
          <w:sz w:val="24"/>
          <w:szCs w:val="24"/>
          <w:lang w:eastAsia="es-MX"/>
        </w:rPr>
      </w:pPr>
      <w:r w:rsidRPr="00A94E1C">
        <w:rPr>
          <w:rFonts w:cstheme="minorHAnsi"/>
          <w:sz w:val="24"/>
          <w:szCs w:val="24"/>
          <w:lang w:eastAsia="es-MX"/>
        </w:rPr>
        <w:t>La Corte supervisará el cumplimiento íntegro de esta Sentencia, en ejercicio de sus atribuciones y en cumplimiento de sus deberes conforme a la Convención Americana, y dará por concluido el presente caso una vez que el Estado haya dado cabal cumplimiento a lo dispuesto en la misma. El Estado deberá, dentro del plazo de un año contado a partir de la notificación de esta Sentencia, rendir al Tribunal un informe sobre las medidas adoptadas para cumplir con la misma.</w:t>
      </w:r>
    </w:p>
    <w:p w14:paraId="0947A6BC" w14:textId="77777777" w:rsidR="00991189" w:rsidRPr="00A94E1C" w:rsidRDefault="00991189" w:rsidP="00991189">
      <w:pPr>
        <w:spacing w:after="0" w:line="240" w:lineRule="auto"/>
        <w:jc w:val="both"/>
        <w:rPr>
          <w:rFonts w:cstheme="minorHAnsi"/>
          <w:sz w:val="24"/>
          <w:szCs w:val="24"/>
          <w:lang w:eastAsia="es-MX"/>
        </w:rPr>
      </w:pPr>
    </w:p>
    <w:p w14:paraId="1CD43B43" w14:textId="77777777" w:rsidR="00991189" w:rsidRDefault="00991189" w:rsidP="00991189">
      <w:pPr>
        <w:spacing w:after="0" w:line="240" w:lineRule="auto"/>
        <w:jc w:val="both"/>
        <w:rPr>
          <w:rFonts w:cstheme="minorHAnsi"/>
          <w:b/>
          <w:bCs/>
          <w:sz w:val="24"/>
          <w:szCs w:val="24"/>
          <w:lang w:eastAsia="es-MX"/>
        </w:rPr>
      </w:pPr>
      <w:r w:rsidRPr="00684D34">
        <w:rPr>
          <w:rFonts w:cstheme="minorHAnsi"/>
          <w:b/>
          <w:bCs/>
          <w:sz w:val="24"/>
          <w:szCs w:val="24"/>
          <w:lang w:eastAsia="es-MX"/>
        </w:rPr>
        <w:t>Resolutivos</w:t>
      </w:r>
    </w:p>
    <w:p w14:paraId="14F23F53" w14:textId="77777777" w:rsidR="00991189" w:rsidRPr="00684D34" w:rsidRDefault="00991189" w:rsidP="00991189">
      <w:pPr>
        <w:spacing w:after="0" w:line="240" w:lineRule="auto"/>
        <w:jc w:val="both"/>
        <w:rPr>
          <w:rFonts w:cstheme="minorHAnsi"/>
          <w:b/>
          <w:bCs/>
          <w:sz w:val="24"/>
          <w:szCs w:val="24"/>
          <w:lang w:eastAsia="es-MX"/>
        </w:rPr>
      </w:pPr>
    </w:p>
    <w:p w14:paraId="2C741FA8" w14:textId="77777777" w:rsidR="00991189" w:rsidRPr="00684D34" w:rsidRDefault="00991189" w:rsidP="00991189">
      <w:pPr>
        <w:spacing w:after="0" w:line="240" w:lineRule="auto"/>
        <w:jc w:val="both"/>
        <w:rPr>
          <w:rFonts w:cstheme="minorHAnsi"/>
          <w:sz w:val="24"/>
          <w:szCs w:val="24"/>
          <w:lang w:eastAsia="es-MX"/>
        </w:rPr>
      </w:pPr>
      <w:r w:rsidRPr="00A94E1C">
        <w:rPr>
          <w:rFonts w:cstheme="minorHAnsi"/>
          <w:sz w:val="24"/>
          <w:szCs w:val="24"/>
          <w:lang w:eastAsia="es-MX"/>
        </w:rPr>
        <w:t>La Corte declara por unanimidad, que:</w:t>
      </w:r>
    </w:p>
    <w:p w14:paraId="7DEF34F6" w14:textId="77777777" w:rsidR="00991189" w:rsidRPr="00684D34" w:rsidRDefault="00991189" w:rsidP="00991189">
      <w:pPr>
        <w:spacing w:after="0" w:line="240" w:lineRule="auto"/>
        <w:jc w:val="both"/>
        <w:rPr>
          <w:rFonts w:cstheme="minorHAnsi"/>
          <w:sz w:val="24"/>
          <w:szCs w:val="24"/>
          <w:lang w:eastAsia="es-MX"/>
        </w:rPr>
      </w:pPr>
    </w:p>
    <w:p w14:paraId="5CCFC5C4" w14:textId="77777777" w:rsidR="00991189" w:rsidRPr="00684D34" w:rsidRDefault="00991189" w:rsidP="00991189">
      <w:pPr>
        <w:pStyle w:val="Prrafodelista"/>
        <w:numPr>
          <w:ilvl w:val="0"/>
          <w:numId w:val="15"/>
        </w:numPr>
        <w:jc w:val="both"/>
        <w:rPr>
          <w:rFonts w:asciiTheme="minorHAnsi" w:hAnsiTheme="minorHAnsi" w:cstheme="minorHAnsi"/>
        </w:rPr>
      </w:pPr>
      <w:r w:rsidRPr="00684D34">
        <w:rPr>
          <w:rFonts w:asciiTheme="minorHAnsi" w:hAnsiTheme="minorHAnsi" w:cstheme="minorHAnsi"/>
        </w:rPr>
        <w:t>El Estado violó los derechos a la nacionalidad y a la igualdad ante la ley consagrados, respectivamente, en los artículos 20 y 24 de la Convención Americana, en relación con el artículo 19 de la misma, y también</w:t>
      </w:r>
      <w:r>
        <w:rPr>
          <w:rFonts w:asciiTheme="minorHAnsi" w:hAnsiTheme="minorHAnsi" w:cstheme="minorHAnsi"/>
        </w:rPr>
        <w:t xml:space="preserve"> </w:t>
      </w:r>
      <w:r w:rsidRPr="00684D34">
        <w:rPr>
          <w:rFonts w:asciiTheme="minorHAnsi" w:hAnsiTheme="minorHAnsi" w:cstheme="minorHAnsi"/>
        </w:rPr>
        <w:t xml:space="preserve">en relación con el artículo 1.1 de este instrumento, en perjuicio de las niñas Dilcia </w:t>
      </w:r>
      <w:proofErr w:type="spellStart"/>
      <w:r w:rsidRPr="00684D34">
        <w:rPr>
          <w:rFonts w:asciiTheme="minorHAnsi" w:hAnsiTheme="minorHAnsi" w:cstheme="minorHAnsi"/>
        </w:rPr>
        <w:t>Yean</w:t>
      </w:r>
      <w:proofErr w:type="spellEnd"/>
      <w:r w:rsidRPr="00684D34">
        <w:rPr>
          <w:rFonts w:asciiTheme="minorHAnsi" w:hAnsiTheme="minorHAnsi" w:cstheme="minorHAnsi"/>
        </w:rPr>
        <w:t xml:space="preserve"> y Violeta </w:t>
      </w:r>
      <w:proofErr w:type="spellStart"/>
      <w:r w:rsidRPr="00684D34">
        <w:rPr>
          <w:rFonts w:asciiTheme="minorHAnsi" w:hAnsiTheme="minorHAnsi" w:cstheme="minorHAnsi"/>
        </w:rPr>
        <w:t>Bosico</w:t>
      </w:r>
      <w:proofErr w:type="spellEnd"/>
      <w:r w:rsidRPr="00684D34">
        <w:rPr>
          <w:rFonts w:asciiTheme="minorHAnsi" w:hAnsiTheme="minorHAnsi" w:cstheme="minorHAnsi"/>
        </w:rPr>
        <w:t>, en los términos de la presente Sentencia.</w:t>
      </w:r>
    </w:p>
    <w:p w14:paraId="29E2C88C" w14:textId="77777777" w:rsidR="00991189" w:rsidRPr="00684D34" w:rsidRDefault="00991189" w:rsidP="00991189">
      <w:pPr>
        <w:spacing w:after="0" w:line="240" w:lineRule="auto"/>
        <w:jc w:val="both"/>
        <w:rPr>
          <w:rFonts w:cstheme="minorHAnsi"/>
          <w:sz w:val="24"/>
          <w:szCs w:val="24"/>
          <w:lang w:eastAsia="es-MX"/>
        </w:rPr>
      </w:pPr>
    </w:p>
    <w:p w14:paraId="7C345C40" w14:textId="77777777" w:rsidR="00991189" w:rsidRPr="00684D34" w:rsidRDefault="00991189" w:rsidP="00991189">
      <w:pPr>
        <w:pStyle w:val="Prrafodelista"/>
        <w:numPr>
          <w:ilvl w:val="0"/>
          <w:numId w:val="15"/>
        </w:numPr>
        <w:jc w:val="both"/>
        <w:rPr>
          <w:rFonts w:asciiTheme="minorHAnsi" w:hAnsiTheme="minorHAnsi" w:cstheme="minorHAnsi"/>
        </w:rPr>
      </w:pPr>
      <w:r w:rsidRPr="00684D34">
        <w:rPr>
          <w:rFonts w:asciiTheme="minorHAnsi" w:hAnsiTheme="minorHAnsi" w:cstheme="minorHAnsi"/>
        </w:rPr>
        <w:t>El Estado violó los derechos al nombre y al derecho al reconocimiento de la personalidad jurídica consagrados, respectivamente, en los artículos 3 y 18 de la Convención Americana</w:t>
      </w:r>
      <w:r>
        <w:rPr>
          <w:rFonts w:asciiTheme="minorHAnsi" w:hAnsiTheme="minorHAnsi" w:cstheme="minorHAnsi"/>
        </w:rPr>
        <w:t xml:space="preserve"> </w:t>
      </w:r>
      <w:r w:rsidRPr="00684D34">
        <w:rPr>
          <w:rFonts w:asciiTheme="minorHAnsi" w:hAnsiTheme="minorHAnsi" w:cstheme="minorHAnsi"/>
        </w:rPr>
        <w:t xml:space="preserve">en relación con el artículo 19 de la misma, y también en </w:t>
      </w:r>
      <w:r w:rsidRPr="00684D34">
        <w:rPr>
          <w:rFonts w:asciiTheme="minorHAnsi" w:hAnsiTheme="minorHAnsi" w:cstheme="minorHAnsi"/>
        </w:rPr>
        <w:lastRenderedPageBreak/>
        <w:t xml:space="preserve">relación con el artículo 1.1 de este instrumento, en perjuicio de las niñas Dilcia </w:t>
      </w:r>
      <w:proofErr w:type="spellStart"/>
      <w:r w:rsidRPr="00684D34">
        <w:rPr>
          <w:rFonts w:asciiTheme="minorHAnsi" w:hAnsiTheme="minorHAnsi" w:cstheme="minorHAnsi"/>
        </w:rPr>
        <w:t>Yean</w:t>
      </w:r>
      <w:proofErr w:type="spellEnd"/>
      <w:r w:rsidRPr="00684D34">
        <w:rPr>
          <w:rFonts w:asciiTheme="minorHAnsi" w:hAnsiTheme="minorHAnsi" w:cstheme="minorHAnsi"/>
        </w:rPr>
        <w:t xml:space="preserve"> y Violeta </w:t>
      </w:r>
      <w:proofErr w:type="spellStart"/>
      <w:r w:rsidRPr="00684D34">
        <w:rPr>
          <w:rFonts w:asciiTheme="minorHAnsi" w:hAnsiTheme="minorHAnsi" w:cstheme="minorHAnsi"/>
        </w:rPr>
        <w:t>Bosico</w:t>
      </w:r>
      <w:proofErr w:type="spellEnd"/>
      <w:r w:rsidRPr="00684D34">
        <w:rPr>
          <w:rFonts w:asciiTheme="minorHAnsi" w:hAnsiTheme="minorHAnsi" w:cstheme="minorHAnsi"/>
        </w:rPr>
        <w:t>, en los términos de la presente Sentencia.</w:t>
      </w:r>
    </w:p>
    <w:p w14:paraId="7FC408B2" w14:textId="77777777" w:rsidR="00991189" w:rsidRPr="00684D34" w:rsidRDefault="00991189" w:rsidP="00991189">
      <w:pPr>
        <w:spacing w:after="0" w:line="240" w:lineRule="auto"/>
        <w:jc w:val="both"/>
        <w:rPr>
          <w:rFonts w:cstheme="minorHAnsi"/>
          <w:sz w:val="24"/>
          <w:szCs w:val="24"/>
          <w:lang w:eastAsia="es-MX"/>
        </w:rPr>
      </w:pPr>
    </w:p>
    <w:p w14:paraId="1E8E81D6" w14:textId="77777777" w:rsidR="00991189" w:rsidRPr="008831A4" w:rsidRDefault="00991189" w:rsidP="00991189">
      <w:pPr>
        <w:pStyle w:val="Prrafodelista"/>
        <w:numPr>
          <w:ilvl w:val="0"/>
          <w:numId w:val="15"/>
        </w:numPr>
        <w:jc w:val="both"/>
        <w:rPr>
          <w:rFonts w:asciiTheme="minorHAnsi" w:hAnsiTheme="minorHAnsi" w:cstheme="minorHAnsi"/>
        </w:rPr>
      </w:pPr>
      <w:r w:rsidRPr="00684D34">
        <w:rPr>
          <w:rFonts w:asciiTheme="minorHAnsi" w:hAnsiTheme="minorHAnsi" w:cstheme="minorHAnsi"/>
        </w:rPr>
        <w:t xml:space="preserve">El Estado violó el derecho a la integridad personal consagrado en el artículo 5 de la Convención Americana, en relación con el 1.1 de la misma, en perjuicio de las señoras </w:t>
      </w:r>
      <w:proofErr w:type="spellStart"/>
      <w:r w:rsidRPr="00684D34">
        <w:rPr>
          <w:rFonts w:asciiTheme="minorHAnsi" w:hAnsiTheme="minorHAnsi" w:cstheme="minorHAnsi"/>
        </w:rPr>
        <w:t>Leonidas</w:t>
      </w:r>
      <w:proofErr w:type="spellEnd"/>
      <w:r w:rsidRPr="00684D34">
        <w:rPr>
          <w:rFonts w:asciiTheme="minorHAnsi" w:hAnsiTheme="minorHAnsi" w:cstheme="minorHAnsi"/>
        </w:rPr>
        <w:t xml:space="preserve"> Oliven </w:t>
      </w:r>
      <w:proofErr w:type="spellStart"/>
      <w:r w:rsidRPr="00684D34">
        <w:rPr>
          <w:rFonts w:asciiTheme="minorHAnsi" w:hAnsiTheme="minorHAnsi" w:cstheme="minorHAnsi"/>
        </w:rPr>
        <w:t>Yean</w:t>
      </w:r>
      <w:proofErr w:type="spellEnd"/>
      <w:r w:rsidRPr="00684D34">
        <w:rPr>
          <w:rFonts w:asciiTheme="minorHAnsi" w:hAnsiTheme="minorHAnsi" w:cstheme="minorHAnsi"/>
        </w:rPr>
        <w:t xml:space="preserve">, </w:t>
      </w:r>
      <w:proofErr w:type="spellStart"/>
      <w:r w:rsidRPr="00684D34">
        <w:rPr>
          <w:rFonts w:asciiTheme="minorHAnsi" w:hAnsiTheme="minorHAnsi" w:cstheme="minorHAnsi"/>
        </w:rPr>
        <w:t>Tiramen</w:t>
      </w:r>
      <w:proofErr w:type="spellEnd"/>
      <w:r w:rsidRPr="00684D34">
        <w:rPr>
          <w:rFonts w:asciiTheme="minorHAnsi" w:hAnsiTheme="minorHAnsi" w:cstheme="minorHAnsi"/>
        </w:rPr>
        <w:t xml:space="preserve"> </w:t>
      </w:r>
      <w:proofErr w:type="spellStart"/>
      <w:r w:rsidRPr="00684D34">
        <w:rPr>
          <w:rFonts w:asciiTheme="minorHAnsi" w:hAnsiTheme="minorHAnsi" w:cstheme="minorHAnsi"/>
        </w:rPr>
        <w:t>Bosico</w:t>
      </w:r>
      <w:proofErr w:type="spellEnd"/>
      <w:r w:rsidRPr="00684D34">
        <w:rPr>
          <w:rFonts w:asciiTheme="minorHAnsi" w:hAnsiTheme="minorHAnsi" w:cstheme="minorHAnsi"/>
        </w:rPr>
        <w:t xml:space="preserve"> </w:t>
      </w:r>
      <w:proofErr w:type="spellStart"/>
      <w:r w:rsidRPr="00684D34">
        <w:rPr>
          <w:rFonts w:asciiTheme="minorHAnsi" w:hAnsiTheme="minorHAnsi" w:cstheme="minorHAnsi"/>
        </w:rPr>
        <w:t>Cofi</w:t>
      </w:r>
      <w:proofErr w:type="spellEnd"/>
      <w:r w:rsidRPr="00684D34">
        <w:rPr>
          <w:rFonts w:asciiTheme="minorHAnsi" w:hAnsiTheme="minorHAnsi" w:cstheme="minorHAnsi"/>
        </w:rPr>
        <w:t xml:space="preserve"> y Teresa </w:t>
      </w:r>
      <w:proofErr w:type="spellStart"/>
      <w:r w:rsidRPr="00684D34">
        <w:rPr>
          <w:rFonts w:asciiTheme="minorHAnsi" w:hAnsiTheme="minorHAnsi" w:cstheme="minorHAnsi"/>
        </w:rPr>
        <w:t>Tucent</w:t>
      </w:r>
      <w:proofErr w:type="spellEnd"/>
      <w:r w:rsidRPr="00684D34">
        <w:rPr>
          <w:rFonts w:asciiTheme="minorHAnsi" w:hAnsiTheme="minorHAnsi" w:cstheme="minorHAnsi"/>
        </w:rPr>
        <w:t xml:space="preserve"> Mena, en los términos de la presente Sentencia.</w:t>
      </w:r>
    </w:p>
    <w:p w14:paraId="5C17BB3E" w14:textId="77777777" w:rsidR="00991189" w:rsidRDefault="00991189" w:rsidP="00991189">
      <w:pPr>
        <w:pStyle w:val="Ttulo4"/>
        <w:spacing w:before="0" w:line="240" w:lineRule="auto"/>
        <w:rPr>
          <w:rFonts w:ascii="Gadugi" w:eastAsia="Times New Roman" w:hAnsi="Gadugi" w:cs="Times New Roman"/>
          <w:b/>
          <w:i w:val="0"/>
          <w:iCs w:val="0"/>
          <w:color w:val="C00000"/>
          <w:sz w:val="24"/>
          <w:szCs w:val="24"/>
          <w:lang w:eastAsia="es-MX"/>
        </w:rPr>
      </w:pPr>
      <w:r w:rsidRPr="00EC17E3">
        <w:rPr>
          <w:rFonts w:ascii="Gadugi" w:eastAsia="Times New Roman" w:hAnsi="Gadugi" w:cs="Times New Roman"/>
          <w:b/>
          <w:i w:val="0"/>
          <w:iCs w:val="0"/>
          <w:color w:val="C00000"/>
          <w:sz w:val="24"/>
          <w:szCs w:val="24"/>
          <w:lang w:eastAsia="es-MX"/>
        </w:rPr>
        <w:t>CASO 3:</w:t>
      </w:r>
      <w:r w:rsidRPr="00294658">
        <w:rPr>
          <w:rFonts w:ascii="Arial" w:hAnsi="Arial" w:cs="Arial"/>
          <w:b/>
          <w:bCs/>
          <w:color w:val="000000"/>
          <w:shd w:val="clear" w:color="auto" w:fill="FFFFFF"/>
        </w:rPr>
        <w:t xml:space="preserve"> </w:t>
      </w:r>
      <w:r w:rsidRPr="00294658">
        <w:rPr>
          <w:rFonts w:ascii="Gadugi" w:eastAsia="Times New Roman" w:hAnsi="Gadugi" w:cs="Times New Roman"/>
          <w:b/>
          <w:i w:val="0"/>
          <w:iCs w:val="0"/>
          <w:color w:val="C00000"/>
          <w:sz w:val="24"/>
          <w:szCs w:val="24"/>
          <w:lang w:eastAsia="es-MX"/>
        </w:rPr>
        <w:t>CASO COMUNIDAD INDÍGENA XÁKMOK KÁSEK VS PARAGUAY</w:t>
      </w:r>
    </w:p>
    <w:p w14:paraId="157724D3" w14:textId="77777777" w:rsidR="00991189" w:rsidRDefault="00991189" w:rsidP="00991189">
      <w:pPr>
        <w:rPr>
          <w:lang w:eastAsia="es-MX"/>
        </w:rPr>
      </w:pPr>
    </w:p>
    <w:p w14:paraId="16CC6A54" w14:textId="77777777" w:rsidR="00991189" w:rsidRDefault="00991189" w:rsidP="00991189">
      <w:pPr>
        <w:spacing w:after="0" w:line="240" w:lineRule="auto"/>
        <w:rPr>
          <w:rFonts w:ascii="Gadugi" w:hAnsi="Gadugi"/>
          <w:b/>
          <w:color w:val="C00000"/>
          <w:sz w:val="24"/>
          <w:szCs w:val="24"/>
        </w:rPr>
      </w:pPr>
      <w:r w:rsidRPr="00133A01">
        <w:rPr>
          <w:rFonts w:ascii="Gadugi" w:hAnsi="Gadugi"/>
          <w:b/>
          <w:color w:val="C00000"/>
          <w:sz w:val="24"/>
          <w:szCs w:val="24"/>
        </w:rPr>
        <w:t xml:space="preserve">Órgano </w:t>
      </w:r>
      <w:proofErr w:type="spellStart"/>
      <w:r w:rsidRPr="00133A01">
        <w:rPr>
          <w:rFonts w:ascii="Gadugi" w:hAnsi="Gadugi"/>
          <w:b/>
          <w:color w:val="C00000"/>
          <w:sz w:val="24"/>
          <w:szCs w:val="24"/>
        </w:rPr>
        <w:t>CoIDH</w:t>
      </w:r>
      <w:proofErr w:type="spellEnd"/>
      <w:r w:rsidRPr="00133A01">
        <w:rPr>
          <w:rFonts w:ascii="Gadugi" w:hAnsi="Gadugi"/>
          <w:b/>
          <w:color w:val="C00000"/>
          <w:sz w:val="24"/>
          <w:szCs w:val="24"/>
        </w:rPr>
        <w:t>.</w:t>
      </w:r>
    </w:p>
    <w:p w14:paraId="3B17CA6B" w14:textId="77777777" w:rsidR="00991189" w:rsidRDefault="00991189" w:rsidP="00991189">
      <w:pPr>
        <w:rPr>
          <w:lang w:eastAsia="es-MX"/>
        </w:rPr>
      </w:pPr>
    </w:p>
    <w:p w14:paraId="1ABD43AA" w14:textId="77777777" w:rsidR="00991189" w:rsidRPr="00BA5D77" w:rsidRDefault="00991189" w:rsidP="00991189">
      <w:pPr>
        <w:spacing w:after="0" w:line="240" w:lineRule="auto"/>
        <w:jc w:val="both"/>
        <w:rPr>
          <w:rFonts w:ascii="Gadugi" w:hAnsi="Gadugi"/>
          <w:b/>
          <w:sz w:val="24"/>
          <w:szCs w:val="24"/>
        </w:rPr>
      </w:pPr>
      <w:r w:rsidRPr="00BA5D77">
        <w:rPr>
          <w:rFonts w:ascii="Gadugi" w:hAnsi="Gadugi"/>
          <w:b/>
          <w:sz w:val="24"/>
          <w:szCs w:val="24"/>
        </w:rPr>
        <w:t>Corte Interamericana de Derechos Humanos</w:t>
      </w:r>
    </w:p>
    <w:p w14:paraId="69D98D99" w14:textId="77777777" w:rsidR="00991189" w:rsidRPr="00BA5D77" w:rsidRDefault="00991189" w:rsidP="00991189">
      <w:pPr>
        <w:spacing w:after="0" w:line="240" w:lineRule="auto"/>
        <w:jc w:val="both"/>
        <w:rPr>
          <w:rFonts w:ascii="Gadugi" w:hAnsi="Gadugi"/>
          <w:b/>
          <w:color w:val="C00000"/>
          <w:sz w:val="24"/>
          <w:szCs w:val="24"/>
        </w:rPr>
      </w:pPr>
      <w:r w:rsidRPr="00BA5D77">
        <w:rPr>
          <w:rFonts w:ascii="Gadugi" w:hAnsi="Gadugi"/>
          <w:b/>
          <w:color w:val="C00000"/>
          <w:sz w:val="24"/>
          <w:szCs w:val="24"/>
        </w:rPr>
        <w:t xml:space="preserve">Caso Comunidad Indígena </w:t>
      </w:r>
      <w:proofErr w:type="spellStart"/>
      <w:r w:rsidRPr="00BA5D77">
        <w:rPr>
          <w:rFonts w:ascii="Gadugi" w:hAnsi="Gadugi"/>
          <w:b/>
          <w:color w:val="C00000"/>
          <w:sz w:val="24"/>
          <w:szCs w:val="24"/>
        </w:rPr>
        <w:t>Xákmok</w:t>
      </w:r>
      <w:proofErr w:type="spellEnd"/>
      <w:r w:rsidRPr="00BA5D77">
        <w:rPr>
          <w:rFonts w:ascii="Gadugi" w:hAnsi="Gadugi"/>
          <w:b/>
          <w:color w:val="C00000"/>
          <w:sz w:val="24"/>
          <w:szCs w:val="24"/>
        </w:rPr>
        <w:t xml:space="preserve"> </w:t>
      </w:r>
      <w:proofErr w:type="spellStart"/>
      <w:r w:rsidRPr="00BA5D77">
        <w:rPr>
          <w:rFonts w:ascii="Gadugi" w:hAnsi="Gadugi"/>
          <w:b/>
          <w:color w:val="C00000"/>
          <w:sz w:val="24"/>
          <w:szCs w:val="24"/>
        </w:rPr>
        <w:t>Kásek</w:t>
      </w:r>
      <w:proofErr w:type="spellEnd"/>
      <w:r w:rsidRPr="00BA5D77">
        <w:rPr>
          <w:rFonts w:ascii="Gadugi" w:hAnsi="Gadugi"/>
          <w:b/>
          <w:color w:val="C00000"/>
          <w:sz w:val="24"/>
          <w:szCs w:val="24"/>
        </w:rPr>
        <w:t xml:space="preserve"> vs. Paraguay</w:t>
      </w:r>
    </w:p>
    <w:p w14:paraId="5A1A134D" w14:textId="77777777" w:rsidR="00991189" w:rsidRPr="00BA5D77" w:rsidRDefault="00991189" w:rsidP="00991189">
      <w:pPr>
        <w:spacing w:after="0" w:line="240" w:lineRule="auto"/>
        <w:jc w:val="both"/>
        <w:rPr>
          <w:rFonts w:ascii="Gadugi" w:hAnsi="Gadugi"/>
          <w:b/>
          <w:sz w:val="24"/>
          <w:szCs w:val="24"/>
        </w:rPr>
      </w:pPr>
      <w:r w:rsidRPr="00BA5D77">
        <w:rPr>
          <w:rFonts w:ascii="Gadugi" w:hAnsi="Gadugi"/>
          <w:b/>
          <w:sz w:val="24"/>
          <w:szCs w:val="24"/>
        </w:rPr>
        <w:t xml:space="preserve">Resuelto </w:t>
      </w:r>
      <w:proofErr w:type="gramStart"/>
      <w:r w:rsidRPr="00BA5D77">
        <w:rPr>
          <w:rFonts w:ascii="Gadugi" w:hAnsi="Gadugi"/>
          <w:b/>
          <w:sz w:val="24"/>
          <w:szCs w:val="24"/>
        </w:rPr>
        <w:t>el  24</w:t>
      </w:r>
      <w:proofErr w:type="gramEnd"/>
      <w:r w:rsidRPr="00BA5D77">
        <w:rPr>
          <w:rFonts w:ascii="Gadugi" w:hAnsi="Gadugi"/>
          <w:b/>
          <w:sz w:val="24"/>
          <w:szCs w:val="24"/>
        </w:rPr>
        <w:t xml:space="preserve"> de agosto de 2010</w:t>
      </w:r>
    </w:p>
    <w:p w14:paraId="35636051" w14:textId="77777777" w:rsidR="00991189" w:rsidRDefault="00991189" w:rsidP="00991189">
      <w:pPr>
        <w:spacing w:after="0" w:line="240" w:lineRule="auto"/>
        <w:jc w:val="both"/>
        <w:rPr>
          <w:rFonts w:ascii="Gadugi" w:hAnsi="Gadugi"/>
          <w:b/>
          <w:sz w:val="24"/>
          <w:szCs w:val="24"/>
        </w:rPr>
      </w:pPr>
    </w:p>
    <w:p w14:paraId="4072DA1E" w14:textId="77777777" w:rsidR="00991189" w:rsidRPr="00BA5D77" w:rsidRDefault="00991189" w:rsidP="00991189">
      <w:pPr>
        <w:spacing w:after="0" w:line="240" w:lineRule="auto"/>
        <w:jc w:val="both"/>
        <w:rPr>
          <w:rFonts w:cstheme="minorHAnsi"/>
          <w:sz w:val="24"/>
          <w:szCs w:val="24"/>
          <w:lang w:eastAsia="es-MX"/>
        </w:rPr>
      </w:pPr>
    </w:p>
    <w:p w14:paraId="112690CF" w14:textId="77777777" w:rsidR="00991189" w:rsidRPr="00A3266E" w:rsidRDefault="00991189" w:rsidP="00991189">
      <w:pPr>
        <w:spacing w:after="0" w:line="240" w:lineRule="auto"/>
        <w:jc w:val="both"/>
        <w:rPr>
          <w:rFonts w:cstheme="minorHAnsi"/>
          <w:b/>
          <w:bCs/>
          <w:sz w:val="24"/>
          <w:szCs w:val="24"/>
          <w:lang w:eastAsia="es-MX"/>
        </w:rPr>
      </w:pPr>
      <w:r w:rsidRPr="00A3266E">
        <w:rPr>
          <w:rFonts w:cstheme="minorHAnsi"/>
          <w:b/>
          <w:bCs/>
          <w:sz w:val="24"/>
          <w:szCs w:val="24"/>
          <w:lang w:eastAsia="es-MX"/>
        </w:rPr>
        <w:t>Temática</w:t>
      </w:r>
    </w:p>
    <w:p w14:paraId="0F8E1BDC" w14:textId="77777777" w:rsidR="00991189" w:rsidRPr="00A3266E" w:rsidRDefault="00991189" w:rsidP="00991189">
      <w:pPr>
        <w:pStyle w:val="Prrafodelista"/>
        <w:numPr>
          <w:ilvl w:val="0"/>
          <w:numId w:val="16"/>
        </w:numPr>
        <w:jc w:val="both"/>
        <w:rPr>
          <w:rFonts w:asciiTheme="minorHAnsi" w:hAnsiTheme="minorHAnsi" w:cstheme="minorHAnsi"/>
        </w:rPr>
      </w:pPr>
      <w:r w:rsidRPr="00A3266E">
        <w:rPr>
          <w:rFonts w:asciiTheme="minorHAnsi" w:hAnsiTheme="minorHAnsi" w:cstheme="minorHAnsi"/>
        </w:rPr>
        <w:t>Educación</w:t>
      </w:r>
    </w:p>
    <w:p w14:paraId="59CF8569" w14:textId="77777777" w:rsidR="00991189" w:rsidRPr="00A3266E" w:rsidRDefault="00991189" w:rsidP="00991189">
      <w:pPr>
        <w:pStyle w:val="Prrafodelista"/>
        <w:numPr>
          <w:ilvl w:val="0"/>
          <w:numId w:val="16"/>
        </w:numPr>
        <w:jc w:val="both"/>
        <w:rPr>
          <w:rFonts w:asciiTheme="minorHAnsi" w:hAnsiTheme="minorHAnsi" w:cstheme="minorHAnsi"/>
        </w:rPr>
      </w:pPr>
      <w:r w:rsidRPr="00A3266E">
        <w:rPr>
          <w:rFonts w:asciiTheme="minorHAnsi" w:hAnsiTheme="minorHAnsi" w:cstheme="minorHAnsi"/>
        </w:rPr>
        <w:t>Garantías judiciales y procesales</w:t>
      </w:r>
    </w:p>
    <w:p w14:paraId="093DF9B8" w14:textId="77777777" w:rsidR="00991189" w:rsidRPr="00A3266E" w:rsidRDefault="00991189" w:rsidP="00991189">
      <w:pPr>
        <w:pStyle w:val="Prrafodelista"/>
        <w:numPr>
          <w:ilvl w:val="0"/>
          <w:numId w:val="16"/>
        </w:numPr>
        <w:jc w:val="both"/>
        <w:rPr>
          <w:rFonts w:asciiTheme="minorHAnsi" w:hAnsiTheme="minorHAnsi" w:cstheme="minorHAnsi"/>
        </w:rPr>
      </w:pPr>
      <w:r w:rsidRPr="00A3266E">
        <w:rPr>
          <w:rFonts w:asciiTheme="minorHAnsi" w:hAnsiTheme="minorHAnsi" w:cstheme="minorHAnsi"/>
        </w:rPr>
        <w:t>Pueblos indígenas</w:t>
      </w:r>
    </w:p>
    <w:p w14:paraId="29A1C2E4" w14:textId="77777777" w:rsidR="00991189" w:rsidRPr="00A3266E" w:rsidRDefault="00991189" w:rsidP="00991189">
      <w:pPr>
        <w:pStyle w:val="Prrafodelista"/>
        <w:numPr>
          <w:ilvl w:val="0"/>
          <w:numId w:val="16"/>
        </w:numPr>
        <w:jc w:val="both"/>
        <w:rPr>
          <w:rFonts w:asciiTheme="minorHAnsi" w:hAnsiTheme="minorHAnsi" w:cstheme="minorHAnsi"/>
        </w:rPr>
      </w:pPr>
      <w:r w:rsidRPr="00A3266E">
        <w:rPr>
          <w:rFonts w:asciiTheme="minorHAnsi" w:hAnsiTheme="minorHAnsi" w:cstheme="minorHAnsi"/>
        </w:rPr>
        <w:t>Protección judicial</w:t>
      </w:r>
    </w:p>
    <w:p w14:paraId="3DBE5D66" w14:textId="77777777" w:rsidR="00991189" w:rsidRPr="00A3266E" w:rsidRDefault="00991189" w:rsidP="00991189">
      <w:pPr>
        <w:pStyle w:val="Prrafodelista"/>
        <w:numPr>
          <w:ilvl w:val="0"/>
          <w:numId w:val="16"/>
        </w:numPr>
        <w:jc w:val="both"/>
        <w:rPr>
          <w:rFonts w:cstheme="minorHAnsi"/>
        </w:rPr>
      </w:pPr>
      <w:r w:rsidRPr="00A3266E">
        <w:rPr>
          <w:rFonts w:asciiTheme="minorHAnsi" w:hAnsiTheme="minorHAnsi" w:cstheme="minorHAnsi"/>
        </w:rPr>
        <w:t>Personalidad jurídica</w:t>
      </w:r>
    </w:p>
    <w:p w14:paraId="4B11F137" w14:textId="77777777" w:rsidR="00991189" w:rsidRPr="00BA5D77" w:rsidRDefault="00991189" w:rsidP="00991189">
      <w:pPr>
        <w:spacing w:after="0" w:line="240" w:lineRule="auto"/>
        <w:jc w:val="both"/>
        <w:rPr>
          <w:rFonts w:cstheme="minorHAnsi"/>
          <w:sz w:val="24"/>
          <w:szCs w:val="24"/>
          <w:lang w:eastAsia="es-MX"/>
        </w:rPr>
      </w:pPr>
    </w:p>
    <w:p w14:paraId="0A5F98AF" w14:textId="77777777" w:rsidR="00991189" w:rsidRPr="00A3266E" w:rsidRDefault="00991189" w:rsidP="00991189">
      <w:pPr>
        <w:spacing w:after="0" w:line="240" w:lineRule="auto"/>
        <w:jc w:val="both"/>
        <w:rPr>
          <w:rFonts w:cstheme="minorHAnsi"/>
          <w:b/>
          <w:bCs/>
          <w:sz w:val="24"/>
          <w:szCs w:val="24"/>
          <w:lang w:eastAsia="es-MX"/>
        </w:rPr>
      </w:pPr>
      <w:r w:rsidRPr="00A3266E">
        <w:rPr>
          <w:rFonts w:cstheme="minorHAnsi"/>
          <w:b/>
          <w:bCs/>
          <w:sz w:val="24"/>
          <w:szCs w:val="24"/>
          <w:lang w:eastAsia="es-MX"/>
        </w:rPr>
        <w:t>Caso concreto</w:t>
      </w:r>
    </w:p>
    <w:p w14:paraId="107132EA" w14:textId="77777777" w:rsidR="00991189" w:rsidRPr="00A3266E" w:rsidRDefault="00991189" w:rsidP="00991189">
      <w:pPr>
        <w:spacing w:after="0" w:line="240" w:lineRule="auto"/>
        <w:jc w:val="both"/>
        <w:rPr>
          <w:rFonts w:cstheme="minorHAnsi"/>
          <w:sz w:val="24"/>
          <w:szCs w:val="24"/>
          <w:lang w:eastAsia="es-MX"/>
        </w:rPr>
      </w:pPr>
    </w:p>
    <w:p w14:paraId="61BAFD78" w14:textId="77777777" w:rsidR="00991189" w:rsidRPr="00A3266E" w:rsidRDefault="00991189" w:rsidP="00991189">
      <w:pPr>
        <w:spacing w:after="0" w:line="240" w:lineRule="auto"/>
        <w:jc w:val="both"/>
        <w:rPr>
          <w:rFonts w:cstheme="minorHAnsi"/>
          <w:sz w:val="24"/>
          <w:szCs w:val="24"/>
          <w:lang w:eastAsia="es-MX"/>
        </w:rPr>
      </w:pPr>
      <w:r w:rsidRPr="00A3266E">
        <w:rPr>
          <w:rFonts w:cstheme="minorHAnsi"/>
          <w:sz w:val="24"/>
          <w:szCs w:val="24"/>
          <w:lang w:eastAsia="es-MX"/>
        </w:rPr>
        <w:t xml:space="preserve">El caso se refiere a la responsabilidad internacional del Estado por no haber garantizado el derecho de propiedad ancestral de los miembros de la Comunidad Indígena </w:t>
      </w:r>
      <w:proofErr w:type="spellStart"/>
      <w:r w:rsidRPr="00A3266E">
        <w:rPr>
          <w:rFonts w:cstheme="minorHAnsi"/>
          <w:sz w:val="24"/>
          <w:szCs w:val="24"/>
          <w:lang w:eastAsia="es-MX"/>
        </w:rPr>
        <w:t>Xákmok</w:t>
      </w:r>
      <w:proofErr w:type="spellEnd"/>
      <w:r w:rsidRPr="00A3266E">
        <w:rPr>
          <w:rFonts w:cstheme="minorHAnsi"/>
          <w:sz w:val="24"/>
          <w:szCs w:val="24"/>
          <w:lang w:eastAsia="es-MX"/>
        </w:rPr>
        <w:t xml:space="preserve"> </w:t>
      </w:r>
      <w:proofErr w:type="spellStart"/>
      <w:r w:rsidRPr="00A3266E">
        <w:rPr>
          <w:rFonts w:cstheme="minorHAnsi"/>
          <w:sz w:val="24"/>
          <w:szCs w:val="24"/>
          <w:lang w:eastAsia="es-MX"/>
        </w:rPr>
        <w:t>Kásek</w:t>
      </w:r>
      <w:proofErr w:type="spellEnd"/>
      <w:r w:rsidRPr="00A3266E">
        <w:rPr>
          <w:rFonts w:cstheme="minorHAnsi"/>
          <w:sz w:val="24"/>
          <w:szCs w:val="24"/>
          <w:lang w:eastAsia="es-MX"/>
        </w:rPr>
        <w:t xml:space="preserve"> del Pueblo </w:t>
      </w:r>
      <w:proofErr w:type="spellStart"/>
      <w:r w:rsidRPr="00A3266E">
        <w:rPr>
          <w:rFonts w:cstheme="minorHAnsi"/>
          <w:sz w:val="24"/>
          <w:szCs w:val="24"/>
          <w:lang w:eastAsia="es-MX"/>
        </w:rPr>
        <w:t>Enxet</w:t>
      </w:r>
      <w:proofErr w:type="spellEnd"/>
      <w:r w:rsidRPr="00A3266E">
        <w:rPr>
          <w:rFonts w:cstheme="minorHAnsi"/>
          <w:sz w:val="24"/>
          <w:szCs w:val="24"/>
          <w:lang w:eastAsia="es-MX"/>
        </w:rPr>
        <w:t>-Lengua, lo cual ha generado una amenaza a su supervivencia.</w:t>
      </w:r>
    </w:p>
    <w:p w14:paraId="5D9AC2DA" w14:textId="77777777" w:rsidR="00991189" w:rsidRPr="00A3266E" w:rsidRDefault="00991189" w:rsidP="00991189">
      <w:pPr>
        <w:spacing w:after="0" w:line="240" w:lineRule="auto"/>
        <w:jc w:val="both"/>
        <w:rPr>
          <w:rFonts w:cstheme="minorHAnsi"/>
          <w:sz w:val="24"/>
          <w:szCs w:val="24"/>
          <w:lang w:eastAsia="es-MX"/>
        </w:rPr>
      </w:pPr>
    </w:p>
    <w:p w14:paraId="1532125E" w14:textId="77777777" w:rsidR="00991189" w:rsidRPr="00A3266E" w:rsidRDefault="00991189" w:rsidP="00991189">
      <w:pPr>
        <w:spacing w:after="0" w:line="240" w:lineRule="auto"/>
        <w:jc w:val="both"/>
        <w:rPr>
          <w:rFonts w:cstheme="minorHAnsi"/>
          <w:b/>
          <w:bCs/>
          <w:sz w:val="24"/>
          <w:szCs w:val="24"/>
          <w:lang w:eastAsia="es-MX"/>
        </w:rPr>
      </w:pPr>
    </w:p>
    <w:p w14:paraId="3CF76C93" w14:textId="77777777" w:rsidR="00991189" w:rsidRPr="00A3266E" w:rsidRDefault="00991189" w:rsidP="00991189">
      <w:pPr>
        <w:spacing w:after="0" w:line="240" w:lineRule="auto"/>
        <w:jc w:val="both"/>
        <w:rPr>
          <w:rFonts w:cstheme="minorHAnsi"/>
          <w:b/>
          <w:bCs/>
          <w:sz w:val="24"/>
          <w:szCs w:val="24"/>
          <w:lang w:eastAsia="es-MX"/>
        </w:rPr>
      </w:pPr>
      <w:r w:rsidRPr="00A3266E">
        <w:rPr>
          <w:rFonts w:cstheme="minorHAnsi"/>
          <w:b/>
          <w:bCs/>
          <w:sz w:val="24"/>
          <w:szCs w:val="24"/>
          <w:lang w:eastAsia="es-MX"/>
        </w:rPr>
        <w:t>Hechos</w:t>
      </w:r>
    </w:p>
    <w:p w14:paraId="7B0D27BA" w14:textId="77777777" w:rsidR="00991189" w:rsidRPr="00A3266E" w:rsidRDefault="00991189" w:rsidP="00991189">
      <w:pPr>
        <w:spacing w:after="0" w:line="240" w:lineRule="auto"/>
        <w:jc w:val="both"/>
        <w:rPr>
          <w:rFonts w:cstheme="minorHAnsi"/>
          <w:sz w:val="24"/>
          <w:szCs w:val="24"/>
          <w:lang w:eastAsia="es-MX"/>
        </w:rPr>
      </w:pPr>
    </w:p>
    <w:p w14:paraId="42BA1317" w14:textId="77777777" w:rsidR="00991189" w:rsidRPr="00A3266E" w:rsidRDefault="00991189" w:rsidP="00991189">
      <w:pPr>
        <w:spacing w:after="0" w:line="240" w:lineRule="auto"/>
        <w:jc w:val="both"/>
        <w:rPr>
          <w:rFonts w:cstheme="minorHAnsi"/>
          <w:sz w:val="24"/>
          <w:szCs w:val="24"/>
          <w:lang w:eastAsia="es-MX"/>
        </w:rPr>
      </w:pPr>
      <w:r w:rsidRPr="00A3266E">
        <w:rPr>
          <w:rFonts w:cstheme="minorHAnsi"/>
          <w:sz w:val="24"/>
          <w:szCs w:val="24"/>
          <w:lang w:eastAsia="es-MX"/>
        </w:rPr>
        <w:t>1. Antes de la colonización del Chaco los indígenas vivían en comunidades pequeñas y flexibles. La economía de los miembros de los pueblos indígenas del Chaco se basaba principalmente en la caza, recolección y pesca. También cultivaban pequeñas huertas y poseían algunos animales domésticos. Recorrían sus tierras utilizando la naturaleza en la medida que las estaciones y la tecnología cultural les permitía aprovecharla, lo cual determinaba que se desplazaran y ocuparan un área muy extensa de territorio.</w:t>
      </w:r>
    </w:p>
    <w:p w14:paraId="777B3165" w14:textId="77777777" w:rsidR="00991189" w:rsidRPr="00A3266E" w:rsidRDefault="00991189" w:rsidP="00991189">
      <w:pPr>
        <w:spacing w:after="0" w:line="240" w:lineRule="auto"/>
        <w:jc w:val="both"/>
        <w:rPr>
          <w:rFonts w:cstheme="minorHAnsi"/>
          <w:sz w:val="24"/>
          <w:szCs w:val="24"/>
          <w:lang w:eastAsia="es-MX"/>
        </w:rPr>
      </w:pPr>
    </w:p>
    <w:p w14:paraId="4C22D9F0" w14:textId="77777777" w:rsidR="00991189" w:rsidRPr="00A3266E" w:rsidRDefault="00991189" w:rsidP="00991189">
      <w:pPr>
        <w:spacing w:after="0" w:line="240" w:lineRule="auto"/>
        <w:jc w:val="both"/>
        <w:rPr>
          <w:rFonts w:cstheme="minorHAnsi"/>
          <w:sz w:val="24"/>
          <w:szCs w:val="24"/>
          <w:lang w:eastAsia="es-MX"/>
        </w:rPr>
      </w:pPr>
      <w:r w:rsidRPr="00A3266E">
        <w:rPr>
          <w:rFonts w:cstheme="minorHAnsi"/>
          <w:sz w:val="24"/>
          <w:szCs w:val="24"/>
          <w:lang w:eastAsia="es-MX"/>
        </w:rPr>
        <w:t xml:space="preserve">2. Entre los años 1885 y 1887, el Estado vendió dos tercios del Chaco en la bolsa de valores de Londres para financiar la deuda del Paraguay tras la llamada guerra de la Triple Alianza. </w:t>
      </w:r>
      <w:r w:rsidRPr="00A3266E">
        <w:rPr>
          <w:rFonts w:cstheme="minorHAnsi"/>
          <w:sz w:val="24"/>
          <w:szCs w:val="24"/>
          <w:lang w:eastAsia="es-MX"/>
        </w:rPr>
        <w:lastRenderedPageBreak/>
        <w:t>La división y venta de estos territorios fue realizada con desconocimiento de la población que los habitaba, que en ese entonces era exclusivamente indígena.</w:t>
      </w:r>
    </w:p>
    <w:p w14:paraId="700FBBE7" w14:textId="77777777" w:rsidR="00991189" w:rsidRPr="00A3266E" w:rsidRDefault="00991189" w:rsidP="00991189">
      <w:pPr>
        <w:spacing w:after="0" w:line="240" w:lineRule="auto"/>
        <w:jc w:val="both"/>
        <w:rPr>
          <w:rFonts w:cstheme="minorHAnsi"/>
          <w:sz w:val="24"/>
          <w:szCs w:val="24"/>
          <w:lang w:eastAsia="es-MX"/>
        </w:rPr>
      </w:pPr>
    </w:p>
    <w:p w14:paraId="26A88674" w14:textId="77777777" w:rsidR="00991189" w:rsidRPr="00A3266E" w:rsidRDefault="00991189" w:rsidP="00991189">
      <w:pPr>
        <w:spacing w:after="0" w:line="240" w:lineRule="auto"/>
        <w:jc w:val="both"/>
        <w:rPr>
          <w:rFonts w:cstheme="minorHAnsi"/>
          <w:sz w:val="24"/>
          <w:szCs w:val="24"/>
          <w:lang w:eastAsia="es-MX"/>
        </w:rPr>
      </w:pPr>
    </w:p>
    <w:p w14:paraId="2A3ADB98" w14:textId="77777777" w:rsidR="00991189" w:rsidRPr="00A3266E" w:rsidRDefault="00991189" w:rsidP="00991189">
      <w:pPr>
        <w:spacing w:after="0" w:line="240" w:lineRule="auto"/>
        <w:jc w:val="both"/>
        <w:rPr>
          <w:rFonts w:cstheme="minorHAnsi"/>
          <w:b/>
          <w:bCs/>
          <w:sz w:val="24"/>
          <w:szCs w:val="24"/>
          <w:lang w:eastAsia="es-MX"/>
        </w:rPr>
      </w:pPr>
      <w:r w:rsidRPr="00A3266E">
        <w:rPr>
          <w:rFonts w:cstheme="minorHAnsi"/>
          <w:b/>
          <w:bCs/>
          <w:sz w:val="24"/>
          <w:szCs w:val="24"/>
          <w:lang w:eastAsia="es-MX"/>
        </w:rPr>
        <w:t xml:space="preserve">Consideraciones de la </w:t>
      </w:r>
      <w:proofErr w:type="spellStart"/>
      <w:r w:rsidRPr="00A3266E">
        <w:rPr>
          <w:rFonts w:cstheme="minorHAnsi"/>
          <w:b/>
          <w:bCs/>
          <w:sz w:val="24"/>
          <w:szCs w:val="24"/>
          <w:lang w:eastAsia="es-MX"/>
        </w:rPr>
        <w:t>CoIDH</w:t>
      </w:r>
      <w:proofErr w:type="spellEnd"/>
    </w:p>
    <w:p w14:paraId="2F072CB0" w14:textId="77777777" w:rsidR="00991189" w:rsidRPr="00A3266E" w:rsidRDefault="00991189" w:rsidP="00991189">
      <w:pPr>
        <w:spacing w:after="0" w:line="240" w:lineRule="auto"/>
        <w:jc w:val="both"/>
        <w:rPr>
          <w:rFonts w:cstheme="minorHAnsi"/>
          <w:b/>
          <w:bCs/>
          <w:sz w:val="24"/>
          <w:szCs w:val="24"/>
          <w:lang w:eastAsia="es-MX"/>
        </w:rPr>
      </w:pPr>
    </w:p>
    <w:p w14:paraId="414A26F1" w14:textId="77777777" w:rsidR="00991189" w:rsidRDefault="00991189" w:rsidP="00991189">
      <w:pPr>
        <w:spacing w:after="0" w:line="240" w:lineRule="auto"/>
        <w:jc w:val="both"/>
        <w:rPr>
          <w:rFonts w:cstheme="minorHAnsi"/>
          <w:b/>
          <w:bCs/>
          <w:sz w:val="24"/>
          <w:szCs w:val="24"/>
          <w:lang w:eastAsia="es-MX"/>
        </w:rPr>
      </w:pPr>
      <w:r w:rsidRPr="00A3266E">
        <w:rPr>
          <w:rFonts w:cstheme="minorHAnsi"/>
          <w:b/>
          <w:bCs/>
          <w:sz w:val="24"/>
          <w:szCs w:val="24"/>
          <w:lang w:eastAsia="es-MX"/>
        </w:rPr>
        <w:t>Reparacione</w:t>
      </w:r>
      <w:r>
        <w:rPr>
          <w:rFonts w:cstheme="minorHAnsi"/>
          <w:b/>
          <w:bCs/>
          <w:sz w:val="24"/>
          <w:szCs w:val="24"/>
          <w:lang w:eastAsia="es-MX"/>
        </w:rPr>
        <w:t>s</w:t>
      </w:r>
    </w:p>
    <w:p w14:paraId="54C4BE92" w14:textId="77777777" w:rsidR="00991189" w:rsidRPr="00A3266E" w:rsidRDefault="00991189" w:rsidP="00991189">
      <w:pPr>
        <w:spacing w:after="0" w:line="240" w:lineRule="auto"/>
        <w:jc w:val="both"/>
        <w:rPr>
          <w:rFonts w:cstheme="minorHAnsi"/>
          <w:b/>
          <w:bCs/>
          <w:sz w:val="24"/>
          <w:szCs w:val="24"/>
          <w:lang w:eastAsia="es-MX"/>
        </w:rPr>
      </w:pPr>
    </w:p>
    <w:p w14:paraId="1ACFCAC5" w14:textId="77777777" w:rsidR="00991189" w:rsidRPr="00A3266E" w:rsidRDefault="00991189" w:rsidP="00991189">
      <w:pPr>
        <w:spacing w:after="0" w:line="240" w:lineRule="auto"/>
        <w:jc w:val="both"/>
        <w:rPr>
          <w:rFonts w:cstheme="minorHAnsi"/>
          <w:sz w:val="24"/>
          <w:szCs w:val="24"/>
          <w:lang w:eastAsia="es-MX"/>
        </w:rPr>
      </w:pPr>
      <w:r w:rsidRPr="00A3266E">
        <w:rPr>
          <w:rFonts w:cstheme="minorHAnsi"/>
          <w:sz w:val="24"/>
          <w:szCs w:val="24"/>
          <w:lang w:eastAsia="es-MX"/>
        </w:rPr>
        <w:t>La Corte dispone que:</w:t>
      </w:r>
    </w:p>
    <w:p w14:paraId="30A2B857" w14:textId="77777777" w:rsidR="00991189" w:rsidRPr="00A3266E" w:rsidRDefault="00991189" w:rsidP="00991189">
      <w:pPr>
        <w:spacing w:after="0" w:line="240" w:lineRule="auto"/>
        <w:jc w:val="both"/>
        <w:rPr>
          <w:rFonts w:cstheme="minorHAnsi"/>
          <w:sz w:val="24"/>
          <w:szCs w:val="24"/>
          <w:lang w:eastAsia="es-MX"/>
        </w:rPr>
      </w:pPr>
    </w:p>
    <w:p w14:paraId="6D86B419" w14:textId="77777777" w:rsidR="00991189" w:rsidRPr="00A3266E" w:rsidRDefault="00991189" w:rsidP="00991189">
      <w:pPr>
        <w:spacing w:after="0" w:line="240" w:lineRule="auto"/>
        <w:jc w:val="both"/>
        <w:rPr>
          <w:rFonts w:cstheme="minorHAnsi"/>
          <w:sz w:val="24"/>
          <w:szCs w:val="24"/>
          <w:lang w:eastAsia="es-MX"/>
        </w:rPr>
      </w:pPr>
      <w:r w:rsidRPr="00A3266E">
        <w:rPr>
          <w:rFonts w:cstheme="minorHAnsi"/>
          <w:sz w:val="24"/>
          <w:szCs w:val="24"/>
          <w:lang w:eastAsia="es-MX"/>
        </w:rPr>
        <w:t>1. Esta Sentencia constituye per se una forma de reparación.</w:t>
      </w:r>
    </w:p>
    <w:p w14:paraId="63B822C2" w14:textId="77777777" w:rsidR="00991189" w:rsidRPr="00A3266E" w:rsidRDefault="00991189" w:rsidP="00991189">
      <w:pPr>
        <w:spacing w:after="0" w:line="240" w:lineRule="auto"/>
        <w:jc w:val="both"/>
        <w:rPr>
          <w:rFonts w:cstheme="minorHAnsi"/>
          <w:sz w:val="24"/>
          <w:szCs w:val="24"/>
          <w:lang w:eastAsia="es-MX"/>
        </w:rPr>
      </w:pPr>
    </w:p>
    <w:p w14:paraId="2A1A5A19" w14:textId="77777777" w:rsidR="00991189" w:rsidRPr="00A3266E" w:rsidRDefault="00991189" w:rsidP="00991189">
      <w:pPr>
        <w:spacing w:after="0" w:line="240" w:lineRule="auto"/>
        <w:jc w:val="both"/>
        <w:rPr>
          <w:rFonts w:cstheme="minorHAnsi"/>
          <w:sz w:val="24"/>
          <w:szCs w:val="24"/>
          <w:lang w:eastAsia="es-MX"/>
        </w:rPr>
      </w:pPr>
      <w:r w:rsidRPr="00A3266E">
        <w:rPr>
          <w:rFonts w:cstheme="minorHAnsi"/>
          <w:sz w:val="24"/>
          <w:szCs w:val="24"/>
          <w:lang w:eastAsia="es-MX"/>
        </w:rPr>
        <w:t xml:space="preserve">2. El Estado deberá devolver a los miembros de la Comunidad </w:t>
      </w:r>
      <w:proofErr w:type="spellStart"/>
      <w:r w:rsidRPr="00A3266E">
        <w:rPr>
          <w:rFonts w:cstheme="minorHAnsi"/>
          <w:sz w:val="24"/>
          <w:szCs w:val="24"/>
          <w:lang w:eastAsia="es-MX"/>
        </w:rPr>
        <w:t>Xákmok</w:t>
      </w:r>
      <w:proofErr w:type="spellEnd"/>
      <w:r w:rsidRPr="00A3266E">
        <w:rPr>
          <w:rFonts w:cstheme="minorHAnsi"/>
          <w:sz w:val="24"/>
          <w:szCs w:val="24"/>
          <w:lang w:eastAsia="es-MX"/>
        </w:rPr>
        <w:t xml:space="preserve"> </w:t>
      </w:r>
      <w:proofErr w:type="spellStart"/>
      <w:r w:rsidRPr="00A3266E">
        <w:rPr>
          <w:rFonts w:cstheme="minorHAnsi"/>
          <w:sz w:val="24"/>
          <w:szCs w:val="24"/>
          <w:lang w:eastAsia="es-MX"/>
        </w:rPr>
        <w:t>Kásek</w:t>
      </w:r>
      <w:proofErr w:type="spellEnd"/>
      <w:r w:rsidRPr="00A3266E">
        <w:rPr>
          <w:rFonts w:cstheme="minorHAnsi"/>
          <w:sz w:val="24"/>
          <w:szCs w:val="24"/>
          <w:lang w:eastAsia="es-MX"/>
        </w:rPr>
        <w:t xml:space="preserve"> las 10.700 hectáreas reclamadas por ésta, en la forma y en los plazos establecidos en los párrafos 281 a 290 de esta Sentencia.</w:t>
      </w:r>
    </w:p>
    <w:p w14:paraId="4FFF40F4" w14:textId="77777777" w:rsidR="00991189" w:rsidRPr="00A3266E" w:rsidRDefault="00991189" w:rsidP="00991189">
      <w:pPr>
        <w:spacing w:after="0" w:line="240" w:lineRule="auto"/>
        <w:jc w:val="both"/>
        <w:rPr>
          <w:rFonts w:cstheme="minorHAnsi"/>
          <w:sz w:val="24"/>
          <w:szCs w:val="24"/>
          <w:lang w:eastAsia="es-MX"/>
        </w:rPr>
      </w:pPr>
    </w:p>
    <w:p w14:paraId="0E6BC29C" w14:textId="77777777" w:rsidR="00991189" w:rsidRPr="00A3266E" w:rsidRDefault="00991189" w:rsidP="00991189">
      <w:pPr>
        <w:spacing w:after="0" w:line="240" w:lineRule="auto"/>
        <w:jc w:val="both"/>
        <w:rPr>
          <w:rFonts w:cstheme="minorHAnsi"/>
          <w:sz w:val="24"/>
          <w:szCs w:val="24"/>
          <w:lang w:eastAsia="es-MX"/>
        </w:rPr>
      </w:pPr>
      <w:r w:rsidRPr="00A3266E">
        <w:rPr>
          <w:rFonts w:cstheme="minorHAnsi"/>
          <w:sz w:val="24"/>
          <w:szCs w:val="24"/>
          <w:lang w:eastAsia="es-MX"/>
        </w:rPr>
        <w:t xml:space="preserve">3. El Estado deberá velar inmediatamente que el territorio reclamado por la Comunidad no se vea menoscabado por acciones del propio Estado o de terceros particulares, de conformidad con lo dispuesto en el párrafo 291 de esta Sentencia. </w:t>
      </w:r>
    </w:p>
    <w:p w14:paraId="571598B6" w14:textId="77777777" w:rsidR="00991189" w:rsidRPr="00A3266E" w:rsidRDefault="00991189" w:rsidP="00991189">
      <w:pPr>
        <w:spacing w:after="0" w:line="240" w:lineRule="auto"/>
        <w:jc w:val="both"/>
        <w:rPr>
          <w:rFonts w:cstheme="minorHAnsi"/>
          <w:sz w:val="24"/>
          <w:szCs w:val="24"/>
          <w:lang w:eastAsia="es-MX"/>
        </w:rPr>
      </w:pPr>
    </w:p>
    <w:p w14:paraId="7290673D" w14:textId="77777777" w:rsidR="00991189" w:rsidRPr="00A3266E" w:rsidRDefault="00991189" w:rsidP="00991189">
      <w:pPr>
        <w:spacing w:after="0" w:line="240" w:lineRule="auto"/>
        <w:jc w:val="both"/>
        <w:rPr>
          <w:rFonts w:cstheme="minorHAnsi"/>
          <w:sz w:val="24"/>
          <w:szCs w:val="24"/>
          <w:lang w:eastAsia="es-MX"/>
        </w:rPr>
      </w:pPr>
      <w:r w:rsidRPr="00A3266E">
        <w:rPr>
          <w:rFonts w:cstheme="minorHAnsi"/>
          <w:sz w:val="24"/>
          <w:szCs w:val="24"/>
          <w:lang w:eastAsia="es-MX"/>
        </w:rPr>
        <w:t xml:space="preserve">4. El Estado deberá, dentro del plazo de seis meses a partir de la notificación de la presente Sentencia, remover los obstáculos formales para la titulación de las 1.500 hectáreas en "25 de </w:t>
      </w:r>
      <w:proofErr w:type="gramStart"/>
      <w:r w:rsidRPr="00A3266E">
        <w:rPr>
          <w:rFonts w:cstheme="minorHAnsi"/>
          <w:sz w:val="24"/>
          <w:szCs w:val="24"/>
          <w:lang w:eastAsia="es-MX"/>
        </w:rPr>
        <w:t>Febrero</w:t>
      </w:r>
      <w:proofErr w:type="gramEnd"/>
      <w:r w:rsidRPr="00A3266E">
        <w:rPr>
          <w:rFonts w:cstheme="minorHAnsi"/>
          <w:sz w:val="24"/>
          <w:szCs w:val="24"/>
          <w:lang w:eastAsia="es-MX"/>
        </w:rPr>
        <w:t xml:space="preserve">" a favor de la Comunidad </w:t>
      </w:r>
      <w:proofErr w:type="spellStart"/>
      <w:r w:rsidRPr="00A3266E">
        <w:rPr>
          <w:rFonts w:cstheme="minorHAnsi"/>
          <w:sz w:val="24"/>
          <w:szCs w:val="24"/>
          <w:lang w:eastAsia="es-MX"/>
        </w:rPr>
        <w:t>Xákmok</w:t>
      </w:r>
      <w:proofErr w:type="spellEnd"/>
      <w:r w:rsidRPr="00A3266E">
        <w:rPr>
          <w:rFonts w:cstheme="minorHAnsi"/>
          <w:sz w:val="24"/>
          <w:szCs w:val="24"/>
          <w:lang w:eastAsia="es-MX"/>
        </w:rPr>
        <w:t xml:space="preserve"> </w:t>
      </w:r>
      <w:proofErr w:type="spellStart"/>
      <w:r w:rsidRPr="00A3266E">
        <w:rPr>
          <w:rFonts w:cstheme="minorHAnsi"/>
          <w:sz w:val="24"/>
          <w:szCs w:val="24"/>
          <w:lang w:eastAsia="es-MX"/>
        </w:rPr>
        <w:t>Kásek</w:t>
      </w:r>
      <w:proofErr w:type="spellEnd"/>
      <w:r w:rsidRPr="00A3266E">
        <w:rPr>
          <w:rFonts w:cstheme="minorHAnsi"/>
          <w:sz w:val="24"/>
          <w:szCs w:val="24"/>
          <w:lang w:eastAsia="es-MX"/>
        </w:rPr>
        <w:t>, de conformidad con lo dispuesto en el párrafo 293 de esta Sentencia.</w:t>
      </w:r>
    </w:p>
    <w:p w14:paraId="28D5894C" w14:textId="77777777" w:rsidR="00991189" w:rsidRPr="00A3266E" w:rsidRDefault="00991189" w:rsidP="00991189">
      <w:pPr>
        <w:spacing w:after="0" w:line="240" w:lineRule="auto"/>
        <w:jc w:val="both"/>
        <w:rPr>
          <w:rFonts w:cstheme="minorHAnsi"/>
          <w:sz w:val="24"/>
          <w:szCs w:val="24"/>
          <w:lang w:eastAsia="es-MX"/>
        </w:rPr>
      </w:pPr>
    </w:p>
    <w:p w14:paraId="2300DF16" w14:textId="77777777" w:rsidR="00991189" w:rsidRPr="00A3266E" w:rsidRDefault="00991189" w:rsidP="00991189">
      <w:pPr>
        <w:spacing w:after="0" w:line="240" w:lineRule="auto"/>
        <w:jc w:val="both"/>
        <w:rPr>
          <w:rFonts w:cstheme="minorHAnsi"/>
          <w:sz w:val="24"/>
          <w:szCs w:val="24"/>
          <w:lang w:eastAsia="es-MX"/>
        </w:rPr>
      </w:pPr>
      <w:r w:rsidRPr="00A3266E">
        <w:rPr>
          <w:rFonts w:cstheme="minorHAnsi"/>
          <w:sz w:val="24"/>
          <w:szCs w:val="24"/>
          <w:lang w:eastAsia="es-MX"/>
        </w:rPr>
        <w:t xml:space="preserve">5. El Estado deberá titular, dentro del plazo de un año a partir de la notificación de esta Sentencia, las 1.500 hectáreas en "25 de </w:t>
      </w:r>
      <w:proofErr w:type="gramStart"/>
      <w:r w:rsidRPr="00A3266E">
        <w:rPr>
          <w:rFonts w:cstheme="minorHAnsi"/>
          <w:sz w:val="24"/>
          <w:szCs w:val="24"/>
          <w:lang w:eastAsia="es-MX"/>
        </w:rPr>
        <w:t>Febrero</w:t>
      </w:r>
      <w:proofErr w:type="gramEnd"/>
      <w:r w:rsidRPr="00A3266E">
        <w:rPr>
          <w:rFonts w:cstheme="minorHAnsi"/>
          <w:sz w:val="24"/>
          <w:szCs w:val="24"/>
          <w:lang w:eastAsia="es-MX"/>
        </w:rPr>
        <w:t xml:space="preserve">" a favor de la Comunidad </w:t>
      </w:r>
      <w:proofErr w:type="spellStart"/>
      <w:r w:rsidRPr="00A3266E">
        <w:rPr>
          <w:rFonts w:cstheme="minorHAnsi"/>
          <w:sz w:val="24"/>
          <w:szCs w:val="24"/>
          <w:lang w:eastAsia="es-MX"/>
        </w:rPr>
        <w:t>Xákmok</w:t>
      </w:r>
      <w:proofErr w:type="spellEnd"/>
      <w:r w:rsidRPr="00A3266E">
        <w:rPr>
          <w:rFonts w:cstheme="minorHAnsi"/>
          <w:sz w:val="24"/>
          <w:szCs w:val="24"/>
          <w:lang w:eastAsia="es-MX"/>
        </w:rPr>
        <w:t xml:space="preserve"> </w:t>
      </w:r>
      <w:proofErr w:type="spellStart"/>
      <w:r w:rsidRPr="00A3266E">
        <w:rPr>
          <w:rFonts w:cstheme="minorHAnsi"/>
          <w:sz w:val="24"/>
          <w:szCs w:val="24"/>
          <w:lang w:eastAsia="es-MX"/>
        </w:rPr>
        <w:t>Kásek</w:t>
      </w:r>
      <w:proofErr w:type="spellEnd"/>
      <w:r w:rsidRPr="00A3266E">
        <w:rPr>
          <w:rFonts w:cstheme="minorHAnsi"/>
          <w:sz w:val="24"/>
          <w:szCs w:val="24"/>
          <w:lang w:eastAsia="es-MX"/>
        </w:rPr>
        <w:t>, de conformidad con lo establecido en los párrafos 294 y 295 de esta Sentencia.</w:t>
      </w:r>
    </w:p>
    <w:p w14:paraId="737B047D" w14:textId="77777777" w:rsidR="00991189" w:rsidRPr="00A3266E" w:rsidRDefault="00991189" w:rsidP="00991189">
      <w:pPr>
        <w:spacing w:after="0" w:line="240" w:lineRule="auto"/>
        <w:jc w:val="both"/>
        <w:rPr>
          <w:rFonts w:cstheme="minorHAnsi"/>
          <w:sz w:val="24"/>
          <w:szCs w:val="24"/>
          <w:lang w:eastAsia="es-MX"/>
        </w:rPr>
      </w:pPr>
    </w:p>
    <w:p w14:paraId="516823C6" w14:textId="77777777" w:rsidR="00991189" w:rsidRPr="00A3266E" w:rsidRDefault="00991189" w:rsidP="00991189">
      <w:pPr>
        <w:spacing w:after="0" w:line="240" w:lineRule="auto"/>
        <w:jc w:val="both"/>
        <w:rPr>
          <w:rFonts w:cstheme="minorHAnsi"/>
          <w:sz w:val="24"/>
          <w:szCs w:val="24"/>
          <w:lang w:eastAsia="es-MX"/>
        </w:rPr>
      </w:pPr>
      <w:r w:rsidRPr="00A3266E">
        <w:rPr>
          <w:rFonts w:cstheme="minorHAnsi"/>
          <w:sz w:val="24"/>
          <w:szCs w:val="24"/>
          <w:lang w:eastAsia="es-MX"/>
        </w:rPr>
        <w:t xml:space="preserve">6. El Estado deberá realizar un acto público de reconocimiento de su responsabilidad internacional, en el plazo de un año a partir de la notificación de esta Sentencia, en los términos del párrafo 297 de la misma. </w:t>
      </w:r>
    </w:p>
    <w:p w14:paraId="23314038" w14:textId="77777777" w:rsidR="00991189" w:rsidRPr="00A3266E" w:rsidRDefault="00991189" w:rsidP="00991189">
      <w:pPr>
        <w:spacing w:after="0" w:line="240" w:lineRule="auto"/>
        <w:jc w:val="both"/>
        <w:rPr>
          <w:rFonts w:cstheme="minorHAnsi"/>
          <w:sz w:val="24"/>
          <w:szCs w:val="24"/>
          <w:lang w:eastAsia="es-MX"/>
        </w:rPr>
      </w:pPr>
    </w:p>
    <w:p w14:paraId="33795D4A" w14:textId="77777777" w:rsidR="00991189" w:rsidRPr="00A3266E" w:rsidRDefault="00991189" w:rsidP="00991189">
      <w:pPr>
        <w:spacing w:after="0" w:line="240" w:lineRule="auto"/>
        <w:jc w:val="both"/>
        <w:rPr>
          <w:rFonts w:cstheme="minorHAnsi"/>
          <w:sz w:val="24"/>
          <w:szCs w:val="24"/>
          <w:lang w:eastAsia="es-MX"/>
        </w:rPr>
      </w:pPr>
      <w:r w:rsidRPr="00A3266E">
        <w:rPr>
          <w:rFonts w:cstheme="minorHAnsi"/>
          <w:sz w:val="24"/>
          <w:szCs w:val="24"/>
          <w:lang w:eastAsia="es-MX"/>
        </w:rPr>
        <w:t xml:space="preserve">7. El Estado deberá realizar las publicaciones ordenadas en el párrafo 298 de esta Sentencia, en la forma y en los plazos indicados en el mencionado párrafo. </w:t>
      </w:r>
    </w:p>
    <w:p w14:paraId="51FCBB85" w14:textId="77777777" w:rsidR="00991189" w:rsidRPr="00A3266E" w:rsidRDefault="00991189" w:rsidP="00991189">
      <w:pPr>
        <w:spacing w:after="0" w:line="240" w:lineRule="auto"/>
        <w:jc w:val="both"/>
        <w:rPr>
          <w:rFonts w:cstheme="minorHAnsi"/>
          <w:sz w:val="24"/>
          <w:szCs w:val="24"/>
          <w:lang w:eastAsia="es-MX"/>
        </w:rPr>
      </w:pPr>
    </w:p>
    <w:p w14:paraId="67B2BCC6" w14:textId="77777777" w:rsidR="00991189" w:rsidRPr="00A3266E" w:rsidRDefault="00991189" w:rsidP="00991189">
      <w:pPr>
        <w:spacing w:after="0" w:line="240" w:lineRule="auto"/>
        <w:jc w:val="both"/>
        <w:rPr>
          <w:rFonts w:cstheme="minorHAnsi"/>
          <w:sz w:val="24"/>
          <w:szCs w:val="24"/>
          <w:lang w:eastAsia="es-MX"/>
        </w:rPr>
      </w:pPr>
      <w:r w:rsidRPr="00A3266E">
        <w:rPr>
          <w:rFonts w:cstheme="minorHAnsi"/>
          <w:sz w:val="24"/>
          <w:szCs w:val="24"/>
          <w:lang w:eastAsia="es-MX"/>
        </w:rPr>
        <w:t>8. El Estado deberá dar publicidad, a través de una emisora radial de amplia cobertura en la región del Chaco, al resumen oficial de la Sentencia emitido por la Corte, en la forma y en el plazo indicado en el párrafo 299 de esta Sentencia.</w:t>
      </w:r>
    </w:p>
    <w:p w14:paraId="4F00E181" w14:textId="77777777" w:rsidR="00991189" w:rsidRPr="00A3266E" w:rsidRDefault="00991189" w:rsidP="00991189">
      <w:pPr>
        <w:spacing w:after="0" w:line="240" w:lineRule="auto"/>
        <w:jc w:val="both"/>
        <w:rPr>
          <w:rFonts w:cstheme="minorHAnsi"/>
          <w:sz w:val="24"/>
          <w:szCs w:val="24"/>
          <w:lang w:eastAsia="es-MX"/>
        </w:rPr>
      </w:pPr>
    </w:p>
    <w:p w14:paraId="6FD7E914" w14:textId="77777777" w:rsidR="00991189" w:rsidRPr="00A3266E" w:rsidRDefault="00991189" w:rsidP="00991189">
      <w:pPr>
        <w:spacing w:after="0" w:line="240" w:lineRule="auto"/>
        <w:jc w:val="both"/>
        <w:rPr>
          <w:rFonts w:cstheme="minorHAnsi"/>
          <w:sz w:val="24"/>
          <w:szCs w:val="24"/>
          <w:lang w:eastAsia="es-MX"/>
        </w:rPr>
      </w:pPr>
      <w:r w:rsidRPr="00A3266E">
        <w:rPr>
          <w:rFonts w:cstheme="minorHAnsi"/>
          <w:sz w:val="24"/>
          <w:szCs w:val="24"/>
          <w:lang w:eastAsia="es-MX"/>
        </w:rPr>
        <w:t>9.</w:t>
      </w:r>
      <w:r>
        <w:rPr>
          <w:rFonts w:cstheme="minorHAnsi"/>
          <w:sz w:val="24"/>
          <w:szCs w:val="24"/>
          <w:lang w:eastAsia="es-MX"/>
        </w:rPr>
        <w:t xml:space="preserve"> </w:t>
      </w:r>
      <w:r w:rsidRPr="00A3266E">
        <w:rPr>
          <w:rFonts w:cstheme="minorHAnsi"/>
          <w:sz w:val="24"/>
          <w:szCs w:val="24"/>
          <w:lang w:eastAsia="es-MX"/>
        </w:rPr>
        <w:t xml:space="preserve">El Estado, mientras entrega el territorio tradicional, o en su caso las tierras alternativas a los miembros de la Comunidad, deberá adoptar de manera inmediata, periódica y permanente, las medidas indicadas en los párrafos 301 y 302 de esta Sentencia. </w:t>
      </w:r>
    </w:p>
    <w:p w14:paraId="49158E97" w14:textId="77777777" w:rsidR="00991189" w:rsidRPr="00A3266E" w:rsidRDefault="00991189" w:rsidP="00991189">
      <w:pPr>
        <w:spacing w:after="0" w:line="240" w:lineRule="auto"/>
        <w:jc w:val="both"/>
        <w:rPr>
          <w:rFonts w:cstheme="minorHAnsi"/>
          <w:sz w:val="24"/>
          <w:szCs w:val="24"/>
          <w:lang w:eastAsia="es-MX"/>
        </w:rPr>
      </w:pPr>
    </w:p>
    <w:p w14:paraId="5B0C071A" w14:textId="77777777" w:rsidR="00991189" w:rsidRPr="00A3266E" w:rsidRDefault="00991189" w:rsidP="00991189">
      <w:pPr>
        <w:spacing w:after="0" w:line="240" w:lineRule="auto"/>
        <w:jc w:val="both"/>
        <w:rPr>
          <w:rFonts w:cstheme="minorHAnsi"/>
          <w:sz w:val="24"/>
          <w:szCs w:val="24"/>
          <w:lang w:eastAsia="es-MX"/>
        </w:rPr>
      </w:pPr>
      <w:r w:rsidRPr="00A3266E">
        <w:rPr>
          <w:rFonts w:cstheme="minorHAnsi"/>
          <w:sz w:val="24"/>
          <w:szCs w:val="24"/>
          <w:lang w:eastAsia="es-MX"/>
        </w:rPr>
        <w:lastRenderedPageBreak/>
        <w:t>10.</w:t>
      </w:r>
      <w:r>
        <w:rPr>
          <w:rFonts w:cstheme="minorHAnsi"/>
          <w:sz w:val="24"/>
          <w:szCs w:val="24"/>
          <w:lang w:eastAsia="es-MX"/>
        </w:rPr>
        <w:t xml:space="preserve"> </w:t>
      </w:r>
      <w:r w:rsidRPr="00A3266E">
        <w:rPr>
          <w:rFonts w:cstheme="minorHAnsi"/>
          <w:sz w:val="24"/>
          <w:szCs w:val="24"/>
          <w:lang w:eastAsia="es-MX"/>
        </w:rPr>
        <w:t>El Estado deberá elaborar el estudio señalado en el párrafo 303 de esta Sentencia en el plazo de seis meses a partir de la notificación del presente Fallo, en los términos expuestos en los párrafos 304 y 305 del mismo.</w:t>
      </w:r>
    </w:p>
    <w:p w14:paraId="77795EE3" w14:textId="77777777" w:rsidR="00991189" w:rsidRPr="00A3266E" w:rsidRDefault="00991189" w:rsidP="00991189">
      <w:pPr>
        <w:spacing w:after="0" w:line="240" w:lineRule="auto"/>
        <w:jc w:val="both"/>
        <w:rPr>
          <w:rFonts w:cstheme="minorHAnsi"/>
          <w:sz w:val="24"/>
          <w:szCs w:val="24"/>
          <w:lang w:eastAsia="es-MX"/>
        </w:rPr>
      </w:pPr>
    </w:p>
    <w:p w14:paraId="063A20A1" w14:textId="77777777" w:rsidR="00991189" w:rsidRPr="00A3266E" w:rsidRDefault="00991189" w:rsidP="00991189">
      <w:pPr>
        <w:spacing w:after="0" w:line="240" w:lineRule="auto"/>
        <w:jc w:val="both"/>
        <w:rPr>
          <w:rFonts w:cstheme="minorHAnsi"/>
          <w:sz w:val="24"/>
          <w:szCs w:val="24"/>
          <w:lang w:eastAsia="es-MX"/>
        </w:rPr>
      </w:pPr>
      <w:r w:rsidRPr="00A3266E">
        <w:rPr>
          <w:rFonts w:cstheme="minorHAnsi"/>
          <w:sz w:val="24"/>
          <w:szCs w:val="24"/>
          <w:lang w:eastAsia="es-MX"/>
        </w:rPr>
        <w:t>11.</w:t>
      </w:r>
      <w:r>
        <w:rPr>
          <w:rFonts w:cstheme="minorHAnsi"/>
          <w:sz w:val="24"/>
          <w:szCs w:val="24"/>
          <w:lang w:eastAsia="es-MX"/>
        </w:rPr>
        <w:t xml:space="preserve"> </w:t>
      </w:r>
      <w:r w:rsidRPr="00A3266E">
        <w:rPr>
          <w:rFonts w:cstheme="minorHAnsi"/>
          <w:sz w:val="24"/>
          <w:szCs w:val="24"/>
          <w:lang w:eastAsia="es-MX"/>
        </w:rPr>
        <w:t xml:space="preserve">El Estado deberá establecer en "25 de </w:t>
      </w:r>
      <w:proofErr w:type="gramStart"/>
      <w:r w:rsidRPr="00A3266E">
        <w:rPr>
          <w:rFonts w:cstheme="minorHAnsi"/>
          <w:sz w:val="24"/>
          <w:szCs w:val="24"/>
          <w:lang w:eastAsia="es-MX"/>
        </w:rPr>
        <w:t>Febrero</w:t>
      </w:r>
      <w:proofErr w:type="gramEnd"/>
      <w:r w:rsidRPr="00A3266E">
        <w:rPr>
          <w:rFonts w:cstheme="minorHAnsi"/>
          <w:sz w:val="24"/>
          <w:szCs w:val="24"/>
          <w:lang w:eastAsia="es-MX"/>
        </w:rPr>
        <w:t xml:space="preserve">" un puesto de salud permanente y con las medicinas e insumos necesarios para una atención en salud adecuada, en el plazo de seis meses a partir de la notificación de la presente Sentencia, en los términos del párrafo 306 de la misma. </w:t>
      </w:r>
    </w:p>
    <w:p w14:paraId="7F028532" w14:textId="77777777" w:rsidR="00991189" w:rsidRPr="00A3266E" w:rsidRDefault="00991189" w:rsidP="00991189">
      <w:pPr>
        <w:spacing w:after="0" w:line="240" w:lineRule="auto"/>
        <w:jc w:val="both"/>
        <w:rPr>
          <w:rFonts w:cstheme="minorHAnsi"/>
          <w:sz w:val="24"/>
          <w:szCs w:val="24"/>
          <w:lang w:eastAsia="es-MX"/>
        </w:rPr>
      </w:pPr>
    </w:p>
    <w:p w14:paraId="1EBCBEA9" w14:textId="77777777" w:rsidR="00991189" w:rsidRPr="00A3266E" w:rsidRDefault="00991189" w:rsidP="00991189">
      <w:pPr>
        <w:spacing w:after="0" w:line="240" w:lineRule="auto"/>
        <w:jc w:val="both"/>
        <w:rPr>
          <w:rFonts w:cstheme="minorHAnsi"/>
          <w:sz w:val="24"/>
          <w:szCs w:val="24"/>
          <w:lang w:eastAsia="es-MX"/>
        </w:rPr>
      </w:pPr>
      <w:r w:rsidRPr="00A3266E">
        <w:rPr>
          <w:rFonts w:cstheme="minorHAnsi"/>
          <w:sz w:val="24"/>
          <w:szCs w:val="24"/>
          <w:lang w:eastAsia="es-MX"/>
        </w:rPr>
        <w:t>12.</w:t>
      </w:r>
      <w:r>
        <w:rPr>
          <w:rFonts w:cstheme="minorHAnsi"/>
          <w:sz w:val="24"/>
          <w:szCs w:val="24"/>
          <w:lang w:eastAsia="es-MX"/>
        </w:rPr>
        <w:t xml:space="preserve"> </w:t>
      </w:r>
      <w:r w:rsidRPr="00A3266E">
        <w:rPr>
          <w:rFonts w:cstheme="minorHAnsi"/>
          <w:sz w:val="24"/>
          <w:szCs w:val="24"/>
          <w:lang w:eastAsia="es-MX"/>
        </w:rPr>
        <w:t xml:space="preserve">El Estado deberá establecer inmediatamente en "25 de </w:t>
      </w:r>
      <w:proofErr w:type="gramStart"/>
      <w:r w:rsidRPr="00A3266E">
        <w:rPr>
          <w:rFonts w:cstheme="minorHAnsi"/>
          <w:sz w:val="24"/>
          <w:szCs w:val="24"/>
          <w:lang w:eastAsia="es-MX"/>
        </w:rPr>
        <w:t>Febrero</w:t>
      </w:r>
      <w:proofErr w:type="gramEnd"/>
      <w:r w:rsidRPr="00A3266E">
        <w:rPr>
          <w:rFonts w:cstheme="minorHAnsi"/>
          <w:sz w:val="24"/>
          <w:szCs w:val="24"/>
          <w:lang w:eastAsia="es-MX"/>
        </w:rPr>
        <w:t>" el sistema de comunicación señalado en el párrafo 306 de esta Sentencia.</w:t>
      </w:r>
    </w:p>
    <w:p w14:paraId="49EB17A9" w14:textId="77777777" w:rsidR="00991189" w:rsidRPr="00A3266E" w:rsidRDefault="00991189" w:rsidP="00991189">
      <w:pPr>
        <w:spacing w:after="0" w:line="240" w:lineRule="auto"/>
        <w:jc w:val="both"/>
        <w:rPr>
          <w:rFonts w:cstheme="minorHAnsi"/>
          <w:sz w:val="24"/>
          <w:szCs w:val="24"/>
          <w:lang w:eastAsia="es-MX"/>
        </w:rPr>
      </w:pPr>
    </w:p>
    <w:p w14:paraId="5AF7860F" w14:textId="77777777" w:rsidR="00991189" w:rsidRPr="00A3266E" w:rsidRDefault="00991189" w:rsidP="00991189">
      <w:pPr>
        <w:spacing w:after="0" w:line="240" w:lineRule="auto"/>
        <w:jc w:val="both"/>
        <w:rPr>
          <w:rFonts w:cstheme="minorHAnsi"/>
          <w:sz w:val="24"/>
          <w:szCs w:val="24"/>
          <w:lang w:eastAsia="es-MX"/>
        </w:rPr>
      </w:pPr>
      <w:r w:rsidRPr="00A3266E">
        <w:rPr>
          <w:rFonts w:cstheme="minorHAnsi"/>
          <w:sz w:val="24"/>
          <w:szCs w:val="24"/>
          <w:lang w:eastAsia="es-MX"/>
        </w:rPr>
        <w:t>13.</w:t>
      </w:r>
      <w:r>
        <w:rPr>
          <w:rFonts w:cstheme="minorHAnsi"/>
          <w:sz w:val="24"/>
          <w:szCs w:val="24"/>
          <w:lang w:eastAsia="es-MX"/>
        </w:rPr>
        <w:t xml:space="preserve"> </w:t>
      </w:r>
      <w:r w:rsidRPr="00A3266E">
        <w:rPr>
          <w:rFonts w:cstheme="minorHAnsi"/>
          <w:sz w:val="24"/>
          <w:szCs w:val="24"/>
          <w:lang w:eastAsia="es-MX"/>
        </w:rPr>
        <w:t>El Estado deberá asegurarse que el puesto de salud y el sistema de comunicación señalados en los puntos resolutivos 21 y 22 supra se trasladen al lugar donde la Comunidad se asiente definitivamente una vez que haya recuperado su territorio tradicional, conforme a la orden dada en el punto resolutivo 12 supra.</w:t>
      </w:r>
    </w:p>
    <w:p w14:paraId="64DEDB38" w14:textId="77777777" w:rsidR="00991189" w:rsidRPr="00A3266E" w:rsidRDefault="00991189" w:rsidP="00991189">
      <w:pPr>
        <w:spacing w:after="0" w:line="240" w:lineRule="auto"/>
        <w:jc w:val="both"/>
        <w:rPr>
          <w:rFonts w:cstheme="minorHAnsi"/>
          <w:sz w:val="24"/>
          <w:szCs w:val="24"/>
          <w:lang w:eastAsia="es-MX"/>
        </w:rPr>
      </w:pPr>
    </w:p>
    <w:p w14:paraId="548CD127" w14:textId="77777777" w:rsidR="00991189" w:rsidRPr="00A3266E" w:rsidRDefault="00991189" w:rsidP="00991189">
      <w:pPr>
        <w:spacing w:after="0" w:line="240" w:lineRule="auto"/>
        <w:jc w:val="both"/>
        <w:rPr>
          <w:rFonts w:cstheme="minorHAnsi"/>
          <w:sz w:val="24"/>
          <w:szCs w:val="24"/>
          <w:lang w:eastAsia="es-MX"/>
        </w:rPr>
      </w:pPr>
      <w:r w:rsidRPr="00A3266E">
        <w:rPr>
          <w:rFonts w:cstheme="minorHAnsi"/>
          <w:sz w:val="24"/>
          <w:szCs w:val="24"/>
          <w:lang w:eastAsia="es-MX"/>
        </w:rPr>
        <w:t>14.</w:t>
      </w:r>
      <w:r>
        <w:rPr>
          <w:rFonts w:cstheme="minorHAnsi"/>
          <w:sz w:val="24"/>
          <w:szCs w:val="24"/>
          <w:lang w:eastAsia="es-MX"/>
        </w:rPr>
        <w:t xml:space="preserve"> </w:t>
      </w:r>
      <w:r w:rsidRPr="00A3266E">
        <w:rPr>
          <w:rFonts w:cstheme="minorHAnsi"/>
          <w:sz w:val="24"/>
          <w:szCs w:val="24"/>
          <w:lang w:eastAsia="es-MX"/>
        </w:rPr>
        <w:t xml:space="preserve">El Estado deberá realizar, en el plazo máximo de un año a partir de la notificación de la presente Sentencia, un programa de registro y documentación, en los términos expuestos en </w:t>
      </w:r>
      <w:proofErr w:type="gramStart"/>
      <w:r w:rsidRPr="00A3266E">
        <w:rPr>
          <w:rFonts w:cstheme="minorHAnsi"/>
          <w:sz w:val="24"/>
          <w:szCs w:val="24"/>
          <w:lang w:eastAsia="es-MX"/>
        </w:rPr>
        <w:t>el párrafos</w:t>
      </w:r>
      <w:proofErr w:type="gramEnd"/>
      <w:r w:rsidRPr="00A3266E">
        <w:rPr>
          <w:rFonts w:cstheme="minorHAnsi"/>
          <w:sz w:val="24"/>
          <w:szCs w:val="24"/>
          <w:lang w:eastAsia="es-MX"/>
        </w:rPr>
        <w:t xml:space="preserve"> 308 de esta Sentencia.</w:t>
      </w:r>
    </w:p>
    <w:p w14:paraId="3940AEE4" w14:textId="77777777" w:rsidR="00991189" w:rsidRPr="00A3266E" w:rsidRDefault="00991189" w:rsidP="00991189">
      <w:pPr>
        <w:spacing w:after="0" w:line="240" w:lineRule="auto"/>
        <w:jc w:val="both"/>
        <w:rPr>
          <w:rFonts w:cstheme="minorHAnsi"/>
          <w:sz w:val="24"/>
          <w:szCs w:val="24"/>
          <w:lang w:eastAsia="es-MX"/>
        </w:rPr>
      </w:pPr>
    </w:p>
    <w:p w14:paraId="018245FC" w14:textId="77777777" w:rsidR="00991189" w:rsidRPr="00A3266E" w:rsidRDefault="00991189" w:rsidP="00991189">
      <w:pPr>
        <w:spacing w:after="0" w:line="240" w:lineRule="auto"/>
        <w:jc w:val="both"/>
        <w:rPr>
          <w:rFonts w:cstheme="minorHAnsi"/>
          <w:sz w:val="24"/>
          <w:szCs w:val="24"/>
          <w:lang w:eastAsia="es-MX"/>
        </w:rPr>
      </w:pPr>
      <w:r w:rsidRPr="00A3266E">
        <w:rPr>
          <w:rFonts w:cstheme="minorHAnsi"/>
          <w:sz w:val="24"/>
          <w:szCs w:val="24"/>
          <w:lang w:eastAsia="es-MX"/>
        </w:rPr>
        <w:t>15.</w:t>
      </w:r>
      <w:r>
        <w:rPr>
          <w:rFonts w:cstheme="minorHAnsi"/>
          <w:sz w:val="24"/>
          <w:szCs w:val="24"/>
          <w:lang w:eastAsia="es-MX"/>
        </w:rPr>
        <w:t xml:space="preserve"> </w:t>
      </w:r>
      <w:r w:rsidRPr="00A3266E">
        <w:rPr>
          <w:rFonts w:cstheme="minorHAnsi"/>
          <w:sz w:val="24"/>
          <w:szCs w:val="24"/>
          <w:lang w:eastAsia="es-MX"/>
        </w:rPr>
        <w:t>El Estado deberá, en el plazo de dos años a partir de la notificación de la presente Sentencia, adoptar en su derecho interno las medidas legislativas, administrativas y de cualquier otro carácter que sean necesarias para crear un sistema eficaz de reclamación de tierras ancestrales o tradicionales de los pueblos indígenas que posibilite la concreción de su derecho de propiedad, en los términos expuestos en los párrafos 309 y 310 de este Fallo.</w:t>
      </w:r>
    </w:p>
    <w:p w14:paraId="7DC39043" w14:textId="77777777" w:rsidR="00991189" w:rsidRPr="00A3266E" w:rsidRDefault="00991189" w:rsidP="00991189">
      <w:pPr>
        <w:spacing w:after="0" w:line="240" w:lineRule="auto"/>
        <w:jc w:val="both"/>
        <w:rPr>
          <w:rFonts w:cstheme="minorHAnsi"/>
          <w:sz w:val="24"/>
          <w:szCs w:val="24"/>
          <w:lang w:eastAsia="es-MX"/>
        </w:rPr>
      </w:pPr>
    </w:p>
    <w:p w14:paraId="528251A0" w14:textId="77777777" w:rsidR="00991189" w:rsidRPr="00A3266E" w:rsidRDefault="00991189" w:rsidP="00991189">
      <w:pPr>
        <w:spacing w:after="0" w:line="240" w:lineRule="auto"/>
        <w:jc w:val="both"/>
        <w:rPr>
          <w:rFonts w:cstheme="minorHAnsi"/>
          <w:sz w:val="24"/>
          <w:szCs w:val="24"/>
          <w:lang w:eastAsia="es-MX"/>
        </w:rPr>
      </w:pPr>
      <w:r w:rsidRPr="00A3266E">
        <w:rPr>
          <w:rFonts w:cstheme="minorHAnsi"/>
          <w:sz w:val="24"/>
          <w:szCs w:val="24"/>
          <w:lang w:eastAsia="es-MX"/>
        </w:rPr>
        <w:t>16.</w:t>
      </w:r>
      <w:r>
        <w:rPr>
          <w:rFonts w:cstheme="minorHAnsi"/>
          <w:sz w:val="24"/>
          <w:szCs w:val="24"/>
          <w:lang w:eastAsia="es-MX"/>
        </w:rPr>
        <w:t xml:space="preserve"> </w:t>
      </w:r>
      <w:r w:rsidRPr="00A3266E">
        <w:rPr>
          <w:rFonts w:cstheme="minorHAnsi"/>
          <w:sz w:val="24"/>
          <w:szCs w:val="24"/>
          <w:lang w:eastAsia="es-MX"/>
        </w:rPr>
        <w:t xml:space="preserve">El Estado deberá adoptar inmediatamente las medidas necesarias para que el Decreto No. 11.804 que </w:t>
      </w:r>
      <w:proofErr w:type="gramStart"/>
      <w:r w:rsidRPr="00A3266E">
        <w:rPr>
          <w:rFonts w:cstheme="minorHAnsi"/>
          <w:sz w:val="24"/>
          <w:szCs w:val="24"/>
          <w:lang w:eastAsia="es-MX"/>
        </w:rPr>
        <w:t>declaró como</w:t>
      </w:r>
      <w:proofErr w:type="gramEnd"/>
      <w:r w:rsidRPr="00A3266E">
        <w:rPr>
          <w:rFonts w:cstheme="minorHAnsi"/>
          <w:sz w:val="24"/>
          <w:szCs w:val="24"/>
          <w:lang w:eastAsia="es-MX"/>
        </w:rPr>
        <w:t xml:space="preserve"> área silvestre protegida a parte del territorio reclamado por la Comunidad no sea un obstáculo para la devolución de las tierras tradicionales, de conformidad con lo expuesto en los párrafos 311 y 313 de esta Sentencia.</w:t>
      </w:r>
    </w:p>
    <w:p w14:paraId="6C825318" w14:textId="77777777" w:rsidR="00991189" w:rsidRPr="00A3266E" w:rsidRDefault="00991189" w:rsidP="00991189">
      <w:pPr>
        <w:spacing w:after="0" w:line="240" w:lineRule="auto"/>
        <w:jc w:val="both"/>
        <w:rPr>
          <w:rFonts w:cstheme="minorHAnsi"/>
          <w:sz w:val="24"/>
          <w:szCs w:val="24"/>
          <w:lang w:eastAsia="es-MX"/>
        </w:rPr>
      </w:pPr>
    </w:p>
    <w:p w14:paraId="5EBAB61B" w14:textId="77777777" w:rsidR="00991189" w:rsidRPr="00A3266E" w:rsidRDefault="00991189" w:rsidP="00991189">
      <w:pPr>
        <w:spacing w:after="0" w:line="240" w:lineRule="auto"/>
        <w:jc w:val="both"/>
        <w:rPr>
          <w:rFonts w:cstheme="minorHAnsi"/>
          <w:sz w:val="24"/>
          <w:szCs w:val="24"/>
          <w:lang w:eastAsia="es-MX"/>
        </w:rPr>
      </w:pPr>
      <w:r w:rsidRPr="00A3266E">
        <w:rPr>
          <w:rFonts w:cstheme="minorHAnsi"/>
          <w:sz w:val="24"/>
          <w:szCs w:val="24"/>
          <w:lang w:eastAsia="es-MX"/>
        </w:rPr>
        <w:t>17.</w:t>
      </w:r>
      <w:r>
        <w:rPr>
          <w:rFonts w:cstheme="minorHAnsi"/>
          <w:sz w:val="24"/>
          <w:szCs w:val="24"/>
          <w:lang w:eastAsia="es-MX"/>
        </w:rPr>
        <w:t xml:space="preserve"> </w:t>
      </w:r>
      <w:r w:rsidRPr="00A3266E">
        <w:rPr>
          <w:rFonts w:cstheme="minorHAnsi"/>
          <w:sz w:val="24"/>
          <w:szCs w:val="24"/>
          <w:lang w:eastAsia="es-MX"/>
        </w:rPr>
        <w:t xml:space="preserve">El Estado deberá, dentro del plazo dos años a partir de la notificación de esta Sentencia, pagar las cantidades fijadas en los párrafos 318, 325 y 331 de la presente Sentencia por concepto de indemnizaciones por daños materiales e inmateriales y el reintegro de costas y gastos, según corresponda, bajo las condiciones y en los términos de los párrafos 317, 321, 322 y 330 de la presente Sentencia.  </w:t>
      </w:r>
    </w:p>
    <w:p w14:paraId="3BE90359" w14:textId="77777777" w:rsidR="00991189" w:rsidRPr="00A3266E" w:rsidRDefault="00991189" w:rsidP="00991189">
      <w:pPr>
        <w:spacing w:after="0" w:line="240" w:lineRule="auto"/>
        <w:jc w:val="both"/>
        <w:rPr>
          <w:rFonts w:cstheme="minorHAnsi"/>
          <w:sz w:val="24"/>
          <w:szCs w:val="24"/>
          <w:lang w:eastAsia="es-MX"/>
        </w:rPr>
      </w:pPr>
    </w:p>
    <w:p w14:paraId="7532497E" w14:textId="77777777" w:rsidR="00991189" w:rsidRPr="00A3266E" w:rsidRDefault="00991189" w:rsidP="00991189">
      <w:pPr>
        <w:spacing w:after="0" w:line="240" w:lineRule="auto"/>
        <w:jc w:val="both"/>
        <w:rPr>
          <w:rFonts w:cstheme="minorHAnsi"/>
          <w:sz w:val="24"/>
          <w:szCs w:val="24"/>
          <w:lang w:eastAsia="es-MX"/>
        </w:rPr>
      </w:pPr>
      <w:r w:rsidRPr="00A3266E">
        <w:rPr>
          <w:rFonts w:cstheme="minorHAnsi"/>
          <w:sz w:val="24"/>
          <w:szCs w:val="24"/>
          <w:lang w:eastAsia="es-MX"/>
        </w:rPr>
        <w:t>18.</w:t>
      </w:r>
      <w:r>
        <w:rPr>
          <w:rFonts w:cstheme="minorHAnsi"/>
          <w:sz w:val="24"/>
          <w:szCs w:val="24"/>
          <w:lang w:eastAsia="es-MX"/>
        </w:rPr>
        <w:t xml:space="preserve"> </w:t>
      </w:r>
      <w:r w:rsidRPr="00A3266E">
        <w:rPr>
          <w:rFonts w:cstheme="minorHAnsi"/>
          <w:sz w:val="24"/>
          <w:szCs w:val="24"/>
          <w:lang w:eastAsia="es-MX"/>
        </w:rPr>
        <w:t xml:space="preserve">El Estado deberá crear un fondo de desarrollo comunitario, en los términos expuestos en </w:t>
      </w:r>
      <w:proofErr w:type="gramStart"/>
      <w:r w:rsidRPr="00A3266E">
        <w:rPr>
          <w:rFonts w:cstheme="minorHAnsi"/>
          <w:sz w:val="24"/>
          <w:szCs w:val="24"/>
          <w:lang w:eastAsia="es-MX"/>
        </w:rPr>
        <w:t>los párrafo</w:t>
      </w:r>
      <w:proofErr w:type="gramEnd"/>
      <w:r w:rsidRPr="00A3266E">
        <w:rPr>
          <w:rFonts w:cstheme="minorHAnsi"/>
          <w:sz w:val="24"/>
          <w:szCs w:val="24"/>
          <w:lang w:eastAsia="es-MX"/>
        </w:rPr>
        <w:t xml:space="preserve"> 323 de esta Sentencia, así como conformar un comité de implementación de dicho fondo, en los términos y plazos establecidos en el párrafo 324 del Fallo.</w:t>
      </w:r>
    </w:p>
    <w:p w14:paraId="253A50A6" w14:textId="77777777" w:rsidR="00991189" w:rsidRPr="00A3266E" w:rsidRDefault="00991189" w:rsidP="00991189">
      <w:pPr>
        <w:spacing w:after="0" w:line="240" w:lineRule="auto"/>
        <w:jc w:val="both"/>
        <w:rPr>
          <w:rFonts w:cstheme="minorHAnsi"/>
          <w:sz w:val="24"/>
          <w:szCs w:val="24"/>
          <w:lang w:eastAsia="es-MX"/>
        </w:rPr>
      </w:pPr>
    </w:p>
    <w:p w14:paraId="4934BD1B" w14:textId="77777777" w:rsidR="00991189" w:rsidRPr="00A3266E" w:rsidRDefault="00991189" w:rsidP="00991189">
      <w:pPr>
        <w:spacing w:after="0" w:line="240" w:lineRule="auto"/>
        <w:jc w:val="both"/>
        <w:rPr>
          <w:rFonts w:cstheme="minorHAnsi"/>
          <w:sz w:val="24"/>
          <w:szCs w:val="24"/>
          <w:lang w:eastAsia="es-MX"/>
        </w:rPr>
      </w:pPr>
      <w:r w:rsidRPr="00A3266E">
        <w:rPr>
          <w:rFonts w:cstheme="minorHAnsi"/>
          <w:sz w:val="24"/>
          <w:szCs w:val="24"/>
          <w:lang w:eastAsia="es-MX"/>
        </w:rPr>
        <w:t xml:space="preserve">La Corte supervisará el cumplimiento íntegro de esta Sentencia, en ejercicio de sus atribuciones y en cumplimiento de sus deberes conforme a la Convención Americana, y dará </w:t>
      </w:r>
      <w:r w:rsidRPr="00A3266E">
        <w:rPr>
          <w:rFonts w:cstheme="minorHAnsi"/>
          <w:sz w:val="24"/>
          <w:szCs w:val="24"/>
          <w:lang w:eastAsia="es-MX"/>
        </w:rPr>
        <w:lastRenderedPageBreak/>
        <w:t>por concluido el presente caso una vez que el Estado haya dado cabal cumplimiento a lo dispuesto en la misma. El Estado deberá, dentro del plazo de un año contado a partir de la notificación de esta Sentencia, rendir al Tribunal un informe sobre las medidas adoptadas para cumplir con la misma.</w:t>
      </w:r>
    </w:p>
    <w:p w14:paraId="0747959F" w14:textId="77777777" w:rsidR="00991189" w:rsidRPr="00A3266E" w:rsidRDefault="00991189" w:rsidP="00991189">
      <w:pPr>
        <w:spacing w:after="0" w:line="240" w:lineRule="auto"/>
        <w:jc w:val="both"/>
        <w:rPr>
          <w:rFonts w:cstheme="minorHAnsi"/>
          <w:sz w:val="24"/>
          <w:szCs w:val="24"/>
          <w:lang w:eastAsia="es-MX"/>
        </w:rPr>
      </w:pPr>
    </w:p>
    <w:p w14:paraId="60439BF3" w14:textId="77777777" w:rsidR="00991189" w:rsidRDefault="00991189" w:rsidP="00991189">
      <w:pPr>
        <w:spacing w:after="0" w:line="240" w:lineRule="auto"/>
        <w:jc w:val="both"/>
        <w:rPr>
          <w:rFonts w:cstheme="minorHAnsi"/>
          <w:b/>
          <w:bCs/>
          <w:sz w:val="24"/>
          <w:szCs w:val="24"/>
          <w:lang w:eastAsia="es-MX"/>
        </w:rPr>
      </w:pPr>
      <w:r w:rsidRPr="00A3266E">
        <w:rPr>
          <w:rFonts w:cstheme="minorHAnsi"/>
          <w:b/>
          <w:bCs/>
          <w:sz w:val="24"/>
          <w:szCs w:val="24"/>
          <w:lang w:eastAsia="es-MX"/>
        </w:rPr>
        <w:t>Resolutivos</w:t>
      </w:r>
    </w:p>
    <w:p w14:paraId="1CC2930B" w14:textId="77777777" w:rsidR="00991189" w:rsidRPr="00A3266E" w:rsidRDefault="00991189" w:rsidP="00991189">
      <w:pPr>
        <w:spacing w:after="0" w:line="240" w:lineRule="auto"/>
        <w:jc w:val="both"/>
        <w:rPr>
          <w:rFonts w:cstheme="minorHAnsi"/>
          <w:b/>
          <w:bCs/>
          <w:sz w:val="24"/>
          <w:szCs w:val="24"/>
          <w:lang w:eastAsia="es-MX"/>
        </w:rPr>
      </w:pPr>
    </w:p>
    <w:p w14:paraId="6F8FD7B2" w14:textId="77777777" w:rsidR="00991189" w:rsidRPr="00EA2E33" w:rsidRDefault="00991189" w:rsidP="00991189">
      <w:pPr>
        <w:spacing w:after="0" w:line="240" w:lineRule="auto"/>
        <w:jc w:val="both"/>
        <w:rPr>
          <w:rFonts w:cstheme="minorHAnsi"/>
          <w:b/>
          <w:bCs/>
          <w:sz w:val="24"/>
          <w:szCs w:val="24"/>
          <w:lang w:eastAsia="es-MX"/>
        </w:rPr>
      </w:pPr>
      <w:r w:rsidRPr="00EA2E33">
        <w:rPr>
          <w:rFonts w:cstheme="minorHAnsi"/>
          <w:b/>
          <w:bCs/>
          <w:sz w:val="24"/>
          <w:szCs w:val="24"/>
          <w:lang w:eastAsia="es-MX"/>
        </w:rPr>
        <w:t>La Corte declara por unanimidad, que:</w:t>
      </w:r>
    </w:p>
    <w:p w14:paraId="7C52CB89" w14:textId="77777777" w:rsidR="00991189" w:rsidRPr="00A3266E" w:rsidRDefault="00991189" w:rsidP="00991189">
      <w:pPr>
        <w:spacing w:after="0" w:line="240" w:lineRule="auto"/>
        <w:jc w:val="both"/>
        <w:rPr>
          <w:rFonts w:cstheme="minorHAnsi"/>
          <w:sz w:val="24"/>
          <w:szCs w:val="24"/>
          <w:lang w:eastAsia="es-MX"/>
        </w:rPr>
      </w:pPr>
    </w:p>
    <w:p w14:paraId="0F573AFD" w14:textId="77777777" w:rsidR="00991189" w:rsidRPr="00A3266E" w:rsidRDefault="00991189" w:rsidP="00991189">
      <w:pPr>
        <w:spacing w:after="0" w:line="240" w:lineRule="auto"/>
        <w:jc w:val="both"/>
        <w:rPr>
          <w:rFonts w:cstheme="minorHAnsi"/>
          <w:sz w:val="24"/>
          <w:szCs w:val="24"/>
          <w:lang w:eastAsia="es-MX"/>
        </w:rPr>
      </w:pPr>
      <w:r w:rsidRPr="00A3266E">
        <w:rPr>
          <w:rFonts w:cstheme="minorHAnsi"/>
          <w:sz w:val="24"/>
          <w:szCs w:val="24"/>
          <w:lang w:eastAsia="es-MX"/>
        </w:rPr>
        <w:t xml:space="preserve">1. El Estado violó el derecho a la integridad personal, consagrado en el artículo 5.1 de la Convención Americana, en relación con el artículo 1.1 de la misma, en perjuicio de todos los miembros de la Comunidad </w:t>
      </w:r>
      <w:proofErr w:type="spellStart"/>
      <w:r w:rsidRPr="00A3266E">
        <w:rPr>
          <w:rFonts w:cstheme="minorHAnsi"/>
          <w:sz w:val="24"/>
          <w:szCs w:val="24"/>
          <w:lang w:eastAsia="es-MX"/>
        </w:rPr>
        <w:t>Xákmok</w:t>
      </w:r>
      <w:proofErr w:type="spellEnd"/>
      <w:r w:rsidRPr="00A3266E">
        <w:rPr>
          <w:rFonts w:cstheme="minorHAnsi"/>
          <w:sz w:val="24"/>
          <w:szCs w:val="24"/>
          <w:lang w:eastAsia="es-MX"/>
        </w:rPr>
        <w:t xml:space="preserve"> </w:t>
      </w:r>
      <w:proofErr w:type="spellStart"/>
      <w:r w:rsidRPr="00A3266E">
        <w:rPr>
          <w:rFonts w:cstheme="minorHAnsi"/>
          <w:sz w:val="24"/>
          <w:szCs w:val="24"/>
          <w:lang w:eastAsia="es-MX"/>
        </w:rPr>
        <w:t>Kásek</w:t>
      </w:r>
      <w:proofErr w:type="spellEnd"/>
      <w:r w:rsidRPr="00A3266E">
        <w:rPr>
          <w:rFonts w:cstheme="minorHAnsi"/>
          <w:sz w:val="24"/>
          <w:szCs w:val="24"/>
          <w:lang w:eastAsia="es-MX"/>
        </w:rPr>
        <w:t>, de conformidad con lo expuesto en los párrafos 242 a 244 de esta Sentencia.</w:t>
      </w:r>
    </w:p>
    <w:p w14:paraId="207EA4E6" w14:textId="77777777" w:rsidR="00991189" w:rsidRPr="00A3266E" w:rsidRDefault="00991189" w:rsidP="00991189">
      <w:pPr>
        <w:spacing w:after="0" w:line="240" w:lineRule="auto"/>
        <w:jc w:val="both"/>
        <w:rPr>
          <w:rFonts w:cstheme="minorHAnsi"/>
          <w:sz w:val="24"/>
          <w:szCs w:val="24"/>
          <w:lang w:eastAsia="es-MX"/>
        </w:rPr>
      </w:pPr>
    </w:p>
    <w:p w14:paraId="3588CCBE" w14:textId="77777777" w:rsidR="00991189" w:rsidRPr="00A3266E" w:rsidRDefault="00991189" w:rsidP="00991189">
      <w:pPr>
        <w:spacing w:after="0" w:line="240" w:lineRule="auto"/>
        <w:jc w:val="both"/>
        <w:rPr>
          <w:rFonts w:cstheme="minorHAnsi"/>
          <w:sz w:val="24"/>
          <w:szCs w:val="24"/>
          <w:lang w:eastAsia="es-MX"/>
        </w:rPr>
      </w:pPr>
      <w:r w:rsidRPr="00A3266E">
        <w:rPr>
          <w:rFonts w:cstheme="minorHAnsi"/>
          <w:sz w:val="24"/>
          <w:szCs w:val="24"/>
          <w:lang w:eastAsia="es-MX"/>
        </w:rPr>
        <w:t>2.</w:t>
      </w:r>
      <w:r>
        <w:rPr>
          <w:rFonts w:cstheme="minorHAnsi"/>
          <w:sz w:val="24"/>
          <w:szCs w:val="24"/>
          <w:lang w:eastAsia="es-MX"/>
        </w:rPr>
        <w:t xml:space="preserve"> </w:t>
      </w:r>
      <w:r w:rsidRPr="00A3266E">
        <w:rPr>
          <w:rFonts w:cstheme="minorHAnsi"/>
          <w:sz w:val="24"/>
          <w:szCs w:val="24"/>
          <w:lang w:eastAsia="es-MX"/>
        </w:rPr>
        <w:t xml:space="preserve">El Estado no violó el derecho al reconocimiento de la personalidad jurídica, reconocido en el artículo 3 de la Convención Americana, en perjuicio de la Comunidad </w:t>
      </w:r>
      <w:proofErr w:type="spellStart"/>
      <w:r w:rsidRPr="00A3266E">
        <w:rPr>
          <w:rFonts w:cstheme="minorHAnsi"/>
          <w:sz w:val="24"/>
          <w:szCs w:val="24"/>
          <w:lang w:eastAsia="es-MX"/>
        </w:rPr>
        <w:t>Xákmok</w:t>
      </w:r>
      <w:proofErr w:type="spellEnd"/>
      <w:r w:rsidRPr="00A3266E">
        <w:rPr>
          <w:rFonts w:cstheme="minorHAnsi"/>
          <w:sz w:val="24"/>
          <w:szCs w:val="24"/>
          <w:lang w:eastAsia="es-MX"/>
        </w:rPr>
        <w:t xml:space="preserve"> </w:t>
      </w:r>
      <w:proofErr w:type="spellStart"/>
      <w:r w:rsidRPr="00A3266E">
        <w:rPr>
          <w:rFonts w:cstheme="minorHAnsi"/>
          <w:sz w:val="24"/>
          <w:szCs w:val="24"/>
          <w:lang w:eastAsia="es-MX"/>
        </w:rPr>
        <w:t>Kásek</w:t>
      </w:r>
      <w:proofErr w:type="spellEnd"/>
      <w:r w:rsidRPr="00A3266E">
        <w:rPr>
          <w:rFonts w:cstheme="minorHAnsi"/>
          <w:sz w:val="24"/>
          <w:szCs w:val="24"/>
          <w:lang w:eastAsia="es-MX"/>
        </w:rPr>
        <w:t>, de conformidad con lo expuesto en el párrafo 255 de esta Sentencia.</w:t>
      </w:r>
    </w:p>
    <w:p w14:paraId="5C236FE9" w14:textId="77777777" w:rsidR="00991189" w:rsidRPr="00A3266E" w:rsidRDefault="00991189" w:rsidP="00991189">
      <w:pPr>
        <w:spacing w:after="0" w:line="240" w:lineRule="auto"/>
        <w:jc w:val="both"/>
        <w:rPr>
          <w:rFonts w:cstheme="minorHAnsi"/>
          <w:sz w:val="24"/>
          <w:szCs w:val="24"/>
          <w:lang w:eastAsia="es-MX"/>
        </w:rPr>
      </w:pPr>
    </w:p>
    <w:p w14:paraId="56892425" w14:textId="77777777" w:rsidR="00991189" w:rsidRPr="00A3266E" w:rsidRDefault="00991189" w:rsidP="00991189">
      <w:pPr>
        <w:spacing w:after="0" w:line="240" w:lineRule="auto"/>
        <w:jc w:val="both"/>
        <w:rPr>
          <w:rFonts w:cstheme="minorHAnsi"/>
          <w:sz w:val="24"/>
          <w:szCs w:val="24"/>
          <w:lang w:eastAsia="es-MX"/>
        </w:rPr>
      </w:pPr>
      <w:r w:rsidRPr="00A3266E">
        <w:rPr>
          <w:rFonts w:cstheme="minorHAnsi"/>
          <w:sz w:val="24"/>
          <w:szCs w:val="24"/>
          <w:lang w:eastAsia="es-MX"/>
        </w:rPr>
        <w:t>3.</w:t>
      </w:r>
      <w:r>
        <w:rPr>
          <w:rFonts w:cstheme="minorHAnsi"/>
          <w:sz w:val="24"/>
          <w:szCs w:val="24"/>
          <w:lang w:eastAsia="es-MX"/>
        </w:rPr>
        <w:t xml:space="preserve"> </w:t>
      </w:r>
      <w:r w:rsidRPr="00A3266E">
        <w:rPr>
          <w:rFonts w:cstheme="minorHAnsi"/>
          <w:sz w:val="24"/>
          <w:szCs w:val="24"/>
          <w:lang w:eastAsia="es-MX"/>
        </w:rPr>
        <w:t xml:space="preserve">El Estado violó los derechos del niño, consagrados en el artículo 19 de la Convención Americana, en relación con el artículo 1.1 de la misma, en perjuicio de todos los niños y niñas de la Comunidad </w:t>
      </w:r>
      <w:proofErr w:type="spellStart"/>
      <w:r w:rsidRPr="00A3266E">
        <w:rPr>
          <w:rFonts w:cstheme="minorHAnsi"/>
          <w:sz w:val="24"/>
          <w:szCs w:val="24"/>
          <w:lang w:eastAsia="es-MX"/>
        </w:rPr>
        <w:t>Xákmok</w:t>
      </w:r>
      <w:proofErr w:type="spellEnd"/>
      <w:r w:rsidRPr="00A3266E">
        <w:rPr>
          <w:rFonts w:cstheme="minorHAnsi"/>
          <w:sz w:val="24"/>
          <w:szCs w:val="24"/>
          <w:lang w:eastAsia="es-MX"/>
        </w:rPr>
        <w:t xml:space="preserve"> </w:t>
      </w:r>
      <w:proofErr w:type="spellStart"/>
      <w:r w:rsidRPr="00A3266E">
        <w:rPr>
          <w:rFonts w:cstheme="minorHAnsi"/>
          <w:sz w:val="24"/>
          <w:szCs w:val="24"/>
          <w:lang w:eastAsia="es-MX"/>
        </w:rPr>
        <w:t>Kásek</w:t>
      </w:r>
      <w:proofErr w:type="spellEnd"/>
      <w:r w:rsidRPr="00A3266E">
        <w:rPr>
          <w:rFonts w:cstheme="minorHAnsi"/>
          <w:sz w:val="24"/>
          <w:szCs w:val="24"/>
          <w:lang w:eastAsia="es-MX"/>
        </w:rPr>
        <w:t>, de conformidad con lo expuesto en los párrafos 259 a 264 de esta Sentencia.</w:t>
      </w:r>
    </w:p>
    <w:p w14:paraId="663C8BDC" w14:textId="77777777" w:rsidR="00991189" w:rsidRPr="00A3266E" w:rsidRDefault="00991189" w:rsidP="00991189">
      <w:pPr>
        <w:spacing w:after="0" w:line="240" w:lineRule="auto"/>
        <w:jc w:val="both"/>
        <w:rPr>
          <w:rFonts w:cstheme="minorHAnsi"/>
          <w:sz w:val="24"/>
          <w:szCs w:val="24"/>
          <w:lang w:eastAsia="es-MX"/>
        </w:rPr>
      </w:pPr>
    </w:p>
    <w:p w14:paraId="3BCE70C1" w14:textId="77777777" w:rsidR="00991189" w:rsidRPr="00A3266E" w:rsidRDefault="00991189" w:rsidP="00991189">
      <w:pPr>
        <w:spacing w:after="0" w:line="240" w:lineRule="auto"/>
        <w:jc w:val="both"/>
        <w:rPr>
          <w:rFonts w:cstheme="minorHAnsi"/>
          <w:sz w:val="24"/>
          <w:szCs w:val="24"/>
          <w:lang w:eastAsia="es-MX"/>
        </w:rPr>
      </w:pPr>
      <w:r w:rsidRPr="00A3266E">
        <w:rPr>
          <w:rFonts w:cstheme="minorHAnsi"/>
          <w:sz w:val="24"/>
          <w:szCs w:val="24"/>
          <w:lang w:eastAsia="es-MX"/>
        </w:rPr>
        <w:t>4.</w:t>
      </w:r>
      <w:r>
        <w:rPr>
          <w:rFonts w:cstheme="minorHAnsi"/>
          <w:sz w:val="24"/>
          <w:szCs w:val="24"/>
          <w:lang w:eastAsia="es-MX"/>
        </w:rPr>
        <w:t xml:space="preserve"> </w:t>
      </w:r>
      <w:r w:rsidRPr="00A3266E">
        <w:rPr>
          <w:rFonts w:cstheme="minorHAnsi"/>
          <w:sz w:val="24"/>
          <w:szCs w:val="24"/>
          <w:lang w:eastAsia="es-MX"/>
        </w:rPr>
        <w:t>El Estado expresó su aceptación de ciertas reparaciones, de conformidad con lo dispuesto en el párrafo 32 de este Fallo, lo cual ha sido valorado por la Corte, de acuerdo con lo dispuesto en el mencionado párrafo de la presente Sentencia.</w:t>
      </w:r>
    </w:p>
    <w:p w14:paraId="79C88349" w14:textId="77777777" w:rsidR="00991189" w:rsidRPr="00A3266E" w:rsidRDefault="00991189" w:rsidP="00991189">
      <w:pPr>
        <w:spacing w:after="0" w:line="240" w:lineRule="auto"/>
        <w:jc w:val="both"/>
        <w:rPr>
          <w:rFonts w:cstheme="minorHAnsi"/>
          <w:sz w:val="24"/>
          <w:szCs w:val="24"/>
          <w:lang w:eastAsia="es-MX"/>
        </w:rPr>
      </w:pPr>
    </w:p>
    <w:p w14:paraId="1C618C4C" w14:textId="77777777" w:rsidR="00991189" w:rsidRPr="00EA2E33" w:rsidRDefault="00991189" w:rsidP="00991189">
      <w:pPr>
        <w:spacing w:after="0" w:line="240" w:lineRule="auto"/>
        <w:jc w:val="both"/>
        <w:rPr>
          <w:rFonts w:cstheme="minorHAnsi"/>
          <w:b/>
          <w:bCs/>
          <w:sz w:val="24"/>
          <w:szCs w:val="24"/>
          <w:lang w:eastAsia="es-MX"/>
        </w:rPr>
      </w:pPr>
      <w:r w:rsidRPr="00EA2E33">
        <w:rPr>
          <w:rFonts w:cstheme="minorHAnsi"/>
          <w:b/>
          <w:bCs/>
          <w:sz w:val="24"/>
          <w:szCs w:val="24"/>
          <w:lang w:eastAsia="es-MX"/>
        </w:rPr>
        <w:t>Por siete votos contra uno, que:</w:t>
      </w:r>
    </w:p>
    <w:p w14:paraId="654FEDFD" w14:textId="77777777" w:rsidR="00991189" w:rsidRPr="00A3266E" w:rsidRDefault="00991189" w:rsidP="00991189">
      <w:pPr>
        <w:spacing w:after="0" w:line="240" w:lineRule="auto"/>
        <w:jc w:val="both"/>
        <w:rPr>
          <w:rFonts w:cstheme="minorHAnsi"/>
          <w:sz w:val="24"/>
          <w:szCs w:val="24"/>
          <w:lang w:eastAsia="es-MX"/>
        </w:rPr>
      </w:pPr>
    </w:p>
    <w:p w14:paraId="4669ED75" w14:textId="77777777" w:rsidR="00991189" w:rsidRPr="00A3266E" w:rsidRDefault="00991189" w:rsidP="00991189">
      <w:pPr>
        <w:spacing w:after="0" w:line="240" w:lineRule="auto"/>
        <w:jc w:val="both"/>
        <w:rPr>
          <w:rFonts w:cstheme="minorHAnsi"/>
          <w:sz w:val="24"/>
          <w:szCs w:val="24"/>
          <w:lang w:eastAsia="es-MX"/>
        </w:rPr>
      </w:pPr>
      <w:r w:rsidRPr="00A3266E">
        <w:rPr>
          <w:rFonts w:cstheme="minorHAnsi"/>
          <w:sz w:val="24"/>
          <w:szCs w:val="24"/>
          <w:lang w:eastAsia="es-MX"/>
        </w:rPr>
        <w:t>5.</w:t>
      </w:r>
      <w:r>
        <w:rPr>
          <w:rFonts w:cstheme="minorHAnsi"/>
          <w:sz w:val="24"/>
          <w:szCs w:val="24"/>
          <w:lang w:eastAsia="es-MX"/>
        </w:rPr>
        <w:t xml:space="preserve"> </w:t>
      </w:r>
      <w:r w:rsidRPr="00A3266E">
        <w:rPr>
          <w:rFonts w:cstheme="minorHAnsi"/>
          <w:sz w:val="24"/>
          <w:szCs w:val="24"/>
          <w:lang w:eastAsia="es-MX"/>
        </w:rPr>
        <w:t xml:space="preserve">El Estado violó el derecho a la propiedad comunitaria, las </w:t>
      </w:r>
      <w:proofErr w:type="gramStart"/>
      <w:r w:rsidRPr="00A3266E">
        <w:rPr>
          <w:rFonts w:cstheme="minorHAnsi"/>
          <w:sz w:val="24"/>
          <w:szCs w:val="24"/>
          <w:lang w:eastAsia="es-MX"/>
        </w:rPr>
        <w:t>garantías judiciales y la protección judicial</w:t>
      </w:r>
      <w:proofErr w:type="gramEnd"/>
      <w:r w:rsidRPr="00A3266E">
        <w:rPr>
          <w:rFonts w:cstheme="minorHAnsi"/>
          <w:sz w:val="24"/>
          <w:szCs w:val="24"/>
          <w:lang w:eastAsia="es-MX"/>
        </w:rPr>
        <w:t xml:space="preserve">, consagrados respectivamente en los artículos 21.1, 8.1 y 25.1 de la Convención Americana, en relación con los artículos 1.1 y 2 de la misma, en perjuicio de los miembros de la Comunidad </w:t>
      </w:r>
      <w:proofErr w:type="spellStart"/>
      <w:r w:rsidRPr="00A3266E">
        <w:rPr>
          <w:rFonts w:cstheme="minorHAnsi"/>
          <w:sz w:val="24"/>
          <w:szCs w:val="24"/>
          <w:lang w:eastAsia="es-MX"/>
        </w:rPr>
        <w:t>Xákmok</w:t>
      </w:r>
      <w:proofErr w:type="spellEnd"/>
      <w:r w:rsidRPr="00A3266E">
        <w:rPr>
          <w:rFonts w:cstheme="minorHAnsi"/>
          <w:sz w:val="24"/>
          <w:szCs w:val="24"/>
          <w:lang w:eastAsia="es-MX"/>
        </w:rPr>
        <w:t xml:space="preserve"> </w:t>
      </w:r>
      <w:proofErr w:type="spellStart"/>
      <w:r w:rsidRPr="00A3266E">
        <w:rPr>
          <w:rFonts w:cstheme="minorHAnsi"/>
          <w:sz w:val="24"/>
          <w:szCs w:val="24"/>
          <w:lang w:eastAsia="es-MX"/>
        </w:rPr>
        <w:t>Kásek</w:t>
      </w:r>
      <w:proofErr w:type="spellEnd"/>
      <w:r w:rsidRPr="00A3266E">
        <w:rPr>
          <w:rFonts w:cstheme="minorHAnsi"/>
          <w:sz w:val="24"/>
          <w:szCs w:val="24"/>
          <w:lang w:eastAsia="es-MX"/>
        </w:rPr>
        <w:t>, de conformidad con lo expuesto en los párrafos 54 a 182 de esta Sentencia.</w:t>
      </w:r>
    </w:p>
    <w:p w14:paraId="68C78694" w14:textId="77777777" w:rsidR="00991189" w:rsidRPr="00A3266E" w:rsidRDefault="00991189" w:rsidP="00991189">
      <w:pPr>
        <w:spacing w:after="0" w:line="240" w:lineRule="auto"/>
        <w:jc w:val="both"/>
        <w:rPr>
          <w:rFonts w:cstheme="minorHAnsi"/>
          <w:sz w:val="24"/>
          <w:szCs w:val="24"/>
          <w:lang w:eastAsia="es-MX"/>
        </w:rPr>
      </w:pPr>
    </w:p>
    <w:p w14:paraId="4982DD3E" w14:textId="77777777" w:rsidR="00991189" w:rsidRPr="00A3266E" w:rsidRDefault="00991189" w:rsidP="00991189">
      <w:pPr>
        <w:spacing w:after="0" w:line="240" w:lineRule="auto"/>
        <w:jc w:val="both"/>
        <w:rPr>
          <w:rFonts w:cstheme="minorHAnsi"/>
          <w:sz w:val="24"/>
          <w:szCs w:val="24"/>
          <w:lang w:eastAsia="es-MX"/>
        </w:rPr>
      </w:pPr>
      <w:r w:rsidRPr="00A3266E">
        <w:rPr>
          <w:rFonts w:cstheme="minorHAnsi"/>
          <w:sz w:val="24"/>
          <w:szCs w:val="24"/>
          <w:lang w:eastAsia="es-MX"/>
        </w:rPr>
        <w:t>6.</w:t>
      </w:r>
      <w:r>
        <w:rPr>
          <w:rFonts w:cstheme="minorHAnsi"/>
          <w:sz w:val="24"/>
          <w:szCs w:val="24"/>
          <w:lang w:eastAsia="es-MX"/>
        </w:rPr>
        <w:t xml:space="preserve"> </w:t>
      </w:r>
      <w:r w:rsidRPr="00A3266E">
        <w:rPr>
          <w:rFonts w:cstheme="minorHAnsi"/>
          <w:sz w:val="24"/>
          <w:szCs w:val="24"/>
          <w:lang w:eastAsia="es-MX"/>
        </w:rPr>
        <w:t xml:space="preserve">El Estado violó el derecho a la vida, consagrado en el artículo 4.1 de la Convención Americana, en relación con el artículo 1.1 de la misma, en perjuicio de todos los miembros de la Comunidad </w:t>
      </w:r>
      <w:proofErr w:type="spellStart"/>
      <w:r w:rsidRPr="00A3266E">
        <w:rPr>
          <w:rFonts w:cstheme="minorHAnsi"/>
          <w:sz w:val="24"/>
          <w:szCs w:val="24"/>
          <w:lang w:eastAsia="es-MX"/>
        </w:rPr>
        <w:t>Xákmok</w:t>
      </w:r>
      <w:proofErr w:type="spellEnd"/>
      <w:r w:rsidRPr="00A3266E">
        <w:rPr>
          <w:rFonts w:cstheme="minorHAnsi"/>
          <w:sz w:val="24"/>
          <w:szCs w:val="24"/>
          <w:lang w:eastAsia="es-MX"/>
        </w:rPr>
        <w:t xml:space="preserve"> </w:t>
      </w:r>
      <w:proofErr w:type="spellStart"/>
      <w:r w:rsidRPr="00A3266E">
        <w:rPr>
          <w:rFonts w:cstheme="minorHAnsi"/>
          <w:sz w:val="24"/>
          <w:szCs w:val="24"/>
          <w:lang w:eastAsia="es-MX"/>
        </w:rPr>
        <w:t>Kásek</w:t>
      </w:r>
      <w:proofErr w:type="spellEnd"/>
      <w:r w:rsidRPr="00A3266E">
        <w:rPr>
          <w:rFonts w:cstheme="minorHAnsi"/>
          <w:sz w:val="24"/>
          <w:szCs w:val="24"/>
          <w:lang w:eastAsia="es-MX"/>
        </w:rPr>
        <w:t>, de conformidad con lo expuesto en los párrafos 195, 196, 202 a 202, 205 a 208, 211 a 217 de esta Sentencia.</w:t>
      </w:r>
    </w:p>
    <w:p w14:paraId="3C6E6891" w14:textId="77777777" w:rsidR="00991189" w:rsidRPr="00A3266E" w:rsidRDefault="00991189" w:rsidP="00991189">
      <w:pPr>
        <w:spacing w:after="0" w:line="240" w:lineRule="auto"/>
        <w:jc w:val="both"/>
        <w:rPr>
          <w:rFonts w:cstheme="minorHAnsi"/>
          <w:sz w:val="24"/>
          <w:szCs w:val="24"/>
          <w:lang w:eastAsia="es-MX"/>
        </w:rPr>
      </w:pPr>
    </w:p>
    <w:p w14:paraId="72AE62BB" w14:textId="77777777" w:rsidR="00991189" w:rsidRPr="00A3266E" w:rsidRDefault="00991189" w:rsidP="00991189">
      <w:pPr>
        <w:spacing w:after="0" w:line="240" w:lineRule="auto"/>
        <w:jc w:val="both"/>
        <w:rPr>
          <w:rFonts w:cstheme="minorHAnsi"/>
          <w:sz w:val="24"/>
          <w:szCs w:val="24"/>
          <w:lang w:eastAsia="es-MX"/>
        </w:rPr>
      </w:pPr>
      <w:r w:rsidRPr="00A3266E">
        <w:rPr>
          <w:rFonts w:cstheme="minorHAnsi"/>
          <w:sz w:val="24"/>
          <w:szCs w:val="24"/>
          <w:lang w:eastAsia="es-MX"/>
        </w:rPr>
        <w:t>7.</w:t>
      </w:r>
      <w:r>
        <w:rPr>
          <w:rFonts w:cstheme="minorHAnsi"/>
          <w:sz w:val="24"/>
          <w:szCs w:val="24"/>
          <w:lang w:eastAsia="es-MX"/>
        </w:rPr>
        <w:t xml:space="preserve"> </w:t>
      </w:r>
      <w:r w:rsidRPr="00A3266E">
        <w:rPr>
          <w:rFonts w:cstheme="minorHAnsi"/>
          <w:sz w:val="24"/>
          <w:szCs w:val="24"/>
          <w:lang w:eastAsia="es-MX"/>
        </w:rPr>
        <w:t xml:space="preserve">El Estado violó el derecho a la vida, contemplado en el artículo 4.1 de la Convención Americana, en relación con el artículo 1.1 de la misma, en perjuicio de Sara Gonzáles López, </w:t>
      </w:r>
      <w:proofErr w:type="spellStart"/>
      <w:r w:rsidRPr="00A3266E">
        <w:rPr>
          <w:rFonts w:cstheme="minorHAnsi"/>
          <w:sz w:val="24"/>
          <w:szCs w:val="24"/>
          <w:lang w:eastAsia="es-MX"/>
        </w:rPr>
        <w:t>Yelsi</w:t>
      </w:r>
      <w:proofErr w:type="spellEnd"/>
      <w:r w:rsidRPr="00A3266E">
        <w:rPr>
          <w:rFonts w:cstheme="minorHAnsi"/>
          <w:sz w:val="24"/>
          <w:szCs w:val="24"/>
          <w:lang w:eastAsia="es-MX"/>
        </w:rPr>
        <w:t xml:space="preserve"> Karina López Cabañas, </w:t>
      </w:r>
      <w:proofErr w:type="spellStart"/>
      <w:r w:rsidRPr="00A3266E">
        <w:rPr>
          <w:rFonts w:cstheme="minorHAnsi"/>
          <w:sz w:val="24"/>
          <w:szCs w:val="24"/>
          <w:lang w:eastAsia="es-MX"/>
        </w:rPr>
        <w:t>Remigia</w:t>
      </w:r>
      <w:proofErr w:type="spellEnd"/>
      <w:r w:rsidRPr="00A3266E">
        <w:rPr>
          <w:rFonts w:cstheme="minorHAnsi"/>
          <w:sz w:val="24"/>
          <w:szCs w:val="24"/>
          <w:lang w:eastAsia="es-MX"/>
        </w:rPr>
        <w:t xml:space="preserve"> Ruiz, Aida Carolina Gonzáles, NN Ávalos o Ríos Torres, Abundio Inter </w:t>
      </w:r>
      <w:proofErr w:type="spellStart"/>
      <w:r w:rsidRPr="00A3266E">
        <w:rPr>
          <w:rFonts w:cstheme="minorHAnsi"/>
          <w:sz w:val="24"/>
          <w:szCs w:val="24"/>
          <w:lang w:eastAsia="es-MX"/>
        </w:rPr>
        <w:t>Dermott</w:t>
      </w:r>
      <w:proofErr w:type="spellEnd"/>
      <w:r w:rsidRPr="00A3266E">
        <w:rPr>
          <w:rFonts w:cstheme="minorHAnsi"/>
          <w:sz w:val="24"/>
          <w:szCs w:val="24"/>
          <w:lang w:eastAsia="es-MX"/>
        </w:rPr>
        <w:t xml:space="preserve">, NN </w:t>
      </w:r>
      <w:proofErr w:type="spellStart"/>
      <w:r w:rsidRPr="00A3266E">
        <w:rPr>
          <w:rFonts w:cstheme="minorHAnsi"/>
          <w:sz w:val="24"/>
          <w:szCs w:val="24"/>
          <w:lang w:eastAsia="es-MX"/>
        </w:rPr>
        <w:t>Dermott</w:t>
      </w:r>
      <w:proofErr w:type="spellEnd"/>
      <w:r w:rsidRPr="00A3266E">
        <w:rPr>
          <w:rFonts w:cstheme="minorHAnsi"/>
          <w:sz w:val="24"/>
          <w:szCs w:val="24"/>
          <w:lang w:eastAsia="es-MX"/>
        </w:rPr>
        <w:t xml:space="preserve"> Martínez, NN García </w:t>
      </w:r>
      <w:proofErr w:type="spellStart"/>
      <w:r w:rsidRPr="00A3266E">
        <w:rPr>
          <w:rFonts w:cstheme="minorHAnsi"/>
          <w:sz w:val="24"/>
          <w:szCs w:val="24"/>
          <w:lang w:eastAsia="es-MX"/>
        </w:rPr>
        <w:t>Dermott</w:t>
      </w:r>
      <w:proofErr w:type="spellEnd"/>
      <w:r w:rsidRPr="00A3266E">
        <w:rPr>
          <w:rFonts w:cstheme="minorHAnsi"/>
          <w:sz w:val="24"/>
          <w:szCs w:val="24"/>
          <w:lang w:eastAsia="es-MX"/>
        </w:rPr>
        <w:t xml:space="preserve">, Adalberto Gonzáles </w:t>
      </w:r>
      <w:r w:rsidRPr="00A3266E">
        <w:rPr>
          <w:rFonts w:cstheme="minorHAnsi"/>
          <w:sz w:val="24"/>
          <w:szCs w:val="24"/>
          <w:lang w:eastAsia="es-MX"/>
        </w:rPr>
        <w:lastRenderedPageBreak/>
        <w:t xml:space="preserve">López, Roberto Roa Gonzáles, NN Ávalos o Ríos Torres, NN </w:t>
      </w:r>
      <w:proofErr w:type="spellStart"/>
      <w:r w:rsidRPr="00A3266E">
        <w:rPr>
          <w:rFonts w:cstheme="minorHAnsi"/>
          <w:sz w:val="24"/>
          <w:szCs w:val="24"/>
          <w:lang w:eastAsia="es-MX"/>
        </w:rPr>
        <w:t>Dermontt</w:t>
      </w:r>
      <w:proofErr w:type="spellEnd"/>
      <w:r w:rsidRPr="00A3266E">
        <w:rPr>
          <w:rFonts w:cstheme="minorHAnsi"/>
          <w:sz w:val="24"/>
          <w:szCs w:val="24"/>
          <w:lang w:eastAsia="es-MX"/>
        </w:rPr>
        <w:t xml:space="preserve"> Ruiz y NN </w:t>
      </w:r>
      <w:proofErr w:type="spellStart"/>
      <w:r w:rsidRPr="00A3266E">
        <w:rPr>
          <w:rFonts w:cstheme="minorHAnsi"/>
          <w:sz w:val="24"/>
          <w:szCs w:val="24"/>
          <w:lang w:eastAsia="es-MX"/>
        </w:rPr>
        <w:t>Wilfrida</w:t>
      </w:r>
      <w:proofErr w:type="spellEnd"/>
      <w:r w:rsidRPr="00A3266E">
        <w:rPr>
          <w:rFonts w:cstheme="minorHAnsi"/>
          <w:sz w:val="24"/>
          <w:szCs w:val="24"/>
          <w:lang w:eastAsia="es-MX"/>
        </w:rPr>
        <w:t xml:space="preserve"> Ojeda, de conformidad con lo expuesto en los párrafos 231 a 234 de esta Sentencia.</w:t>
      </w:r>
    </w:p>
    <w:p w14:paraId="270E9AE5" w14:textId="77777777" w:rsidR="00991189" w:rsidRPr="00A3266E" w:rsidRDefault="00991189" w:rsidP="00991189">
      <w:pPr>
        <w:spacing w:after="0" w:line="240" w:lineRule="auto"/>
        <w:jc w:val="both"/>
        <w:rPr>
          <w:rFonts w:cstheme="minorHAnsi"/>
          <w:sz w:val="24"/>
          <w:szCs w:val="24"/>
          <w:lang w:eastAsia="es-MX"/>
        </w:rPr>
      </w:pPr>
    </w:p>
    <w:p w14:paraId="7658F983" w14:textId="77777777" w:rsidR="00991189" w:rsidRPr="00A3266E" w:rsidRDefault="00991189" w:rsidP="00991189">
      <w:pPr>
        <w:spacing w:after="0" w:line="240" w:lineRule="auto"/>
        <w:jc w:val="both"/>
        <w:rPr>
          <w:rFonts w:cstheme="minorHAnsi"/>
          <w:sz w:val="24"/>
          <w:szCs w:val="24"/>
          <w:lang w:eastAsia="es-MX"/>
        </w:rPr>
      </w:pPr>
      <w:r w:rsidRPr="00A3266E">
        <w:rPr>
          <w:rFonts w:cstheme="minorHAnsi"/>
          <w:sz w:val="24"/>
          <w:szCs w:val="24"/>
          <w:lang w:eastAsia="es-MX"/>
        </w:rPr>
        <w:t>8.</w:t>
      </w:r>
      <w:r>
        <w:rPr>
          <w:rFonts w:cstheme="minorHAnsi"/>
          <w:sz w:val="24"/>
          <w:szCs w:val="24"/>
          <w:lang w:eastAsia="es-MX"/>
        </w:rPr>
        <w:t xml:space="preserve"> </w:t>
      </w:r>
      <w:r w:rsidRPr="00A3266E">
        <w:rPr>
          <w:rFonts w:cstheme="minorHAnsi"/>
          <w:sz w:val="24"/>
          <w:szCs w:val="24"/>
          <w:lang w:eastAsia="es-MX"/>
        </w:rPr>
        <w:t xml:space="preserve">El Estado violó el derecho al reconocimiento de la personalidad jurídica, reconocido en el artículo 3 de la Convención Americana, en relación con el artículo 1.1 de la misma, en perjuicio de NN Jonás Ávalos o Jonás Ríos Torres, Rosa </w:t>
      </w:r>
      <w:proofErr w:type="spellStart"/>
      <w:r w:rsidRPr="00A3266E">
        <w:rPr>
          <w:rFonts w:cstheme="minorHAnsi"/>
          <w:sz w:val="24"/>
          <w:szCs w:val="24"/>
          <w:lang w:eastAsia="es-MX"/>
        </w:rPr>
        <w:t>Dermott</w:t>
      </w:r>
      <w:proofErr w:type="spellEnd"/>
      <w:r w:rsidRPr="00A3266E">
        <w:rPr>
          <w:rFonts w:cstheme="minorHAnsi"/>
          <w:sz w:val="24"/>
          <w:szCs w:val="24"/>
          <w:lang w:eastAsia="es-MX"/>
        </w:rPr>
        <w:t xml:space="preserve">, </w:t>
      </w:r>
      <w:proofErr w:type="spellStart"/>
      <w:r w:rsidRPr="00A3266E">
        <w:rPr>
          <w:rFonts w:cstheme="minorHAnsi"/>
          <w:sz w:val="24"/>
          <w:szCs w:val="24"/>
          <w:lang w:eastAsia="es-MX"/>
        </w:rPr>
        <w:t>Yelsi</w:t>
      </w:r>
      <w:proofErr w:type="spellEnd"/>
      <w:r w:rsidRPr="00A3266E">
        <w:rPr>
          <w:rFonts w:cstheme="minorHAnsi"/>
          <w:sz w:val="24"/>
          <w:szCs w:val="24"/>
          <w:lang w:eastAsia="es-MX"/>
        </w:rPr>
        <w:t xml:space="preserve"> Karina López Cabañas, Tito García, Aída Carolina González, Abundio Inter. Dermot, NN </w:t>
      </w:r>
      <w:proofErr w:type="spellStart"/>
      <w:r w:rsidRPr="00A3266E">
        <w:rPr>
          <w:rFonts w:cstheme="minorHAnsi"/>
          <w:sz w:val="24"/>
          <w:szCs w:val="24"/>
          <w:lang w:eastAsia="es-MX"/>
        </w:rPr>
        <w:t>Dermott</w:t>
      </w:r>
      <w:proofErr w:type="spellEnd"/>
      <w:r w:rsidRPr="00A3266E">
        <w:rPr>
          <w:rFonts w:cstheme="minorHAnsi"/>
          <w:sz w:val="24"/>
          <w:szCs w:val="24"/>
          <w:lang w:eastAsia="es-MX"/>
        </w:rPr>
        <w:t xml:space="preserve"> Larrosa, NN Ávalos o Ríos Torres, NN </w:t>
      </w:r>
      <w:proofErr w:type="spellStart"/>
      <w:r w:rsidRPr="00A3266E">
        <w:rPr>
          <w:rFonts w:cstheme="minorHAnsi"/>
          <w:sz w:val="24"/>
          <w:szCs w:val="24"/>
          <w:lang w:eastAsia="es-MX"/>
        </w:rPr>
        <w:t>Dermott</w:t>
      </w:r>
      <w:proofErr w:type="spellEnd"/>
      <w:r w:rsidRPr="00A3266E">
        <w:rPr>
          <w:rFonts w:cstheme="minorHAnsi"/>
          <w:sz w:val="24"/>
          <w:szCs w:val="24"/>
          <w:lang w:eastAsia="es-MX"/>
        </w:rPr>
        <w:t xml:space="preserve"> Martínez, NN </w:t>
      </w:r>
      <w:proofErr w:type="spellStart"/>
      <w:r w:rsidRPr="00A3266E">
        <w:rPr>
          <w:rFonts w:cstheme="minorHAnsi"/>
          <w:sz w:val="24"/>
          <w:szCs w:val="24"/>
          <w:lang w:eastAsia="es-MX"/>
        </w:rPr>
        <w:t>Dermott</w:t>
      </w:r>
      <w:proofErr w:type="spellEnd"/>
      <w:r w:rsidRPr="00A3266E">
        <w:rPr>
          <w:rFonts w:cstheme="minorHAnsi"/>
          <w:sz w:val="24"/>
          <w:szCs w:val="24"/>
          <w:lang w:eastAsia="es-MX"/>
        </w:rPr>
        <w:t xml:space="preserve"> Larrosa, NN García </w:t>
      </w:r>
      <w:proofErr w:type="spellStart"/>
      <w:r w:rsidRPr="00A3266E">
        <w:rPr>
          <w:rFonts w:cstheme="minorHAnsi"/>
          <w:sz w:val="24"/>
          <w:szCs w:val="24"/>
          <w:lang w:eastAsia="es-MX"/>
        </w:rPr>
        <w:t>Dermott</w:t>
      </w:r>
      <w:proofErr w:type="spellEnd"/>
      <w:r w:rsidRPr="00A3266E">
        <w:rPr>
          <w:rFonts w:cstheme="minorHAnsi"/>
          <w:sz w:val="24"/>
          <w:szCs w:val="24"/>
          <w:lang w:eastAsia="es-MX"/>
        </w:rPr>
        <w:t xml:space="preserve">, Adalberto González López, Roberto Roa Gonzáles, NN Ávalos o Ríos Torres, NN Ávalos o Ríos Torres; NN </w:t>
      </w:r>
      <w:proofErr w:type="spellStart"/>
      <w:r w:rsidRPr="00A3266E">
        <w:rPr>
          <w:rFonts w:cstheme="minorHAnsi"/>
          <w:sz w:val="24"/>
          <w:szCs w:val="24"/>
          <w:lang w:eastAsia="es-MX"/>
        </w:rPr>
        <w:t>Dermott</w:t>
      </w:r>
      <w:proofErr w:type="spellEnd"/>
      <w:r w:rsidRPr="00A3266E">
        <w:rPr>
          <w:rFonts w:cstheme="minorHAnsi"/>
          <w:sz w:val="24"/>
          <w:szCs w:val="24"/>
          <w:lang w:eastAsia="es-MX"/>
        </w:rPr>
        <w:t xml:space="preserve"> Ruiz, Mercedes </w:t>
      </w:r>
      <w:proofErr w:type="spellStart"/>
      <w:r w:rsidRPr="00A3266E">
        <w:rPr>
          <w:rFonts w:cstheme="minorHAnsi"/>
          <w:sz w:val="24"/>
          <w:szCs w:val="24"/>
          <w:lang w:eastAsia="es-MX"/>
        </w:rPr>
        <w:t>Dermott</w:t>
      </w:r>
      <w:proofErr w:type="spellEnd"/>
      <w:r w:rsidRPr="00A3266E">
        <w:rPr>
          <w:rFonts w:cstheme="minorHAnsi"/>
          <w:sz w:val="24"/>
          <w:szCs w:val="24"/>
          <w:lang w:eastAsia="es-MX"/>
        </w:rPr>
        <w:t xml:space="preserve"> Larrosa, Sargento Giménez y Rosana Corrientes Domínguez, de conformidad con lo expuesto en los párrafos 251 a 254 de esta Sentencia.</w:t>
      </w:r>
    </w:p>
    <w:p w14:paraId="4E690AE1" w14:textId="77777777" w:rsidR="00991189" w:rsidRPr="00A3266E" w:rsidRDefault="00991189" w:rsidP="00991189">
      <w:pPr>
        <w:spacing w:after="0" w:line="240" w:lineRule="auto"/>
        <w:jc w:val="both"/>
        <w:rPr>
          <w:rFonts w:cstheme="minorHAnsi"/>
          <w:sz w:val="24"/>
          <w:szCs w:val="24"/>
          <w:lang w:eastAsia="es-MX"/>
        </w:rPr>
      </w:pPr>
    </w:p>
    <w:p w14:paraId="2ED32FFB" w14:textId="77777777" w:rsidR="00991189" w:rsidRPr="00A3266E" w:rsidRDefault="00991189" w:rsidP="00991189">
      <w:pPr>
        <w:spacing w:after="0" w:line="240" w:lineRule="auto"/>
        <w:jc w:val="both"/>
        <w:rPr>
          <w:rFonts w:cstheme="minorHAnsi"/>
          <w:sz w:val="24"/>
          <w:szCs w:val="24"/>
          <w:lang w:eastAsia="es-MX"/>
        </w:rPr>
      </w:pPr>
      <w:r w:rsidRPr="00A3266E">
        <w:rPr>
          <w:rFonts w:cstheme="minorHAnsi"/>
          <w:sz w:val="24"/>
          <w:szCs w:val="24"/>
          <w:lang w:eastAsia="es-MX"/>
        </w:rPr>
        <w:t>9.</w:t>
      </w:r>
      <w:r>
        <w:rPr>
          <w:rFonts w:cstheme="minorHAnsi"/>
          <w:sz w:val="24"/>
          <w:szCs w:val="24"/>
          <w:lang w:eastAsia="es-MX"/>
        </w:rPr>
        <w:t xml:space="preserve"> </w:t>
      </w:r>
      <w:r w:rsidRPr="00A3266E">
        <w:rPr>
          <w:rFonts w:cstheme="minorHAnsi"/>
          <w:sz w:val="24"/>
          <w:szCs w:val="24"/>
          <w:lang w:eastAsia="es-MX"/>
        </w:rPr>
        <w:t>El Estado incumplió con el deber de no discriminar, contenido en el artículo 1.1 de la Convención Americana, en relación con los derechos reconocidos en los artículos 21.1, 8.1, 25.1, 4.1, 3, y 19 del mismo instrumento, de acuerdo con lo expuesto en los párrafos 273 a 275 de esta Sentencia.</w:t>
      </w:r>
    </w:p>
    <w:p w14:paraId="76E48CA4" w14:textId="77777777" w:rsidR="00991189" w:rsidRPr="00A3266E" w:rsidRDefault="00991189" w:rsidP="00991189">
      <w:pPr>
        <w:spacing w:after="0" w:line="240" w:lineRule="auto"/>
        <w:jc w:val="both"/>
        <w:rPr>
          <w:rFonts w:cstheme="minorHAnsi"/>
          <w:sz w:val="24"/>
          <w:szCs w:val="24"/>
          <w:lang w:eastAsia="es-MX"/>
        </w:rPr>
      </w:pPr>
    </w:p>
    <w:p w14:paraId="38F47553" w14:textId="77777777" w:rsidR="00991189" w:rsidRPr="00BA5D77" w:rsidRDefault="00991189" w:rsidP="00991189">
      <w:pPr>
        <w:spacing w:after="0" w:line="240" w:lineRule="auto"/>
        <w:jc w:val="both"/>
        <w:rPr>
          <w:rFonts w:cstheme="minorHAnsi"/>
          <w:sz w:val="24"/>
          <w:szCs w:val="24"/>
          <w:lang w:eastAsia="es-MX"/>
        </w:rPr>
      </w:pPr>
    </w:p>
    <w:p w14:paraId="1545D3D6" w14:textId="77777777" w:rsidR="00991189" w:rsidRPr="00BA5D77" w:rsidRDefault="00991189" w:rsidP="00991189">
      <w:pPr>
        <w:spacing w:after="0" w:line="240" w:lineRule="auto"/>
        <w:jc w:val="both"/>
        <w:rPr>
          <w:rFonts w:cstheme="minorHAnsi"/>
          <w:sz w:val="24"/>
          <w:szCs w:val="24"/>
          <w:lang w:eastAsia="es-MX"/>
        </w:rPr>
      </w:pPr>
    </w:p>
    <w:p w14:paraId="32DC74B0" w14:textId="77777777" w:rsidR="00991189" w:rsidRPr="00602B69" w:rsidRDefault="00991189" w:rsidP="00991189">
      <w:pPr>
        <w:spacing w:after="0" w:line="240" w:lineRule="auto"/>
        <w:rPr>
          <w:lang w:eastAsia="es-MX"/>
        </w:rPr>
      </w:pPr>
    </w:p>
    <w:p w14:paraId="4E754367" w14:textId="77777777" w:rsidR="00991189" w:rsidRDefault="00991189" w:rsidP="00991189">
      <w:pPr>
        <w:pStyle w:val="Ttulo4"/>
        <w:spacing w:before="0" w:line="240" w:lineRule="auto"/>
        <w:rPr>
          <w:rFonts w:ascii="Gadugi" w:eastAsia="Times New Roman" w:hAnsi="Gadugi" w:cs="Times New Roman"/>
          <w:b/>
          <w:i w:val="0"/>
          <w:iCs w:val="0"/>
          <w:color w:val="C00000"/>
          <w:sz w:val="24"/>
          <w:szCs w:val="24"/>
          <w:lang w:eastAsia="es-MX"/>
        </w:rPr>
      </w:pPr>
      <w:r w:rsidRPr="00EC17E3">
        <w:rPr>
          <w:rFonts w:ascii="Gadugi" w:eastAsia="Times New Roman" w:hAnsi="Gadugi" w:cs="Times New Roman"/>
          <w:b/>
          <w:i w:val="0"/>
          <w:iCs w:val="0"/>
          <w:color w:val="C00000"/>
          <w:sz w:val="24"/>
          <w:szCs w:val="24"/>
          <w:lang w:eastAsia="es-MX"/>
        </w:rPr>
        <w:t>CASO 4:</w:t>
      </w:r>
      <w:r>
        <w:rPr>
          <w:rFonts w:ascii="Gadugi" w:eastAsia="Times New Roman" w:hAnsi="Gadugi" w:cs="Times New Roman"/>
          <w:b/>
          <w:i w:val="0"/>
          <w:iCs w:val="0"/>
          <w:color w:val="C00000"/>
          <w:sz w:val="24"/>
          <w:szCs w:val="24"/>
          <w:lang w:eastAsia="es-MX"/>
        </w:rPr>
        <w:t xml:space="preserve"> </w:t>
      </w:r>
      <w:r w:rsidRPr="00415CF9">
        <w:rPr>
          <w:rFonts w:ascii="Gadugi" w:eastAsia="Times New Roman" w:hAnsi="Gadugi" w:cs="Times New Roman"/>
          <w:b/>
          <w:i w:val="0"/>
          <w:iCs w:val="0"/>
          <w:color w:val="C00000"/>
          <w:sz w:val="24"/>
          <w:szCs w:val="24"/>
          <w:lang w:eastAsia="es-MX"/>
        </w:rPr>
        <w:t>CASO SERVELLÓN GARCÍA Y OTROS VS HONDURAS</w:t>
      </w:r>
    </w:p>
    <w:p w14:paraId="03A79A7E" w14:textId="77777777" w:rsidR="00991189" w:rsidRDefault="00991189" w:rsidP="00991189">
      <w:pPr>
        <w:rPr>
          <w:lang w:eastAsia="es-MX"/>
        </w:rPr>
      </w:pPr>
    </w:p>
    <w:p w14:paraId="4FDE7F9B" w14:textId="77777777" w:rsidR="00991189" w:rsidRDefault="00991189" w:rsidP="00991189">
      <w:pPr>
        <w:spacing w:after="0" w:line="240" w:lineRule="auto"/>
        <w:rPr>
          <w:rFonts w:ascii="Gadugi" w:hAnsi="Gadugi"/>
          <w:b/>
          <w:color w:val="C00000"/>
          <w:sz w:val="24"/>
          <w:szCs w:val="24"/>
        </w:rPr>
      </w:pPr>
      <w:r w:rsidRPr="00133A01">
        <w:rPr>
          <w:rFonts w:ascii="Gadugi" w:hAnsi="Gadugi"/>
          <w:b/>
          <w:color w:val="C00000"/>
          <w:sz w:val="24"/>
          <w:szCs w:val="24"/>
        </w:rPr>
        <w:t xml:space="preserve">Órgano </w:t>
      </w:r>
      <w:proofErr w:type="spellStart"/>
      <w:r w:rsidRPr="00133A01">
        <w:rPr>
          <w:rFonts w:ascii="Gadugi" w:hAnsi="Gadugi"/>
          <w:b/>
          <w:color w:val="C00000"/>
          <w:sz w:val="24"/>
          <w:szCs w:val="24"/>
        </w:rPr>
        <w:t>CoIDH</w:t>
      </w:r>
      <w:proofErr w:type="spellEnd"/>
      <w:r w:rsidRPr="00133A01">
        <w:rPr>
          <w:rFonts w:ascii="Gadugi" w:hAnsi="Gadugi"/>
          <w:b/>
          <w:color w:val="C00000"/>
          <w:sz w:val="24"/>
          <w:szCs w:val="24"/>
        </w:rPr>
        <w:t>.</w:t>
      </w:r>
    </w:p>
    <w:p w14:paraId="25D2411D" w14:textId="77777777" w:rsidR="00991189" w:rsidRPr="003044B3" w:rsidRDefault="00991189" w:rsidP="00991189">
      <w:pPr>
        <w:spacing w:after="0" w:line="240" w:lineRule="auto"/>
        <w:rPr>
          <w:rFonts w:cstheme="minorHAnsi"/>
          <w:sz w:val="24"/>
          <w:szCs w:val="24"/>
          <w:lang w:eastAsia="es-MX"/>
        </w:rPr>
      </w:pPr>
    </w:p>
    <w:p w14:paraId="0E18CD48" w14:textId="77777777" w:rsidR="00991189" w:rsidRPr="003044B3" w:rsidRDefault="00991189" w:rsidP="00991189">
      <w:pPr>
        <w:spacing w:after="0" w:line="240" w:lineRule="auto"/>
        <w:rPr>
          <w:rFonts w:ascii="Gadugi" w:hAnsi="Gadugi"/>
          <w:b/>
          <w:sz w:val="24"/>
          <w:szCs w:val="24"/>
        </w:rPr>
      </w:pPr>
      <w:r w:rsidRPr="003044B3">
        <w:rPr>
          <w:rFonts w:ascii="Gadugi" w:hAnsi="Gadugi"/>
          <w:b/>
          <w:sz w:val="24"/>
          <w:szCs w:val="24"/>
        </w:rPr>
        <w:t>Corte Interamericana de Derechos Humanos</w:t>
      </w:r>
    </w:p>
    <w:p w14:paraId="6887EB2A" w14:textId="77777777" w:rsidR="00991189" w:rsidRPr="003044B3" w:rsidRDefault="00991189" w:rsidP="00991189">
      <w:pPr>
        <w:spacing w:after="0" w:line="240" w:lineRule="auto"/>
        <w:rPr>
          <w:rFonts w:ascii="Gadugi" w:hAnsi="Gadugi"/>
          <w:b/>
          <w:color w:val="C00000"/>
          <w:sz w:val="24"/>
          <w:szCs w:val="24"/>
        </w:rPr>
      </w:pPr>
      <w:r w:rsidRPr="003044B3">
        <w:rPr>
          <w:rFonts w:ascii="Gadugi" w:hAnsi="Gadugi"/>
          <w:b/>
          <w:color w:val="C00000"/>
          <w:sz w:val="24"/>
          <w:szCs w:val="24"/>
        </w:rPr>
        <w:t>Caso Servellón García y otros Vs. Honduras</w:t>
      </w:r>
    </w:p>
    <w:p w14:paraId="4155AA4F" w14:textId="77777777" w:rsidR="00991189" w:rsidRPr="003044B3" w:rsidRDefault="00991189" w:rsidP="00991189">
      <w:pPr>
        <w:spacing w:after="0" w:line="240" w:lineRule="auto"/>
        <w:rPr>
          <w:rFonts w:ascii="Gadugi" w:hAnsi="Gadugi"/>
          <w:b/>
          <w:sz w:val="24"/>
          <w:szCs w:val="24"/>
        </w:rPr>
      </w:pPr>
      <w:r w:rsidRPr="003044B3">
        <w:rPr>
          <w:rFonts w:ascii="Gadugi" w:hAnsi="Gadugi"/>
          <w:b/>
          <w:sz w:val="24"/>
          <w:szCs w:val="24"/>
        </w:rPr>
        <w:t>Resuelto el 21 de septiembre de 2006</w:t>
      </w:r>
    </w:p>
    <w:p w14:paraId="0E7382CD" w14:textId="77777777" w:rsidR="00991189" w:rsidRPr="003044B3" w:rsidRDefault="00991189" w:rsidP="00991189">
      <w:pPr>
        <w:spacing w:after="0" w:line="240" w:lineRule="auto"/>
        <w:rPr>
          <w:rFonts w:ascii="Gadugi" w:hAnsi="Gadugi"/>
          <w:b/>
          <w:sz w:val="24"/>
          <w:szCs w:val="24"/>
        </w:rPr>
      </w:pPr>
    </w:p>
    <w:p w14:paraId="006DADBF" w14:textId="77777777" w:rsidR="00991189" w:rsidRPr="00BD04E4" w:rsidRDefault="00991189" w:rsidP="00991189">
      <w:pPr>
        <w:spacing w:after="0" w:line="240" w:lineRule="auto"/>
        <w:rPr>
          <w:rFonts w:cstheme="minorHAnsi"/>
          <w:b/>
          <w:bCs/>
          <w:sz w:val="24"/>
          <w:szCs w:val="24"/>
          <w:lang w:eastAsia="es-MX"/>
        </w:rPr>
      </w:pPr>
      <w:r w:rsidRPr="00BD04E4">
        <w:rPr>
          <w:rFonts w:cstheme="minorHAnsi"/>
          <w:b/>
          <w:bCs/>
          <w:sz w:val="24"/>
          <w:szCs w:val="24"/>
          <w:lang w:eastAsia="es-MX"/>
        </w:rPr>
        <w:t>Temática</w:t>
      </w:r>
    </w:p>
    <w:p w14:paraId="0AAF1F81" w14:textId="77777777" w:rsidR="00991189" w:rsidRPr="003044B3" w:rsidRDefault="00991189" w:rsidP="00991189">
      <w:pPr>
        <w:pStyle w:val="Prrafodelista"/>
        <w:numPr>
          <w:ilvl w:val="0"/>
          <w:numId w:val="10"/>
        </w:numPr>
        <w:rPr>
          <w:rFonts w:asciiTheme="minorHAnsi" w:hAnsiTheme="minorHAnsi" w:cstheme="minorHAnsi"/>
        </w:rPr>
      </w:pPr>
      <w:r w:rsidRPr="003044B3">
        <w:rPr>
          <w:rFonts w:asciiTheme="minorHAnsi" w:hAnsiTheme="minorHAnsi" w:cstheme="minorHAnsi"/>
        </w:rPr>
        <w:t>Obligación de respetar los derechos;</w:t>
      </w:r>
    </w:p>
    <w:p w14:paraId="7B58444B" w14:textId="77777777" w:rsidR="00991189" w:rsidRPr="003044B3" w:rsidRDefault="00991189" w:rsidP="00991189">
      <w:pPr>
        <w:pStyle w:val="Prrafodelista"/>
        <w:numPr>
          <w:ilvl w:val="0"/>
          <w:numId w:val="10"/>
        </w:numPr>
        <w:rPr>
          <w:rFonts w:asciiTheme="minorHAnsi" w:hAnsiTheme="minorHAnsi" w:cstheme="minorHAnsi"/>
        </w:rPr>
      </w:pPr>
      <w:r w:rsidRPr="003044B3">
        <w:rPr>
          <w:rFonts w:asciiTheme="minorHAnsi" w:hAnsiTheme="minorHAnsi" w:cstheme="minorHAnsi"/>
        </w:rPr>
        <w:t>Libertad de pensamiento y expresión;</w:t>
      </w:r>
    </w:p>
    <w:p w14:paraId="0440F1F0" w14:textId="77777777" w:rsidR="00991189" w:rsidRPr="003044B3" w:rsidRDefault="00991189" w:rsidP="00991189">
      <w:pPr>
        <w:pStyle w:val="Prrafodelista"/>
        <w:numPr>
          <w:ilvl w:val="0"/>
          <w:numId w:val="10"/>
        </w:numPr>
        <w:rPr>
          <w:rFonts w:asciiTheme="minorHAnsi" w:hAnsiTheme="minorHAnsi" w:cstheme="minorHAnsi"/>
        </w:rPr>
      </w:pPr>
      <w:r w:rsidRPr="003044B3">
        <w:rPr>
          <w:rFonts w:asciiTheme="minorHAnsi" w:hAnsiTheme="minorHAnsi" w:cstheme="minorHAnsi"/>
        </w:rPr>
        <w:t>Derecho de los niños y niñas;</w:t>
      </w:r>
    </w:p>
    <w:p w14:paraId="4A8E49A5" w14:textId="77777777" w:rsidR="00991189" w:rsidRPr="003044B3" w:rsidRDefault="00991189" w:rsidP="00991189">
      <w:pPr>
        <w:pStyle w:val="Prrafodelista"/>
        <w:numPr>
          <w:ilvl w:val="0"/>
          <w:numId w:val="10"/>
        </w:numPr>
        <w:rPr>
          <w:rFonts w:asciiTheme="minorHAnsi" w:hAnsiTheme="minorHAnsi" w:cstheme="minorHAnsi"/>
        </w:rPr>
      </w:pPr>
      <w:r w:rsidRPr="003044B3">
        <w:rPr>
          <w:rFonts w:asciiTheme="minorHAnsi" w:hAnsiTheme="minorHAnsi" w:cstheme="minorHAnsi"/>
        </w:rPr>
        <w:t>Protección judicial;</w:t>
      </w:r>
    </w:p>
    <w:p w14:paraId="4FAC2764" w14:textId="77777777" w:rsidR="00991189" w:rsidRPr="003044B3" w:rsidRDefault="00991189" w:rsidP="00991189">
      <w:pPr>
        <w:pStyle w:val="Prrafodelista"/>
        <w:numPr>
          <w:ilvl w:val="0"/>
          <w:numId w:val="10"/>
        </w:numPr>
        <w:rPr>
          <w:rFonts w:asciiTheme="minorHAnsi" w:hAnsiTheme="minorHAnsi" w:cstheme="minorHAnsi"/>
        </w:rPr>
      </w:pPr>
      <w:r w:rsidRPr="003044B3">
        <w:rPr>
          <w:rFonts w:asciiTheme="minorHAnsi" w:hAnsiTheme="minorHAnsi" w:cstheme="minorHAnsi"/>
        </w:rPr>
        <w:t>Derecho a la vida;</w:t>
      </w:r>
    </w:p>
    <w:p w14:paraId="1A70091D" w14:textId="77777777" w:rsidR="00991189" w:rsidRPr="003044B3" w:rsidRDefault="00991189" w:rsidP="00991189">
      <w:pPr>
        <w:pStyle w:val="Prrafodelista"/>
        <w:numPr>
          <w:ilvl w:val="0"/>
          <w:numId w:val="10"/>
        </w:numPr>
        <w:rPr>
          <w:rFonts w:asciiTheme="minorHAnsi" w:hAnsiTheme="minorHAnsi" w:cstheme="minorHAnsi"/>
        </w:rPr>
      </w:pPr>
      <w:r w:rsidRPr="003044B3">
        <w:rPr>
          <w:rFonts w:asciiTheme="minorHAnsi" w:hAnsiTheme="minorHAnsi" w:cstheme="minorHAnsi"/>
        </w:rPr>
        <w:t>Derecho a la integridad personal;</w:t>
      </w:r>
    </w:p>
    <w:p w14:paraId="571A5295" w14:textId="77777777" w:rsidR="00991189" w:rsidRPr="003044B3" w:rsidRDefault="00991189" w:rsidP="00991189">
      <w:pPr>
        <w:pStyle w:val="Prrafodelista"/>
        <w:numPr>
          <w:ilvl w:val="0"/>
          <w:numId w:val="10"/>
        </w:numPr>
        <w:rPr>
          <w:rFonts w:asciiTheme="minorHAnsi" w:hAnsiTheme="minorHAnsi" w:cstheme="minorHAnsi"/>
        </w:rPr>
      </w:pPr>
      <w:r w:rsidRPr="003044B3">
        <w:rPr>
          <w:rFonts w:asciiTheme="minorHAnsi" w:hAnsiTheme="minorHAnsi" w:cstheme="minorHAnsi"/>
        </w:rPr>
        <w:t>Derecho a la libertad personal; y</w:t>
      </w:r>
    </w:p>
    <w:p w14:paraId="27DF0F0C" w14:textId="77777777" w:rsidR="00991189" w:rsidRPr="003044B3" w:rsidRDefault="00991189" w:rsidP="00991189">
      <w:pPr>
        <w:pStyle w:val="Prrafodelista"/>
        <w:numPr>
          <w:ilvl w:val="0"/>
          <w:numId w:val="10"/>
        </w:numPr>
        <w:rPr>
          <w:rFonts w:asciiTheme="minorHAnsi" w:hAnsiTheme="minorHAnsi" w:cstheme="minorHAnsi"/>
        </w:rPr>
      </w:pPr>
      <w:r w:rsidRPr="003044B3">
        <w:rPr>
          <w:rFonts w:asciiTheme="minorHAnsi" w:hAnsiTheme="minorHAnsi" w:cstheme="minorHAnsi"/>
        </w:rPr>
        <w:t>Garantías judiciales.</w:t>
      </w:r>
    </w:p>
    <w:p w14:paraId="33510EEF" w14:textId="77777777" w:rsidR="00991189" w:rsidRPr="003044B3" w:rsidRDefault="00991189" w:rsidP="00991189">
      <w:pPr>
        <w:spacing w:after="0" w:line="240" w:lineRule="auto"/>
        <w:rPr>
          <w:rFonts w:cstheme="minorHAnsi"/>
          <w:sz w:val="24"/>
          <w:szCs w:val="24"/>
          <w:lang w:eastAsia="es-MX"/>
        </w:rPr>
      </w:pPr>
    </w:p>
    <w:p w14:paraId="47B6BCEB" w14:textId="77777777" w:rsidR="00991189" w:rsidRPr="003044B3" w:rsidRDefault="00991189" w:rsidP="00991189">
      <w:pPr>
        <w:spacing w:after="0" w:line="240" w:lineRule="auto"/>
        <w:rPr>
          <w:rFonts w:cstheme="minorHAnsi"/>
          <w:sz w:val="24"/>
          <w:szCs w:val="24"/>
          <w:lang w:eastAsia="es-MX"/>
        </w:rPr>
      </w:pPr>
    </w:p>
    <w:p w14:paraId="487A51E5" w14:textId="77777777" w:rsidR="00991189" w:rsidRPr="00BD04E4" w:rsidRDefault="00991189" w:rsidP="00991189">
      <w:pPr>
        <w:spacing w:after="0" w:line="240" w:lineRule="auto"/>
        <w:jc w:val="both"/>
        <w:rPr>
          <w:rFonts w:cstheme="minorHAnsi"/>
          <w:b/>
          <w:bCs/>
          <w:sz w:val="24"/>
          <w:szCs w:val="24"/>
          <w:lang w:eastAsia="es-MX"/>
        </w:rPr>
      </w:pPr>
      <w:r w:rsidRPr="00BD04E4">
        <w:rPr>
          <w:rFonts w:cstheme="minorHAnsi"/>
          <w:b/>
          <w:bCs/>
          <w:sz w:val="24"/>
          <w:szCs w:val="24"/>
          <w:lang w:eastAsia="es-MX"/>
        </w:rPr>
        <w:t>Caso concreto</w:t>
      </w:r>
    </w:p>
    <w:p w14:paraId="17A4A5D2" w14:textId="77777777" w:rsidR="00991189" w:rsidRPr="003044B3" w:rsidRDefault="00991189" w:rsidP="00991189">
      <w:pPr>
        <w:spacing w:after="0" w:line="240" w:lineRule="auto"/>
        <w:jc w:val="both"/>
        <w:rPr>
          <w:rFonts w:cstheme="minorHAnsi"/>
          <w:sz w:val="24"/>
          <w:szCs w:val="24"/>
          <w:lang w:eastAsia="es-MX"/>
        </w:rPr>
      </w:pPr>
    </w:p>
    <w:p w14:paraId="227A24C9" w14:textId="77777777" w:rsidR="00991189" w:rsidRPr="003044B3" w:rsidRDefault="00991189" w:rsidP="00991189">
      <w:pPr>
        <w:spacing w:after="0" w:line="240" w:lineRule="auto"/>
        <w:jc w:val="both"/>
        <w:rPr>
          <w:rFonts w:cstheme="minorHAnsi"/>
          <w:sz w:val="24"/>
          <w:szCs w:val="24"/>
          <w:lang w:eastAsia="es-MX"/>
        </w:rPr>
      </w:pPr>
      <w:r w:rsidRPr="003044B3">
        <w:rPr>
          <w:rFonts w:cstheme="minorHAnsi"/>
          <w:sz w:val="24"/>
          <w:szCs w:val="24"/>
          <w:lang w:eastAsia="es-MX"/>
        </w:rPr>
        <w:t xml:space="preserve">El caso se refiere a la responsabilidad del Estado por la detención arbitraria y posterior ejecución extrajudicial de Marco Antonio Servellón García, Rony Alexis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w:t>
      </w:r>
      <w:r w:rsidRPr="003044B3">
        <w:rPr>
          <w:rFonts w:cstheme="minorHAnsi"/>
          <w:sz w:val="24"/>
          <w:szCs w:val="24"/>
          <w:lang w:eastAsia="es-MX"/>
        </w:rPr>
        <w:lastRenderedPageBreak/>
        <w:t>Vásquez, Orlando Álvarez Ríos, Diomedes Obed García Sánchez por parte de agentes públicos, así como por la falta de investigación y sanción de los responsables.</w:t>
      </w:r>
    </w:p>
    <w:p w14:paraId="42E1EF0A" w14:textId="77777777" w:rsidR="00991189" w:rsidRPr="003044B3" w:rsidRDefault="00991189" w:rsidP="00991189">
      <w:pPr>
        <w:spacing w:after="0" w:line="240" w:lineRule="auto"/>
        <w:jc w:val="both"/>
        <w:rPr>
          <w:rFonts w:cstheme="minorHAnsi"/>
          <w:sz w:val="24"/>
          <w:szCs w:val="24"/>
          <w:lang w:eastAsia="es-MX"/>
        </w:rPr>
      </w:pPr>
    </w:p>
    <w:p w14:paraId="709C1910" w14:textId="77777777" w:rsidR="00991189" w:rsidRPr="00BD04E4" w:rsidRDefault="00991189" w:rsidP="00991189">
      <w:pPr>
        <w:spacing w:after="0" w:line="240" w:lineRule="auto"/>
        <w:jc w:val="both"/>
        <w:rPr>
          <w:rFonts w:cstheme="minorHAnsi"/>
          <w:b/>
          <w:bCs/>
          <w:sz w:val="24"/>
          <w:szCs w:val="24"/>
          <w:lang w:eastAsia="es-MX"/>
        </w:rPr>
      </w:pPr>
      <w:r w:rsidRPr="00BD04E4">
        <w:rPr>
          <w:rFonts w:cstheme="minorHAnsi"/>
          <w:b/>
          <w:bCs/>
          <w:sz w:val="24"/>
          <w:szCs w:val="24"/>
          <w:lang w:eastAsia="es-MX"/>
        </w:rPr>
        <w:t>Hechos</w:t>
      </w:r>
    </w:p>
    <w:p w14:paraId="2F7A7120" w14:textId="77777777" w:rsidR="00991189" w:rsidRPr="003044B3" w:rsidRDefault="00991189" w:rsidP="00991189">
      <w:pPr>
        <w:spacing w:after="0" w:line="240" w:lineRule="auto"/>
        <w:jc w:val="both"/>
        <w:rPr>
          <w:rFonts w:cstheme="minorHAnsi"/>
          <w:sz w:val="24"/>
          <w:szCs w:val="24"/>
          <w:lang w:eastAsia="es-MX"/>
        </w:rPr>
      </w:pPr>
    </w:p>
    <w:p w14:paraId="0752AB46" w14:textId="77777777" w:rsidR="00991189" w:rsidRPr="003044B3" w:rsidRDefault="00991189" w:rsidP="00991189">
      <w:pPr>
        <w:spacing w:after="0" w:line="240" w:lineRule="auto"/>
        <w:jc w:val="both"/>
        <w:rPr>
          <w:rFonts w:cstheme="minorHAnsi"/>
          <w:sz w:val="24"/>
          <w:szCs w:val="24"/>
          <w:lang w:eastAsia="es-MX"/>
        </w:rPr>
      </w:pPr>
      <w:r w:rsidRPr="003044B3">
        <w:rPr>
          <w:rFonts w:cstheme="minorHAnsi"/>
          <w:sz w:val="24"/>
          <w:szCs w:val="24"/>
          <w:lang w:eastAsia="es-MX"/>
        </w:rPr>
        <w:t>Los hechos se llevan a cabo en contexto de violencia marcado por la victimización de niños y jóvenes en situación de riesgo social por parte del Estado a inicios de la década de los 90s. El 15 de septiembre de 1995 la Fuerza de Seguridad Pública realizó un operativo policial llevado a cabo en las inmediaciones de un estadio en la ciudad de Tegucigalpa, con el objeto de evitar disturbios durante los desfiles que se realizarían para celebrar el Día de la Independencia Nacional de Honduras.</w:t>
      </w:r>
    </w:p>
    <w:p w14:paraId="09815D52" w14:textId="77777777" w:rsidR="00991189" w:rsidRPr="003044B3" w:rsidRDefault="00991189" w:rsidP="00991189">
      <w:pPr>
        <w:spacing w:after="0" w:line="240" w:lineRule="auto"/>
        <w:jc w:val="both"/>
        <w:rPr>
          <w:rFonts w:cstheme="minorHAnsi"/>
          <w:sz w:val="24"/>
          <w:szCs w:val="24"/>
          <w:lang w:eastAsia="es-MX"/>
        </w:rPr>
      </w:pPr>
    </w:p>
    <w:p w14:paraId="42E5D1CE" w14:textId="77777777" w:rsidR="00991189" w:rsidRPr="003044B3" w:rsidRDefault="00991189" w:rsidP="00991189">
      <w:pPr>
        <w:spacing w:after="0" w:line="240" w:lineRule="auto"/>
        <w:jc w:val="both"/>
        <w:rPr>
          <w:rFonts w:cstheme="minorHAnsi"/>
          <w:sz w:val="24"/>
          <w:szCs w:val="24"/>
          <w:lang w:eastAsia="es-MX"/>
        </w:rPr>
      </w:pPr>
      <w:r w:rsidRPr="003044B3">
        <w:rPr>
          <w:rFonts w:cstheme="minorHAnsi"/>
          <w:sz w:val="24"/>
          <w:szCs w:val="24"/>
          <w:lang w:eastAsia="es-MX"/>
        </w:rPr>
        <w:t xml:space="preserve">Los niños Marco Antonio Servellón García, Rony Alexis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Vásquez, y los jóvenes Orlando Álvarez Ríos y Diomedes Obed García Sánchez fueron detenidos por la Fuerza de Seguridad de Honduras. Las cuatro personas fueron golpeadas y posteriormente asesinadas. El 17 de septiembre de 1995 sus cadáveres fueron encontrados en diferentes lugares de la ciudad de Tegucigalpa. A pesar de que sus familiares interpusieron una serie de recursos para investigar y sancionar a los responsables, no se realizaron mayores diligencias.</w:t>
      </w:r>
    </w:p>
    <w:p w14:paraId="05AE9C76" w14:textId="77777777" w:rsidR="00991189" w:rsidRPr="003044B3" w:rsidRDefault="00991189" w:rsidP="00991189">
      <w:pPr>
        <w:spacing w:after="0" w:line="240" w:lineRule="auto"/>
        <w:jc w:val="both"/>
        <w:rPr>
          <w:rFonts w:cstheme="minorHAnsi"/>
          <w:sz w:val="24"/>
          <w:szCs w:val="24"/>
          <w:lang w:eastAsia="es-MX"/>
        </w:rPr>
      </w:pPr>
    </w:p>
    <w:p w14:paraId="16B51F6E" w14:textId="77777777" w:rsidR="00991189" w:rsidRDefault="00991189" w:rsidP="00991189">
      <w:pPr>
        <w:spacing w:after="0" w:line="240" w:lineRule="auto"/>
        <w:jc w:val="both"/>
        <w:rPr>
          <w:rFonts w:cstheme="minorHAnsi"/>
          <w:b/>
          <w:bCs/>
          <w:sz w:val="24"/>
          <w:szCs w:val="24"/>
          <w:lang w:eastAsia="es-MX"/>
        </w:rPr>
      </w:pPr>
      <w:r w:rsidRPr="00BD04E4">
        <w:rPr>
          <w:rFonts w:cstheme="minorHAnsi"/>
          <w:b/>
          <w:bCs/>
          <w:sz w:val="24"/>
          <w:szCs w:val="24"/>
          <w:lang w:eastAsia="es-MX"/>
        </w:rPr>
        <w:t xml:space="preserve">Consideraciones de la </w:t>
      </w:r>
      <w:proofErr w:type="spellStart"/>
      <w:r w:rsidRPr="00BD04E4">
        <w:rPr>
          <w:rFonts w:cstheme="minorHAnsi"/>
          <w:b/>
          <w:bCs/>
          <w:sz w:val="24"/>
          <w:szCs w:val="24"/>
          <w:lang w:eastAsia="es-MX"/>
        </w:rPr>
        <w:t>CoIDH</w:t>
      </w:r>
      <w:proofErr w:type="spellEnd"/>
    </w:p>
    <w:p w14:paraId="3D837A28" w14:textId="77777777" w:rsidR="00991189" w:rsidRPr="00BD04E4" w:rsidRDefault="00991189" w:rsidP="00991189">
      <w:pPr>
        <w:spacing w:after="0" w:line="240" w:lineRule="auto"/>
        <w:jc w:val="both"/>
        <w:rPr>
          <w:rFonts w:cstheme="minorHAnsi"/>
          <w:b/>
          <w:bCs/>
          <w:sz w:val="24"/>
          <w:szCs w:val="24"/>
          <w:lang w:eastAsia="es-MX"/>
        </w:rPr>
      </w:pPr>
    </w:p>
    <w:p w14:paraId="77F21709" w14:textId="77777777" w:rsidR="00991189" w:rsidRPr="003044B3" w:rsidRDefault="00991189" w:rsidP="00991189">
      <w:pPr>
        <w:spacing w:after="0" w:line="240" w:lineRule="auto"/>
        <w:jc w:val="both"/>
        <w:rPr>
          <w:rFonts w:cstheme="minorHAnsi"/>
          <w:sz w:val="24"/>
          <w:szCs w:val="24"/>
          <w:lang w:eastAsia="es-MX"/>
        </w:rPr>
      </w:pPr>
      <w:r w:rsidRPr="00BD04E4">
        <w:rPr>
          <w:rFonts w:cstheme="minorHAnsi"/>
          <w:b/>
          <w:bCs/>
          <w:sz w:val="24"/>
          <w:szCs w:val="24"/>
          <w:lang w:eastAsia="es-MX"/>
        </w:rPr>
        <w:t>I. Violación de los artículos 4.1, 5.1, 5.2 y 5.5, 7.1, 7.2, 7.3, 7.4 y 7.5, y 19</w:t>
      </w:r>
      <w:r w:rsidRPr="003044B3">
        <w:rPr>
          <w:rFonts w:cstheme="minorHAnsi"/>
          <w:sz w:val="24"/>
          <w:szCs w:val="24"/>
          <w:lang w:eastAsia="es-MX"/>
        </w:rPr>
        <w:t>, de la Convención Americana, en relación con el artículo 1.1 de la misma (Derecho a la vida, a la integridad personal, a la libertad personal, derechos del niño y obligación de respetar los derechos)</w:t>
      </w:r>
    </w:p>
    <w:p w14:paraId="1D6AB18D" w14:textId="77777777" w:rsidR="00991189" w:rsidRPr="003044B3" w:rsidRDefault="00991189" w:rsidP="00991189">
      <w:pPr>
        <w:spacing w:after="0" w:line="240" w:lineRule="auto"/>
        <w:jc w:val="both"/>
        <w:rPr>
          <w:rFonts w:cstheme="minorHAnsi"/>
          <w:sz w:val="24"/>
          <w:szCs w:val="24"/>
          <w:lang w:eastAsia="es-MX"/>
        </w:rPr>
      </w:pPr>
    </w:p>
    <w:p w14:paraId="212A3CAD" w14:textId="77777777" w:rsidR="00991189" w:rsidRPr="003044B3" w:rsidRDefault="00991189" w:rsidP="00991189">
      <w:pPr>
        <w:spacing w:after="0" w:line="240" w:lineRule="auto"/>
        <w:jc w:val="both"/>
        <w:rPr>
          <w:rFonts w:cstheme="minorHAnsi"/>
          <w:sz w:val="24"/>
          <w:szCs w:val="24"/>
          <w:lang w:eastAsia="es-MX"/>
        </w:rPr>
      </w:pPr>
      <w:r w:rsidRPr="003044B3">
        <w:rPr>
          <w:rFonts w:cstheme="minorHAnsi"/>
          <w:sz w:val="24"/>
          <w:szCs w:val="24"/>
          <w:lang w:eastAsia="es-MX"/>
        </w:rPr>
        <w:t xml:space="preserve">80. La Corte concluyó que el Estado reconoció su responsabilidad internacional por la violación de los artículos 4.1, 5.1 y 5.2 y 7.1, 7.2, 7.3, 7.4 y 7.5 de la Convención Americana, en relación con el artículo 1.1 de dicho instrumento, en perjuicio de Marco Antonio Servellón García, Rony Alexis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Vásquez, Orlando Álvarez Ríos y Diomedes Obed García Sánchez, y los artículos 5.5 y 19 de la Convención, en perjuicio de Marco Antonio Servellón García y Rony Alexis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Vásquez. </w:t>
      </w:r>
    </w:p>
    <w:p w14:paraId="6C667324" w14:textId="77777777" w:rsidR="00991189" w:rsidRPr="003044B3" w:rsidRDefault="00991189" w:rsidP="00991189">
      <w:pPr>
        <w:spacing w:after="0" w:line="240" w:lineRule="auto"/>
        <w:jc w:val="both"/>
        <w:rPr>
          <w:rFonts w:cstheme="minorHAnsi"/>
          <w:sz w:val="24"/>
          <w:szCs w:val="24"/>
          <w:lang w:eastAsia="es-MX"/>
        </w:rPr>
      </w:pPr>
    </w:p>
    <w:p w14:paraId="315C120F" w14:textId="77777777" w:rsidR="00991189" w:rsidRPr="003044B3" w:rsidRDefault="00991189" w:rsidP="00991189">
      <w:pPr>
        <w:spacing w:after="0" w:line="240" w:lineRule="auto"/>
        <w:jc w:val="both"/>
        <w:rPr>
          <w:rFonts w:cstheme="minorHAnsi"/>
          <w:sz w:val="24"/>
          <w:szCs w:val="24"/>
          <w:lang w:eastAsia="es-MX"/>
        </w:rPr>
      </w:pPr>
      <w:r w:rsidRPr="003044B3">
        <w:rPr>
          <w:rFonts w:cstheme="minorHAnsi"/>
          <w:sz w:val="24"/>
          <w:szCs w:val="24"/>
          <w:lang w:eastAsia="es-MX"/>
        </w:rPr>
        <w:t>86. La Convención ha consagrado como principal garantía de la libertad y la seguridad individual la prohibición de la detención o encarcelamiento ilegal o arbitrario. La Corte ha manifestado que el Estado, en relación con la detención ilegal, “si bien tiene el derecho y la obligación de garantizar su seguridad y mantener el orden público, su poder no es ilimitado, pues tiene el deber, en todo momento, de aplicar procedimientos conformes a Derecho y respetuosos de los derechos fundamentales, a todo individuo que se encuentre bajo su jurisdicción.</w:t>
      </w:r>
    </w:p>
    <w:p w14:paraId="342D852B" w14:textId="77777777" w:rsidR="00991189" w:rsidRPr="003044B3" w:rsidRDefault="00991189" w:rsidP="00991189">
      <w:pPr>
        <w:spacing w:after="0" w:line="240" w:lineRule="auto"/>
        <w:jc w:val="both"/>
        <w:rPr>
          <w:rFonts w:cstheme="minorHAnsi"/>
          <w:sz w:val="24"/>
          <w:szCs w:val="24"/>
          <w:lang w:eastAsia="es-MX"/>
        </w:rPr>
      </w:pPr>
    </w:p>
    <w:p w14:paraId="515A938B" w14:textId="77777777" w:rsidR="00991189" w:rsidRPr="003044B3" w:rsidRDefault="00991189" w:rsidP="00991189">
      <w:pPr>
        <w:spacing w:after="0" w:line="240" w:lineRule="auto"/>
        <w:jc w:val="both"/>
        <w:rPr>
          <w:rFonts w:cstheme="minorHAnsi"/>
          <w:sz w:val="24"/>
          <w:szCs w:val="24"/>
          <w:lang w:eastAsia="es-MX"/>
        </w:rPr>
      </w:pPr>
      <w:r w:rsidRPr="003044B3">
        <w:rPr>
          <w:rFonts w:cstheme="minorHAnsi"/>
          <w:sz w:val="24"/>
          <w:szCs w:val="24"/>
          <w:lang w:eastAsia="es-MX"/>
        </w:rPr>
        <w:t xml:space="preserve">87. Con la finalidad de mantener la seguridad y el orden públicos, el Estado legisla y adopta diversas medidas de distinta naturaleza para prevenir y regular las conductas de sus ciudadanos, una de las cuales es promover la presencia de fuerzas policiales en el espacio </w:t>
      </w:r>
      <w:r w:rsidRPr="003044B3">
        <w:rPr>
          <w:rFonts w:cstheme="minorHAnsi"/>
          <w:sz w:val="24"/>
          <w:szCs w:val="24"/>
          <w:lang w:eastAsia="es-MX"/>
        </w:rPr>
        <w:lastRenderedPageBreak/>
        <w:t>público. No obstante, la Corte observa que un incorrecto actuar de esos agentes estatales en su interacción con las personas a quienes deben proteger, representa una de las principales amenazas al derecho a libertad personal, el cual, cuando es vulnerado, genera un riesgo de que se produzca la vulneración de otros derechos, como la integridad personal y, en algunos casos, la vida.</w:t>
      </w:r>
    </w:p>
    <w:p w14:paraId="1ADB1BEE" w14:textId="77777777" w:rsidR="00991189" w:rsidRPr="003044B3" w:rsidRDefault="00991189" w:rsidP="00991189">
      <w:pPr>
        <w:spacing w:after="0" w:line="240" w:lineRule="auto"/>
        <w:jc w:val="both"/>
        <w:rPr>
          <w:rFonts w:cstheme="minorHAnsi"/>
          <w:sz w:val="24"/>
          <w:szCs w:val="24"/>
          <w:lang w:eastAsia="es-MX"/>
        </w:rPr>
      </w:pPr>
    </w:p>
    <w:p w14:paraId="62CB4A88" w14:textId="77777777" w:rsidR="00991189" w:rsidRPr="003044B3" w:rsidRDefault="00991189" w:rsidP="00991189">
      <w:pPr>
        <w:spacing w:after="0" w:line="240" w:lineRule="auto"/>
        <w:jc w:val="both"/>
        <w:rPr>
          <w:rFonts w:cstheme="minorHAnsi"/>
          <w:sz w:val="24"/>
          <w:szCs w:val="24"/>
          <w:lang w:eastAsia="es-MX"/>
        </w:rPr>
      </w:pPr>
      <w:r w:rsidRPr="003044B3">
        <w:rPr>
          <w:rFonts w:cstheme="minorHAnsi"/>
          <w:sz w:val="24"/>
          <w:szCs w:val="24"/>
          <w:lang w:eastAsia="es-MX"/>
        </w:rPr>
        <w:t>88. El artículo 7 de la Convención consagra garantías que representan límites al ejercicio de la autoridad por parte de agentes del Estado. Esos límites se aplican a los instrumentos de control estatales, uno de los cuales es la detención. Dicha medida estará en concordancia con las garantías consagradas en la Convención siempre y cuando su aplicación tenga un carácter excepcional, respete el principio a la presunción de inocencia y los principios de legalidad, necesidad y proporcionalidad, indispensables en una sociedad democrática.</w:t>
      </w:r>
    </w:p>
    <w:p w14:paraId="2BF731C7" w14:textId="77777777" w:rsidR="00991189" w:rsidRPr="003044B3" w:rsidRDefault="00991189" w:rsidP="00991189">
      <w:pPr>
        <w:spacing w:after="0" w:line="240" w:lineRule="auto"/>
        <w:jc w:val="both"/>
        <w:rPr>
          <w:rFonts w:cstheme="minorHAnsi"/>
          <w:sz w:val="24"/>
          <w:szCs w:val="24"/>
          <w:lang w:eastAsia="es-MX"/>
        </w:rPr>
      </w:pPr>
    </w:p>
    <w:p w14:paraId="453D6820" w14:textId="77777777" w:rsidR="00991189" w:rsidRPr="003044B3" w:rsidRDefault="00991189" w:rsidP="00991189">
      <w:pPr>
        <w:spacing w:after="0" w:line="240" w:lineRule="auto"/>
        <w:jc w:val="both"/>
        <w:rPr>
          <w:rFonts w:cstheme="minorHAnsi"/>
          <w:sz w:val="24"/>
          <w:szCs w:val="24"/>
          <w:lang w:eastAsia="es-MX"/>
        </w:rPr>
      </w:pPr>
      <w:r w:rsidRPr="003044B3">
        <w:rPr>
          <w:rFonts w:cstheme="minorHAnsi"/>
          <w:sz w:val="24"/>
          <w:szCs w:val="24"/>
          <w:lang w:eastAsia="es-MX"/>
        </w:rPr>
        <w:t>89. La restricción del derecho a la libertad personal, debe darse únicamente por las causas y en las condiciones fijadas de antemano por las Constituciones Políticas o por las leyes dictadas conforme a ellas (aspecto material), además, con estricta sujeción a los procedimientos objetivamente definidos en la misma (aspecto formal). A su vez, la legislación que establece las causales de restricción de la libertad personal debe ser dictada de conformidad con los principios que rigen la Convención, y ser conducente a la efectiva observancia de las garantías en ella previstas.</w:t>
      </w:r>
    </w:p>
    <w:p w14:paraId="5FD05C61" w14:textId="77777777" w:rsidR="00991189" w:rsidRPr="003044B3" w:rsidRDefault="00991189" w:rsidP="00991189">
      <w:pPr>
        <w:spacing w:after="0" w:line="240" w:lineRule="auto"/>
        <w:jc w:val="both"/>
        <w:rPr>
          <w:rFonts w:cstheme="minorHAnsi"/>
          <w:sz w:val="24"/>
          <w:szCs w:val="24"/>
          <w:lang w:eastAsia="es-MX"/>
        </w:rPr>
      </w:pPr>
    </w:p>
    <w:p w14:paraId="5774DD63" w14:textId="77777777" w:rsidR="00991189" w:rsidRPr="003044B3" w:rsidRDefault="00991189" w:rsidP="00991189">
      <w:pPr>
        <w:spacing w:after="0" w:line="240" w:lineRule="auto"/>
        <w:jc w:val="both"/>
        <w:rPr>
          <w:rFonts w:cstheme="minorHAnsi"/>
          <w:sz w:val="24"/>
          <w:szCs w:val="24"/>
          <w:lang w:eastAsia="es-MX"/>
        </w:rPr>
      </w:pPr>
      <w:r w:rsidRPr="003044B3">
        <w:rPr>
          <w:rFonts w:cstheme="minorHAnsi"/>
          <w:sz w:val="24"/>
          <w:szCs w:val="24"/>
          <w:lang w:eastAsia="es-MX"/>
        </w:rPr>
        <w:t xml:space="preserve">90. La Convención prohíbe la detención o encarcelamiento por métodos que pueden ser legales, pero que en la práctica resultan irrazonables, o carentes de proporcionalidad. La Corte ha establecido que para que se cumplan los requisitos necesarios para restringir el derecho a la libertad personal, deben existir indicios suficientes que permitan suponer razonablemente la culpabilidad de la persona sometida a un proceso y que la detención sea estrictamente necesaria para asegurar que el acusado no impedirá el desarrollo eficiente de las investigaciones ni eludirá la acción de la justicia. Al ordenarse medidas restrictivas de la libertad es preciso que el Estado fundamente y acredite la existencia, en el caso concreto, de esos requisitos exigidos por la Convención. </w:t>
      </w:r>
    </w:p>
    <w:p w14:paraId="395E0B3D" w14:textId="77777777" w:rsidR="00991189" w:rsidRPr="003044B3" w:rsidRDefault="00991189" w:rsidP="00991189">
      <w:pPr>
        <w:spacing w:after="0" w:line="240" w:lineRule="auto"/>
        <w:jc w:val="both"/>
        <w:rPr>
          <w:rFonts w:cstheme="minorHAnsi"/>
          <w:sz w:val="24"/>
          <w:szCs w:val="24"/>
          <w:lang w:eastAsia="es-MX"/>
        </w:rPr>
      </w:pPr>
    </w:p>
    <w:p w14:paraId="67E1E8B1" w14:textId="77777777" w:rsidR="00991189" w:rsidRPr="003044B3" w:rsidRDefault="00991189" w:rsidP="00991189">
      <w:pPr>
        <w:spacing w:after="0" w:line="240" w:lineRule="auto"/>
        <w:jc w:val="both"/>
        <w:rPr>
          <w:rFonts w:cstheme="minorHAnsi"/>
          <w:sz w:val="24"/>
          <w:szCs w:val="24"/>
          <w:lang w:eastAsia="es-MX"/>
        </w:rPr>
      </w:pPr>
      <w:r w:rsidRPr="003044B3">
        <w:rPr>
          <w:rFonts w:cstheme="minorHAnsi"/>
          <w:sz w:val="24"/>
          <w:szCs w:val="24"/>
          <w:lang w:eastAsia="es-MX"/>
        </w:rPr>
        <w:t>91. La detención de las víctimas constituyó una detención colectiva y programada, en la que aproximadamente 128 personas fueron detenidas, sin orden de detención y sin haber sido aprehendidas en flagrante delito, y que fue realizada con la declarada finalidad de evitar disturbios durante los desfiles que se realizarían para celebrar el Día de la Independencia Nacional.</w:t>
      </w:r>
    </w:p>
    <w:p w14:paraId="60A8BDB8" w14:textId="77777777" w:rsidR="00991189" w:rsidRPr="003044B3" w:rsidRDefault="00991189" w:rsidP="00991189">
      <w:pPr>
        <w:spacing w:after="0" w:line="240" w:lineRule="auto"/>
        <w:jc w:val="both"/>
        <w:rPr>
          <w:rFonts w:cstheme="minorHAnsi"/>
          <w:sz w:val="24"/>
          <w:szCs w:val="24"/>
          <w:lang w:eastAsia="es-MX"/>
        </w:rPr>
      </w:pPr>
    </w:p>
    <w:p w14:paraId="44831981" w14:textId="77777777" w:rsidR="00991189" w:rsidRPr="003044B3" w:rsidRDefault="00991189" w:rsidP="00991189">
      <w:pPr>
        <w:spacing w:after="0" w:line="240" w:lineRule="auto"/>
        <w:jc w:val="both"/>
        <w:rPr>
          <w:rFonts w:cstheme="minorHAnsi"/>
          <w:sz w:val="24"/>
          <w:szCs w:val="24"/>
          <w:lang w:eastAsia="es-MX"/>
        </w:rPr>
      </w:pPr>
      <w:r w:rsidRPr="003044B3">
        <w:rPr>
          <w:rFonts w:cstheme="minorHAnsi"/>
          <w:sz w:val="24"/>
          <w:szCs w:val="24"/>
          <w:lang w:eastAsia="es-MX"/>
        </w:rPr>
        <w:t>92. La detención colectiva puede representar un mecanismo para garantizar la seguridad ciudadana cuando el Estado cuenta con elementos para acreditar que la actuación de cada una de las personas afectadas se encuadra en alguna de las causas de detención previstas por sus normas internas en concordancia con la Convención. Es decir, que existan elementos para individualizar y separar las conductas de cada uno de los detenidos y que, a la vez, exista el control de la autoridad judicial.</w:t>
      </w:r>
    </w:p>
    <w:p w14:paraId="747645A6" w14:textId="77777777" w:rsidR="00991189" w:rsidRPr="003044B3" w:rsidRDefault="00991189" w:rsidP="00991189">
      <w:pPr>
        <w:spacing w:after="0" w:line="240" w:lineRule="auto"/>
        <w:jc w:val="both"/>
        <w:rPr>
          <w:rFonts w:cstheme="minorHAnsi"/>
          <w:sz w:val="24"/>
          <w:szCs w:val="24"/>
          <w:lang w:eastAsia="es-MX"/>
        </w:rPr>
      </w:pPr>
    </w:p>
    <w:p w14:paraId="785ADEB2" w14:textId="77777777" w:rsidR="00991189" w:rsidRPr="003044B3" w:rsidRDefault="00991189" w:rsidP="00991189">
      <w:pPr>
        <w:spacing w:after="0" w:line="240" w:lineRule="auto"/>
        <w:jc w:val="both"/>
        <w:rPr>
          <w:rFonts w:cstheme="minorHAnsi"/>
          <w:sz w:val="24"/>
          <w:szCs w:val="24"/>
          <w:lang w:eastAsia="es-MX"/>
        </w:rPr>
      </w:pPr>
      <w:r w:rsidRPr="003044B3">
        <w:rPr>
          <w:rFonts w:cstheme="minorHAnsi"/>
          <w:sz w:val="24"/>
          <w:szCs w:val="24"/>
          <w:lang w:eastAsia="es-MX"/>
        </w:rPr>
        <w:lastRenderedPageBreak/>
        <w:t xml:space="preserve">93. Por ello, una detención masiva y programada de personas sin causa legal, en la que el Estado detiene masivamente a personas que la autoridad supone que podrían representar un riesgo o peligro a la seguridad de los demás, sin indicios fundados de la comisión de un delito, constituye una detención ilegal y arbitraria. </w:t>
      </w:r>
    </w:p>
    <w:p w14:paraId="511E5A5C" w14:textId="77777777" w:rsidR="00991189" w:rsidRPr="003044B3" w:rsidRDefault="00991189" w:rsidP="00991189">
      <w:pPr>
        <w:spacing w:after="0" w:line="240" w:lineRule="auto"/>
        <w:jc w:val="both"/>
        <w:rPr>
          <w:rFonts w:cstheme="minorHAnsi"/>
          <w:sz w:val="24"/>
          <w:szCs w:val="24"/>
          <w:lang w:eastAsia="es-MX"/>
        </w:rPr>
      </w:pPr>
    </w:p>
    <w:p w14:paraId="147D5377" w14:textId="77777777" w:rsidR="00991189" w:rsidRPr="003044B3" w:rsidRDefault="00991189" w:rsidP="00991189">
      <w:pPr>
        <w:spacing w:after="0" w:line="240" w:lineRule="auto"/>
        <w:jc w:val="both"/>
        <w:rPr>
          <w:rFonts w:cstheme="minorHAnsi"/>
          <w:sz w:val="24"/>
          <w:szCs w:val="24"/>
          <w:lang w:eastAsia="es-MX"/>
        </w:rPr>
      </w:pPr>
      <w:r w:rsidRPr="003044B3">
        <w:rPr>
          <w:rFonts w:cstheme="minorHAnsi"/>
          <w:sz w:val="24"/>
          <w:szCs w:val="24"/>
          <w:lang w:eastAsia="es-MX"/>
        </w:rPr>
        <w:t xml:space="preserve">94. Este Tribunal consideró que el principio de igualdad ante la ley y no discriminación pertenece al </w:t>
      </w:r>
      <w:proofErr w:type="spellStart"/>
      <w:r w:rsidRPr="003044B3">
        <w:rPr>
          <w:rFonts w:cstheme="minorHAnsi"/>
          <w:sz w:val="24"/>
          <w:szCs w:val="24"/>
          <w:lang w:eastAsia="es-MX"/>
        </w:rPr>
        <w:t>jus</w:t>
      </w:r>
      <w:proofErr w:type="spellEnd"/>
      <w:r w:rsidRPr="003044B3">
        <w:rPr>
          <w:rFonts w:cstheme="minorHAnsi"/>
          <w:sz w:val="24"/>
          <w:szCs w:val="24"/>
          <w:lang w:eastAsia="es-MX"/>
        </w:rPr>
        <w:t xml:space="preserve"> cogens el cual, revestido de carácter imperativo, acarrea obligaciones erga omnes de protección que vinculan a todos los Estados y generan efectos con respecto a terceros, inclusive particulares. </w:t>
      </w:r>
    </w:p>
    <w:p w14:paraId="26F7C01E" w14:textId="77777777" w:rsidR="00991189" w:rsidRPr="003044B3" w:rsidRDefault="00991189" w:rsidP="00991189">
      <w:pPr>
        <w:spacing w:after="0" w:line="240" w:lineRule="auto"/>
        <w:jc w:val="both"/>
        <w:rPr>
          <w:rFonts w:cstheme="minorHAnsi"/>
          <w:sz w:val="24"/>
          <w:szCs w:val="24"/>
          <w:lang w:eastAsia="es-MX"/>
        </w:rPr>
      </w:pPr>
    </w:p>
    <w:p w14:paraId="0992081B" w14:textId="77777777" w:rsidR="00991189" w:rsidRPr="003044B3" w:rsidRDefault="00991189" w:rsidP="00991189">
      <w:pPr>
        <w:spacing w:after="0" w:line="240" w:lineRule="auto"/>
        <w:jc w:val="both"/>
        <w:rPr>
          <w:rFonts w:cstheme="minorHAnsi"/>
          <w:sz w:val="24"/>
          <w:szCs w:val="24"/>
          <w:lang w:eastAsia="es-MX"/>
        </w:rPr>
      </w:pPr>
      <w:r w:rsidRPr="003044B3">
        <w:rPr>
          <w:rFonts w:cstheme="minorHAnsi"/>
          <w:sz w:val="24"/>
          <w:szCs w:val="24"/>
          <w:lang w:eastAsia="es-MX"/>
        </w:rPr>
        <w:t>96. Las detenciones programadas y colectivas, las que no se encuentran fundadas en la individualización de conductas punibles y que carecen del control judicial, son contrarias a la presunción de inocencia, coartan indebidamente la libertad personal y transforman la detención preventiva en un mecanismo discriminatorio, por lo que el Estado no puede realizarlas, en circunstancia alguna. (…)</w:t>
      </w:r>
    </w:p>
    <w:p w14:paraId="424DB90B" w14:textId="77777777" w:rsidR="00991189" w:rsidRPr="003044B3" w:rsidRDefault="00991189" w:rsidP="00991189">
      <w:pPr>
        <w:spacing w:after="0" w:line="240" w:lineRule="auto"/>
        <w:jc w:val="both"/>
        <w:rPr>
          <w:rFonts w:cstheme="minorHAnsi"/>
          <w:sz w:val="24"/>
          <w:szCs w:val="24"/>
          <w:lang w:eastAsia="es-MX"/>
        </w:rPr>
      </w:pPr>
    </w:p>
    <w:p w14:paraId="3AC0AE8B" w14:textId="77777777" w:rsidR="00991189" w:rsidRPr="003044B3" w:rsidRDefault="00991189" w:rsidP="00991189">
      <w:pPr>
        <w:spacing w:after="0" w:line="240" w:lineRule="auto"/>
        <w:jc w:val="both"/>
        <w:rPr>
          <w:rFonts w:cstheme="minorHAnsi"/>
          <w:sz w:val="24"/>
          <w:szCs w:val="24"/>
          <w:lang w:eastAsia="es-MX"/>
        </w:rPr>
      </w:pPr>
      <w:r w:rsidRPr="003044B3">
        <w:rPr>
          <w:rFonts w:cstheme="minorHAnsi"/>
          <w:sz w:val="24"/>
          <w:szCs w:val="24"/>
          <w:lang w:eastAsia="es-MX"/>
        </w:rPr>
        <w:t xml:space="preserve">99. Las víctimas fueron detenidas colectivamente, de forma ilegal y arbitraria, sometidas a tortura y tratos crueles, inhumanos o degradantes durante su detención. Fueron golpeadas con pistolas en la cabeza y con sillas, acusadas de “ladrón” y estuvieron aisladas y amarradas durante su detención. Mientras se encontraban bajo la custodia estatal, y cumpliendo las amenazas que les hicieron los agentes estatales, fueron asesinados con armas de fuego y armas blancas. El ensañamiento con que se ejecutó a las víctimas, privándoles de la vida en forma humillante, las marcas de tortura física presentes en los cuatro cadáveres, y la forma como sus cuerpos fueron abandonados a la intemperie, constituyeron graves atentados al derecho a la vida, a la integridad y libertad personales. </w:t>
      </w:r>
    </w:p>
    <w:p w14:paraId="0CF4D248" w14:textId="77777777" w:rsidR="00991189" w:rsidRPr="003044B3" w:rsidRDefault="00991189" w:rsidP="00991189">
      <w:pPr>
        <w:spacing w:after="0" w:line="240" w:lineRule="auto"/>
        <w:jc w:val="both"/>
        <w:rPr>
          <w:rFonts w:cstheme="minorHAnsi"/>
          <w:sz w:val="24"/>
          <w:szCs w:val="24"/>
          <w:lang w:eastAsia="es-MX"/>
        </w:rPr>
      </w:pPr>
    </w:p>
    <w:p w14:paraId="2733C815" w14:textId="77777777" w:rsidR="00991189" w:rsidRPr="003044B3" w:rsidRDefault="00991189" w:rsidP="00991189">
      <w:pPr>
        <w:spacing w:after="0" w:line="240" w:lineRule="auto"/>
        <w:jc w:val="both"/>
        <w:rPr>
          <w:rFonts w:cstheme="minorHAnsi"/>
          <w:sz w:val="24"/>
          <w:szCs w:val="24"/>
          <w:lang w:eastAsia="es-MX"/>
        </w:rPr>
      </w:pPr>
      <w:r w:rsidRPr="003044B3">
        <w:rPr>
          <w:rFonts w:cstheme="minorHAnsi"/>
          <w:sz w:val="24"/>
          <w:szCs w:val="24"/>
          <w:lang w:eastAsia="es-MX"/>
        </w:rPr>
        <w:t xml:space="preserve">102. Es ilícita toda forma de ejercicio del poder público que viole los derechos reconocidos por la Convención. La Corte ha señalado que los Estados responden por los actos de sus agentes, realizados al amparo de su carácter oficial, y por las omisiones de </w:t>
      </w:r>
      <w:proofErr w:type="gramStart"/>
      <w:r w:rsidRPr="003044B3">
        <w:rPr>
          <w:rFonts w:cstheme="minorHAnsi"/>
          <w:sz w:val="24"/>
          <w:szCs w:val="24"/>
          <w:lang w:eastAsia="es-MX"/>
        </w:rPr>
        <w:t>los mismos</w:t>
      </w:r>
      <w:proofErr w:type="gramEnd"/>
      <w:r w:rsidRPr="003044B3">
        <w:rPr>
          <w:rFonts w:cstheme="minorHAnsi"/>
          <w:sz w:val="24"/>
          <w:szCs w:val="24"/>
          <w:lang w:eastAsia="es-MX"/>
        </w:rPr>
        <w:t>, aún si actúan fuera de los límites de su competencia o en violación del derecho interno. De manera especial, los Estados deben vigilar que sus cuerpos de seguridad, a quienes les está atribuido el uso de la fuerza legítima, respeten el derecho a la vida de quienes se encuentren bajo su jurisdicción.</w:t>
      </w:r>
    </w:p>
    <w:p w14:paraId="088FA2C0" w14:textId="77777777" w:rsidR="00991189" w:rsidRPr="003044B3" w:rsidRDefault="00991189" w:rsidP="00991189">
      <w:pPr>
        <w:spacing w:after="0" w:line="240" w:lineRule="auto"/>
        <w:jc w:val="both"/>
        <w:rPr>
          <w:rFonts w:cstheme="minorHAnsi"/>
          <w:sz w:val="24"/>
          <w:szCs w:val="24"/>
          <w:lang w:eastAsia="es-MX"/>
        </w:rPr>
      </w:pPr>
    </w:p>
    <w:p w14:paraId="0963606B" w14:textId="77777777" w:rsidR="00991189" w:rsidRPr="003044B3" w:rsidRDefault="00991189" w:rsidP="00991189">
      <w:pPr>
        <w:spacing w:after="0" w:line="240" w:lineRule="auto"/>
        <w:jc w:val="both"/>
        <w:rPr>
          <w:rFonts w:cstheme="minorHAnsi"/>
          <w:sz w:val="24"/>
          <w:szCs w:val="24"/>
          <w:lang w:eastAsia="es-MX"/>
        </w:rPr>
      </w:pPr>
      <w:r w:rsidRPr="003044B3">
        <w:rPr>
          <w:rFonts w:cstheme="minorHAnsi"/>
          <w:sz w:val="24"/>
          <w:szCs w:val="24"/>
          <w:lang w:eastAsia="es-MX"/>
        </w:rPr>
        <w:t xml:space="preserve">103. En el presente caso agentes de la fuerza pública, haciendo uso ilegal de su autoridad, detuvieron a las víctimas y las ejecutaron. Al respecto, la Corte ha reiterado que, en relación con el derecho a la vida, los Estados tienen la obligación de garantizar la creación de las condiciones que se requieran para que no se produzcan violaciones de ese derecho inalienable, y que es particularmente grave su vulneración cuando ésta es producida por agentes estatales, hecho reconocido por el Estado en su allanamiento. </w:t>
      </w:r>
    </w:p>
    <w:p w14:paraId="447692FB" w14:textId="77777777" w:rsidR="00991189" w:rsidRPr="003044B3" w:rsidRDefault="00991189" w:rsidP="00991189">
      <w:pPr>
        <w:spacing w:after="0" w:line="240" w:lineRule="auto"/>
        <w:jc w:val="both"/>
        <w:rPr>
          <w:rFonts w:cstheme="minorHAnsi"/>
          <w:sz w:val="24"/>
          <w:szCs w:val="24"/>
          <w:lang w:eastAsia="es-MX"/>
        </w:rPr>
      </w:pPr>
    </w:p>
    <w:p w14:paraId="13F1842C" w14:textId="77777777" w:rsidR="00991189" w:rsidRPr="003044B3" w:rsidRDefault="00991189" w:rsidP="00991189">
      <w:pPr>
        <w:spacing w:after="0" w:line="240" w:lineRule="auto"/>
        <w:jc w:val="both"/>
        <w:rPr>
          <w:rFonts w:cstheme="minorHAnsi"/>
          <w:sz w:val="24"/>
          <w:szCs w:val="24"/>
          <w:lang w:eastAsia="es-MX"/>
        </w:rPr>
      </w:pPr>
      <w:r w:rsidRPr="003044B3">
        <w:rPr>
          <w:rFonts w:cstheme="minorHAnsi"/>
          <w:sz w:val="24"/>
          <w:szCs w:val="24"/>
          <w:lang w:eastAsia="es-MX"/>
        </w:rPr>
        <w:t xml:space="preserve">108. La obligación positiva derivada del deber de respeto y garantía, de crear las condiciones que se requieran para que no se produzcan violaciones a los derechos humanos, en circunstancias como la del presente caso, en que ha existido un contexto de violencia </w:t>
      </w:r>
      <w:r w:rsidRPr="003044B3">
        <w:rPr>
          <w:rFonts w:cstheme="minorHAnsi"/>
          <w:sz w:val="24"/>
          <w:szCs w:val="24"/>
          <w:lang w:eastAsia="es-MX"/>
        </w:rPr>
        <w:lastRenderedPageBreak/>
        <w:t xml:space="preserve">caracterizado por ejecuciones extrajudiciales e impunidad, se convierte en el deber, a cargo del Estado, de hacer cesar las condiciones que permiten la ocurrencia reiterada de las privaciones arbitrarias a la vida y de su falta de investigación. </w:t>
      </w:r>
    </w:p>
    <w:p w14:paraId="33684F6C" w14:textId="77777777" w:rsidR="00991189" w:rsidRPr="003044B3" w:rsidRDefault="00991189" w:rsidP="00991189">
      <w:pPr>
        <w:spacing w:after="0" w:line="240" w:lineRule="auto"/>
        <w:jc w:val="both"/>
        <w:rPr>
          <w:rFonts w:cstheme="minorHAnsi"/>
          <w:sz w:val="24"/>
          <w:szCs w:val="24"/>
          <w:lang w:eastAsia="es-MX"/>
        </w:rPr>
      </w:pPr>
    </w:p>
    <w:p w14:paraId="43BBA7FE" w14:textId="77777777" w:rsidR="00991189" w:rsidRPr="003044B3" w:rsidRDefault="00991189" w:rsidP="00991189">
      <w:pPr>
        <w:spacing w:after="0" w:line="240" w:lineRule="auto"/>
        <w:jc w:val="both"/>
        <w:rPr>
          <w:rFonts w:cstheme="minorHAnsi"/>
          <w:sz w:val="24"/>
          <w:szCs w:val="24"/>
          <w:lang w:eastAsia="es-MX"/>
        </w:rPr>
      </w:pPr>
      <w:r w:rsidRPr="003044B3">
        <w:rPr>
          <w:rFonts w:cstheme="minorHAnsi"/>
          <w:sz w:val="24"/>
          <w:szCs w:val="24"/>
          <w:lang w:eastAsia="es-MX"/>
        </w:rPr>
        <w:t xml:space="preserve">109. Está demostrado que el Estado no adoptó las medidas necesarias para cambiar el contexto de violencia en contra de los niños y jóvenes en el marco del cual fueron ejecutados Marco Antonio Servellón García, Rony Alexis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Vásquez, Orlando Álvarez Ríos y Diomedes Obed García Sánchez. Esto agrava la responsabilidad internacional del Estado.</w:t>
      </w:r>
    </w:p>
    <w:p w14:paraId="1128993D" w14:textId="77777777" w:rsidR="00991189" w:rsidRPr="003044B3" w:rsidRDefault="00991189" w:rsidP="00991189">
      <w:pPr>
        <w:spacing w:after="0" w:line="240" w:lineRule="auto"/>
        <w:jc w:val="both"/>
        <w:rPr>
          <w:rFonts w:cstheme="minorHAnsi"/>
          <w:sz w:val="24"/>
          <w:szCs w:val="24"/>
          <w:lang w:eastAsia="es-MX"/>
        </w:rPr>
      </w:pPr>
    </w:p>
    <w:p w14:paraId="5D8B6418" w14:textId="77777777" w:rsidR="00991189" w:rsidRPr="003044B3" w:rsidRDefault="00991189" w:rsidP="00991189">
      <w:pPr>
        <w:spacing w:after="0" w:line="240" w:lineRule="auto"/>
        <w:jc w:val="both"/>
        <w:rPr>
          <w:rFonts w:cstheme="minorHAnsi"/>
          <w:sz w:val="24"/>
          <w:szCs w:val="24"/>
          <w:lang w:eastAsia="es-MX"/>
        </w:rPr>
      </w:pPr>
      <w:r w:rsidRPr="003044B3">
        <w:rPr>
          <w:rFonts w:cstheme="minorHAnsi"/>
          <w:sz w:val="24"/>
          <w:szCs w:val="24"/>
          <w:lang w:eastAsia="es-MX"/>
        </w:rPr>
        <w:t xml:space="preserve">112. La Corte advirtió, en atención al principio de igualdad ante la ley y no discriminación, el Estado no puede permitir por parte de sus agentes, ni fomentar en la sociedad prácticas que reproduzcan el estigma de que niños y jóvenes pobres están condicionados a la delincuencia, o necesariamente vinculados al aumento de la inseguridad ciudadana. Esa estigmatización crea un clima propicio para que aquellos menores en situación de riesgo se encuentren ante una amenaza latente a que su vida y libertad sean ilegalmente restringidas. </w:t>
      </w:r>
    </w:p>
    <w:p w14:paraId="478BC9A1" w14:textId="77777777" w:rsidR="00991189" w:rsidRPr="003044B3" w:rsidRDefault="00991189" w:rsidP="00991189">
      <w:pPr>
        <w:spacing w:after="0" w:line="240" w:lineRule="auto"/>
        <w:jc w:val="both"/>
        <w:rPr>
          <w:rFonts w:cstheme="minorHAnsi"/>
          <w:sz w:val="24"/>
          <w:szCs w:val="24"/>
          <w:lang w:eastAsia="es-MX"/>
        </w:rPr>
      </w:pPr>
    </w:p>
    <w:p w14:paraId="58C30851" w14:textId="77777777" w:rsidR="00991189" w:rsidRPr="003044B3" w:rsidRDefault="00991189" w:rsidP="00991189">
      <w:pPr>
        <w:spacing w:after="0" w:line="240" w:lineRule="auto"/>
        <w:jc w:val="both"/>
        <w:rPr>
          <w:rFonts w:cstheme="minorHAnsi"/>
          <w:sz w:val="24"/>
          <w:szCs w:val="24"/>
          <w:lang w:eastAsia="es-MX"/>
        </w:rPr>
      </w:pPr>
      <w:r w:rsidRPr="003044B3">
        <w:rPr>
          <w:rFonts w:cstheme="minorHAnsi"/>
          <w:sz w:val="24"/>
          <w:szCs w:val="24"/>
          <w:lang w:eastAsia="es-MX"/>
        </w:rPr>
        <w:t xml:space="preserve">113. (…) El Tribunal entiende que la debida protección de los derechos de los </w:t>
      </w:r>
      <w:proofErr w:type="gramStart"/>
      <w:r w:rsidRPr="003044B3">
        <w:rPr>
          <w:rFonts w:cstheme="minorHAnsi"/>
          <w:sz w:val="24"/>
          <w:szCs w:val="24"/>
          <w:lang w:eastAsia="es-MX"/>
        </w:rPr>
        <w:t>niños,</w:t>
      </w:r>
      <w:proofErr w:type="gramEnd"/>
      <w:r w:rsidRPr="003044B3">
        <w:rPr>
          <w:rFonts w:cstheme="minorHAnsi"/>
          <w:sz w:val="24"/>
          <w:szCs w:val="24"/>
          <w:lang w:eastAsia="es-MX"/>
        </w:rPr>
        <w:t xml:space="preserve"> debe tomar en consideración sus características propias y la necesidad de propiciar su desarrollo, y debe ofrecerles las condiciones necesarias para que el niño viva y desarrolle sus aptitudes con pleno aprovechamiento de sus potencialidades. Asimismo, la Corte indicó que el artículo 19 de la Convención debe entenderse como un derecho complementario que el tratado establece para seres humanos que por su desarrollo físico y emocional necesitan medidas de protección especial.</w:t>
      </w:r>
    </w:p>
    <w:p w14:paraId="4D22FBAB" w14:textId="77777777" w:rsidR="00991189" w:rsidRPr="003044B3" w:rsidRDefault="00991189" w:rsidP="00991189">
      <w:pPr>
        <w:spacing w:after="0" w:line="240" w:lineRule="auto"/>
        <w:jc w:val="both"/>
        <w:rPr>
          <w:rFonts w:cstheme="minorHAnsi"/>
          <w:sz w:val="24"/>
          <w:szCs w:val="24"/>
          <w:lang w:eastAsia="es-MX"/>
        </w:rPr>
      </w:pPr>
    </w:p>
    <w:p w14:paraId="521DACB5" w14:textId="77777777" w:rsidR="00991189" w:rsidRPr="003044B3" w:rsidRDefault="00991189" w:rsidP="00991189">
      <w:pPr>
        <w:spacing w:after="0" w:line="240" w:lineRule="auto"/>
        <w:jc w:val="both"/>
        <w:rPr>
          <w:rFonts w:cstheme="minorHAnsi"/>
          <w:sz w:val="24"/>
          <w:szCs w:val="24"/>
          <w:lang w:eastAsia="es-MX"/>
        </w:rPr>
      </w:pPr>
      <w:r w:rsidRPr="003044B3">
        <w:rPr>
          <w:rFonts w:cstheme="minorHAnsi"/>
          <w:sz w:val="24"/>
          <w:szCs w:val="24"/>
          <w:lang w:eastAsia="es-MX"/>
        </w:rPr>
        <w:t xml:space="preserve">114. (…) Dentro de las medidas de protección a que alude el artículo 19 de la Convención, se debe incluir la asistencia especial a los niños privados de su medio familiar, la garantía de la supervivencia y el desarrollo del niño, el derecho a un nivel de vida adecuado y la reinserción social de todo niño víctima de abandono o explotación. </w:t>
      </w:r>
    </w:p>
    <w:p w14:paraId="57777092" w14:textId="77777777" w:rsidR="00991189" w:rsidRPr="003044B3" w:rsidRDefault="00991189" w:rsidP="00991189">
      <w:pPr>
        <w:spacing w:after="0" w:line="240" w:lineRule="auto"/>
        <w:jc w:val="both"/>
        <w:rPr>
          <w:rFonts w:cstheme="minorHAnsi"/>
          <w:sz w:val="24"/>
          <w:szCs w:val="24"/>
          <w:lang w:eastAsia="es-MX"/>
        </w:rPr>
      </w:pPr>
    </w:p>
    <w:p w14:paraId="1C26828F" w14:textId="77777777" w:rsidR="00991189" w:rsidRPr="003044B3" w:rsidRDefault="00991189" w:rsidP="00991189">
      <w:pPr>
        <w:spacing w:after="0" w:line="240" w:lineRule="auto"/>
        <w:jc w:val="both"/>
        <w:rPr>
          <w:rFonts w:cstheme="minorHAnsi"/>
          <w:sz w:val="24"/>
          <w:szCs w:val="24"/>
          <w:lang w:eastAsia="es-MX"/>
        </w:rPr>
      </w:pPr>
      <w:r w:rsidRPr="003044B3">
        <w:rPr>
          <w:rFonts w:cstheme="minorHAnsi"/>
          <w:sz w:val="24"/>
          <w:szCs w:val="24"/>
          <w:lang w:eastAsia="es-MX"/>
        </w:rPr>
        <w:t xml:space="preserve">117. Los hechos del presente caso ocurrieron en razón de la condición de personas en situación de riesgo social que tenían las víctimas, lo que demuestra que el Estado no les proporcionó a Marco Antonio Servellón García ni a Rony Alexis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Vásquez un ambiente que les protegiera de la violencia y del abuso, y no permitió su acceso a servicios y bienes esenciales, de una forma tal que esa falta privó definitivamente a los menores su posibilidad de emanciparse, desarrollarse y de tornarse adultos que pudieran determinar su propio futuro.</w:t>
      </w:r>
    </w:p>
    <w:p w14:paraId="0C6B628C" w14:textId="77777777" w:rsidR="00991189" w:rsidRPr="003044B3" w:rsidRDefault="00991189" w:rsidP="00991189">
      <w:pPr>
        <w:spacing w:after="0" w:line="240" w:lineRule="auto"/>
        <w:jc w:val="both"/>
        <w:rPr>
          <w:rFonts w:cstheme="minorHAnsi"/>
          <w:sz w:val="24"/>
          <w:szCs w:val="24"/>
          <w:lang w:eastAsia="es-MX"/>
        </w:rPr>
      </w:pPr>
    </w:p>
    <w:p w14:paraId="0EB049FD" w14:textId="77777777" w:rsidR="00991189" w:rsidRPr="003044B3" w:rsidRDefault="00991189" w:rsidP="00991189">
      <w:pPr>
        <w:spacing w:after="0" w:line="240" w:lineRule="auto"/>
        <w:jc w:val="both"/>
        <w:rPr>
          <w:rFonts w:cstheme="minorHAnsi"/>
          <w:sz w:val="24"/>
          <w:szCs w:val="24"/>
          <w:lang w:eastAsia="es-MX"/>
        </w:rPr>
      </w:pPr>
      <w:r w:rsidRPr="003044B3">
        <w:rPr>
          <w:rFonts w:cstheme="minorHAnsi"/>
          <w:sz w:val="24"/>
          <w:szCs w:val="24"/>
          <w:lang w:eastAsia="es-MX"/>
        </w:rPr>
        <w:t xml:space="preserve">120. El Tribunal ha especificado que la eficiente determinación de la verdad en el marco de la obligación de investigar una muerte que pudo deberse a una ejecución </w:t>
      </w:r>
      <w:proofErr w:type="gramStart"/>
      <w:r w:rsidRPr="003044B3">
        <w:rPr>
          <w:rFonts w:cstheme="minorHAnsi"/>
          <w:sz w:val="24"/>
          <w:szCs w:val="24"/>
          <w:lang w:eastAsia="es-MX"/>
        </w:rPr>
        <w:t>extrajudicial,</w:t>
      </w:r>
      <w:proofErr w:type="gramEnd"/>
      <w:r w:rsidRPr="003044B3">
        <w:rPr>
          <w:rFonts w:cstheme="minorHAnsi"/>
          <w:sz w:val="24"/>
          <w:szCs w:val="24"/>
          <w:lang w:eastAsia="es-MX"/>
        </w:rPr>
        <w:t xml:space="preserve"> debe darse desde las primeras diligencias con toda acuciosidad. Las autoridades estatales que conducen una investigación deben, inter </w:t>
      </w:r>
      <w:proofErr w:type="spellStart"/>
      <w:r w:rsidRPr="003044B3">
        <w:rPr>
          <w:rFonts w:cstheme="minorHAnsi"/>
          <w:sz w:val="24"/>
          <w:szCs w:val="24"/>
          <w:lang w:eastAsia="es-MX"/>
        </w:rPr>
        <w:t>alia</w:t>
      </w:r>
      <w:proofErr w:type="spellEnd"/>
      <w:r w:rsidRPr="003044B3">
        <w:rPr>
          <w:rFonts w:cstheme="minorHAnsi"/>
          <w:sz w:val="24"/>
          <w:szCs w:val="24"/>
          <w:lang w:eastAsia="es-MX"/>
        </w:rPr>
        <w:t xml:space="preserve">, a) identificar a la víctima; b) recuperar y preservar el material probatorio relacionado con la muerte; c) identificar posibles testigos y obtener sus declaraciones en relación con la muerte que se investiga; d) determinar la </w:t>
      </w:r>
      <w:r w:rsidRPr="003044B3">
        <w:rPr>
          <w:rFonts w:cstheme="minorHAnsi"/>
          <w:sz w:val="24"/>
          <w:szCs w:val="24"/>
          <w:lang w:eastAsia="es-MX"/>
        </w:rPr>
        <w:lastRenderedPageBreak/>
        <w:t xml:space="preserve">causa, forma, lugar y momento de la muerte, así como cualquier procedimiento o práctica que pueda haberla provocado, y </w:t>
      </w:r>
      <w:proofErr w:type="spellStart"/>
      <w:r w:rsidRPr="003044B3">
        <w:rPr>
          <w:rFonts w:cstheme="minorHAnsi"/>
          <w:sz w:val="24"/>
          <w:szCs w:val="24"/>
          <w:lang w:eastAsia="es-MX"/>
        </w:rPr>
        <w:t>e</w:t>
      </w:r>
      <w:proofErr w:type="spellEnd"/>
      <w:r w:rsidRPr="003044B3">
        <w:rPr>
          <w:rFonts w:cstheme="minorHAnsi"/>
          <w:sz w:val="24"/>
          <w:szCs w:val="24"/>
          <w:lang w:eastAsia="es-MX"/>
        </w:rPr>
        <w:t>) distinguir entre muerte natural, muerte accidental, suicidio y homicidio. Además, es necesario investigar exhaustivamente la escena del crimen, se deben realizar autopsias y análisis de restos humanos, en forma rigurosa, por profesionales competentes y empleando los procedimientos más apropiados.</w:t>
      </w:r>
    </w:p>
    <w:p w14:paraId="1C131A12" w14:textId="77777777" w:rsidR="00991189" w:rsidRPr="003044B3" w:rsidRDefault="00991189" w:rsidP="00991189">
      <w:pPr>
        <w:spacing w:after="0" w:line="240" w:lineRule="auto"/>
        <w:jc w:val="both"/>
        <w:rPr>
          <w:rFonts w:cstheme="minorHAnsi"/>
          <w:sz w:val="24"/>
          <w:szCs w:val="24"/>
          <w:lang w:eastAsia="es-MX"/>
        </w:rPr>
      </w:pPr>
    </w:p>
    <w:p w14:paraId="23DBEFFE" w14:textId="77777777" w:rsidR="00991189" w:rsidRPr="003044B3" w:rsidRDefault="00991189" w:rsidP="00991189">
      <w:pPr>
        <w:spacing w:after="0" w:line="240" w:lineRule="auto"/>
        <w:jc w:val="both"/>
        <w:rPr>
          <w:rFonts w:cstheme="minorHAnsi"/>
          <w:sz w:val="24"/>
          <w:szCs w:val="24"/>
          <w:lang w:eastAsia="es-MX"/>
        </w:rPr>
      </w:pPr>
      <w:r w:rsidRPr="003044B3">
        <w:rPr>
          <w:rFonts w:cstheme="minorHAnsi"/>
          <w:sz w:val="24"/>
          <w:szCs w:val="24"/>
          <w:lang w:eastAsia="es-MX"/>
        </w:rPr>
        <w:t xml:space="preserve">123. En casos de ejecuciones extrajudiciales es fundamental que los Estados investiguen efectivamente la privación del derecho a la vida, y en su caso, castiguen a todos sus responsables, especialmente cuando están involucrados agentes estatales, ya que, de no ser así, se estarían creando, dentro de un ambiente de impunidad, las condiciones para que este tipo de hechos vuelva a repetirse, lo que es contrario al deber de respetar y garantizar el derecho a la vida. </w:t>
      </w:r>
    </w:p>
    <w:p w14:paraId="4792B9BE" w14:textId="77777777" w:rsidR="00991189" w:rsidRPr="003044B3" w:rsidRDefault="00991189" w:rsidP="00991189">
      <w:pPr>
        <w:spacing w:after="0" w:line="240" w:lineRule="auto"/>
        <w:jc w:val="both"/>
        <w:rPr>
          <w:rFonts w:cstheme="minorHAnsi"/>
          <w:sz w:val="24"/>
          <w:szCs w:val="24"/>
          <w:lang w:eastAsia="es-MX"/>
        </w:rPr>
      </w:pPr>
    </w:p>
    <w:p w14:paraId="62EC7906" w14:textId="77777777" w:rsidR="00991189" w:rsidRPr="003044B3" w:rsidRDefault="00991189" w:rsidP="00991189">
      <w:pPr>
        <w:spacing w:after="0" w:line="240" w:lineRule="auto"/>
        <w:jc w:val="both"/>
        <w:rPr>
          <w:rFonts w:cstheme="minorHAnsi"/>
          <w:sz w:val="24"/>
          <w:szCs w:val="24"/>
          <w:lang w:eastAsia="es-MX"/>
        </w:rPr>
      </w:pPr>
      <w:r w:rsidRPr="003044B3">
        <w:rPr>
          <w:rFonts w:cstheme="minorHAnsi"/>
          <w:sz w:val="24"/>
          <w:szCs w:val="24"/>
          <w:lang w:eastAsia="es-MX"/>
        </w:rPr>
        <w:t xml:space="preserve">125. Las anteriores consideraciones llevaron a la Corte a concluir que, por haber faltado a sus deberes de respeto, prevención y protección de los derechos a la vida y a la integridad y libertad personales por la detención ilegal y arbitraria, la tortura y los tratos crueles, inhumanos o degradantes y la muerte de las víctimas, el Estado tiene responsabilidad internacional por la violación de los artículos 7.1, 7.2, 7.3, 7.4 y 7.5, 5.1 y 5.2, y 4.1 de la Convención Americana, en relación con el artículo 1.1 de dicho tratado, en perjuicio de Marco Antonio Servellón García, Rony Alexis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Vásquez, Orlando Álvarez Ríos y Diomedes Obed García Sánchez, así como por la violación del  artículo 5.5 de la Convención, en conexión con el artículo 19 de ese instrumento, ambos en relación con el artículo 1.1 del mismo tratado, en perjuicio de Marco Antonio Servellón García y Rony Alexis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Vásquez. </w:t>
      </w:r>
    </w:p>
    <w:p w14:paraId="24EBD491" w14:textId="77777777" w:rsidR="00991189" w:rsidRPr="003044B3" w:rsidRDefault="00991189" w:rsidP="00991189">
      <w:pPr>
        <w:spacing w:after="0" w:line="240" w:lineRule="auto"/>
        <w:jc w:val="both"/>
        <w:rPr>
          <w:rFonts w:cstheme="minorHAnsi"/>
          <w:sz w:val="24"/>
          <w:szCs w:val="24"/>
          <w:lang w:eastAsia="es-MX"/>
        </w:rPr>
      </w:pPr>
    </w:p>
    <w:p w14:paraId="06467C0C" w14:textId="77777777" w:rsidR="00991189" w:rsidRPr="003044B3" w:rsidRDefault="00991189" w:rsidP="00991189">
      <w:pPr>
        <w:spacing w:after="0" w:line="240" w:lineRule="auto"/>
        <w:jc w:val="both"/>
        <w:rPr>
          <w:rFonts w:cstheme="minorHAnsi"/>
          <w:sz w:val="24"/>
          <w:szCs w:val="24"/>
          <w:lang w:eastAsia="es-MX"/>
        </w:rPr>
      </w:pPr>
      <w:r w:rsidRPr="003044B3">
        <w:rPr>
          <w:rFonts w:cstheme="minorHAnsi"/>
          <w:sz w:val="24"/>
          <w:szCs w:val="24"/>
          <w:lang w:eastAsia="es-MX"/>
        </w:rPr>
        <w:t>126. El Tribunal pasó de analizar lo alegado por la Comisión y los representantes respecto de la violación del artículo 5.1 y 5.2 de la Convención Americana, en perjuicio de los familiares de las víctimas.</w:t>
      </w:r>
    </w:p>
    <w:p w14:paraId="591182C5" w14:textId="77777777" w:rsidR="00991189" w:rsidRPr="003044B3" w:rsidRDefault="00991189" w:rsidP="00991189">
      <w:pPr>
        <w:spacing w:after="0" w:line="240" w:lineRule="auto"/>
        <w:jc w:val="both"/>
        <w:rPr>
          <w:rFonts w:cstheme="minorHAnsi"/>
          <w:sz w:val="24"/>
          <w:szCs w:val="24"/>
          <w:lang w:eastAsia="es-MX"/>
        </w:rPr>
      </w:pPr>
    </w:p>
    <w:p w14:paraId="0FD29211" w14:textId="77777777" w:rsidR="00991189" w:rsidRPr="003044B3" w:rsidRDefault="00991189" w:rsidP="00991189">
      <w:pPr>
        <w:spacing w:after="0" w:line="240" w:lineRule="auto"/>
        <w:jc w:val="both"/>
        <w:rPr>
          <w:rFonts w:cstheme="minorHAnsi"/>
          <w:sz w:val="24"/>
          <w:szCs w:val="24"/>
          <w:lang w:eastAsia="es-MX"/>
        </w:rPr>
      </w:pPr>
      <w:r w:rsidRPr="003044B3">
        <w:rPr>
          <w:rFonts w:cstheme="minorHAnsi"/>
          <w:sz w:val="24"/>
          <w:szCs w:val="24"/>
          <w:lang w:eastAsia="es-MX"/>
        </w:rPr>
        <w:t>128. La Corte ha señalado, en reiteradas oportunidades, que los familiares de las víctimas de violaciones de los derechos humanos pueden ser, a su vez, víctimas. El Tribunal ha considerado violado el derecho a la integridad psíquica y moral de algunos familiares de las víctimas con motivo del sufrimiento que estos han padecido como producto de las circunstancias particulares de las violaciones perpetradas contra sus seres queridos y a causa de las posteriores actuaciones u omisiones de las autoridades estatales frente a los hechos.</w:t>
      </w:r>
    </w:p>
    <w:p w14:paraId="1C3A4921" w14:textId="77777777" w:rsidR="00991189" w:rsidRPr="003044B3" w:rsidRDefault="00991189" w:rsidP="00991189">
      <w:pPr>
        <w:spacing w:after="0" w:line="240" w:lineRule="auto"/>
        <w:jc w:val="both"/>
        <w:rPr>
          <w:rFonts w:cstheme="minorHAnsi"/>
          <w:sz w:val="24"/>
          <w:szCs w:val="24"/>
          <w:lang w:eastAsia="es-MX"/>
        </w:rPr>
      </w:pPr>
    </w:p>
    <w:p w14:paraId="03143E40" w14:textId="77777777" w:rsidR="00991189" w:rsidRPr="003044B3" w:rsidRDefault="00991189" w:rsidP="00991189">
      <w:pPr>
        <w:spacing w:after="0" w:line="240" w:lineRule="auto"/>
        <w:jc w:val="both"/>
        <w:rPr>
          <w:rFonts w:cstheme="minorHAnsi"/>
          <w:sz w:val="24"/>
          <w:szCs w:val="24"/>
          <w:lang w:eastAsia="es-MX"/>
        </w:rPr>
      </w:pPr>
      <w:r w:rsidRPr="003044B3">
        <w:rPr>
          <w:rFonts w:cstheme="minorHAnsi"/>
          <w:sz w:val="24"/>
          <w:szCs w:val="24"/>
          <w:lang w:eastAsia="es-MX"/>
        </w:rPr>
        <w:t xml:space="preserve">139. La Corte concluyó que el Estado tiene responsabilidad por violación al derecho a la integridad personal consagrado en el artículo 5.1 de la Convención Americana, en relación al artículo 1.1 de dicho tratado, en perjuicio de los familiares de Marco Antonio Servellón García, señores Reyes Servellón Santos, padre, </w:t>
      </w:r>
      <w:proofErr w:type="spellStart"/>
      <w:r w:rsidRPr="003044B3">
        <w:rPr>
          <w:rFonts w:cstheme="minorHAnsi"/>
          <w:sz w:val="24"/>
          <w:szCs w:val="24"/>
          <w:lang w:eastAsia="es-MX"/>
        </w:rPr>
        <w:t>Bricelda</w:t>
      </w:r>
      <w:proofErr w:type="spellEnd"/>
      <w:r w:rsidRPr="003044B3">
        <w:rPr>
          <w:rFonts w:cstheme="minorHAnsi"/>
          <w:sz w:val="24"/>
          <w:szCs w:val="24"/>
          <w:lang w:eastAsia="es-MX"/>
        </w:rPr>
        <w:t xml:space="preserve"> </w:t>
      </w:r>
      <w:proofErr w:type="spellStart"/>
      <w:r w:rsidRPr="003044B3">
        <w:rPr>
          <w:rFonts w:cstheme="minorHAnsi"/>
          <w:sz w:val="24"/>
          <w:szCs w:val="24"/>
          <w:lang w:eastAsia="es-MX"/>
        </w:rPr>
        <w:t>Aide</w:t>
      </w:r>
      <w:proofErr w:type="spellEnd"/>
      <w:r w:rsidRPr="003044B3">
        <w:rPr>
          <w:rFonts w:cstheme="minorHAnsi"/>
          <w:sz w:val="24"/>
          <w:szCs w:val="24"/>
          <w:lang w:eastAsia="es-MX"/>
        </w:rPr>
        <w:t xml:space="preserve"> García Lobo, madre, y </w:t>
      </w:r>
      <w:proofErr w:type="spellStart"/>
      <w:r w:rsidRPr="003044B3">
        <w:rPr>
          <w:rFonts w:cstheme="minorHAnsi"/>
          <w:sz w:val="24"/>
          <w:szCs w:val="24"/>
          <w:lang w:eastAsia="es-MX"/>
        </w:rPr>
        <w:t>Marja</w:t>
      </w:r>
      <w:proofErr w:type="spellEnd"/>
      <w:r w:rsidRPr="003044B3">
        <w:rPr>
          <w:rFonts w:cstheme="minorHAnsi"/>
          <w:sz w:val="24"/>
          <w:szCs w:val="24"/>
          <w:lang w:eastAsia="es-MX"/>
        </w:rPr>
        <w:t xml:space="preserve"> Ibeth Castro García, hermana; de los familiares de Rony Alexis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Vásquez, señores Manases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Núñez, padre, Hilda </w:t>
      </w:r>
      <w:proofErr w:type="spellStart"/>
      <w:r w:rsidRPr="003044B3">
        <w:rPr>
          <w:rFonts w:cstheme="minorHAnsi"/>
          <w:sz w:val="24"/>
          <w:szCs w:val="24"/>
          <w:lang w:eastAsia="es-MX"/>
        </w:rPr>
        <w:t>Estebana</w:t>
      </w:r>
      <w:proofErr w:type="spellEnd"/>
      <w:r w:rsidRPr="003044B3">
        <w:rPr>
          <w:rFonts w:cstheme="minorHAnsi"/>
          <w:sz w:val="24"/>
          <w:szCs w:val="24"/>
          <w:lang w:eastAsia="es-MX"/>
        </w:rPr>
        <w:t xml:space="preserve"> Hernández López, madre, Zara </w:t>
      </w:r>
      <w:proofErr w:type="spellStart"/>
      <w:r w:rsidRPr="003044B3">
        <w:rPr>
          <w:rFonts w:cstheme="minorHAnsi"/>
          <w:sz w:val="24"/>
          <w:szCs w:val="24"/>
          <w:lang w:eastAsia="es-MX"/>
        </w:rPr>
        <w:lastRenderedPageBreak/>
        <w:t>Beatris</w:t>
      </w:r>
      <w:proofErr w:type="spellEnd"/>
      <w:r w:rsidRPr="003044B3">
        <w:rPr>
          <w:rFonts w:cstheme="minorHAnsi"/>
          <w:sz w:val="24"/>
          <w:szCs w:val="24"/>
          <w:lang w:eastAsia="es-MX"/>
        </w:rPr>
        <w:t xml:space="preserve"> Bustillo Rivera, hija, y Ana Luisa Vargas Soto, compañera de hogar, y de la hermana de Orlando Álvarez Ríos, señora Dilcia Álvarez Ríos.</w:t>
      </w:r>
    </w:p>
    <w:p w14:paraId="3AA4C6C3" w14:textId="77777777" w:rsidR="00991189" w:rsidRPr="003044B3" w:rsidRDefault="00991189" w:rsidP="00991189">
      <w:pPr>
        <w:spacing w:after="0" w:line="240" w:lineRule="auto"/>
        <w:jc w:val="both"/>
        <w:rPr>
          <w:rFonts w:cstheme="minorHAnsi"/>
          <w:sz w:val="24"/>
          <w:szCs w:val="24"/>
          <w:lang w:eastAsia="es-MX"/>
        </w:rPr>
      </w:pPr>
    </w:p>
    <w:p w14:paraId="5E69F271" w14:textId="77777777" w:rsidR="00991189" w:rsidRPr="003044B3" w:rsidRDefault="00991189" w:rsidP="00991189">
      <w:pPr>
        <w:spacing w:after="0" w:line="240" w:lineRule="auto"/>
        <w:jc w:val="both"/>
        <w:rPr>
          <w:rFonts w:cstheme="minorHAnsi"/>
          <w:sz w:val="24"/>
          <w:szCs w:val="24"/>
          <w:lang w:eastAsia="es-MX"/>
        </w:rPr>
      </w:pPr>
      <w:r w:rsidRPr="00BD04E4">
        <w:rPr>
          <w:rFonts w:cstheme="minorHAnsi"/>
          <w:b/>
          <w:bCs/>
          <w:sz w:val="24"/>
          <w:szCs w:val="24"/>
          <w:lang w:eastAsia="es-MX"/>
        </w:rPr>
        <w:t>II. Violación de los artículos 8.1 y 8.2, 7.6 y 25.1</w:t>
      </w:r>
      <w:r w:rsidRPr="003044B3">
        <w:rPr>
          <w:rFonts w:cstheme="minorHAnsi"/>
          <w:sz w:val="24"/>
          <w:szCs w:val="24"/>
          <w:lang w:eastAsia="es-MX"/>
        </w:rPr>
        <w:t xml:space="preserve"> de la Convención Americana en relación con el artículo 1.1 de la misma (garantías judiciales, libertad personal, protección judicial, y obligación de respetar los derechos)</w:t>
      </w:r>
    </w:p>
    <w:p w14:paraId="2186D476" w14:textId="77777777" w:rsidR="00991189" w:rsidRPr="003044B3" w:rsidRDefault="00991189" w:rsidP="00991189">
      <w:pPr>
        <w:spacing w:after="0" w:line="240" w:lineRule="auto"/>
        <w:jc w:val="both"/>
        <w:rPr>
          <w:rFonts w:cstheme="minorHAnsi"/>
          <w:sz w:val="24"/>
          <w:szCs w:val="24"/>
          <w:lang w:eastAsia="es-MX"/>
        </w:rPr>
      </w:pPr>
    </w:p>
    <w:p w14:paraId="4C916C90" w14:textId="77777777" w:rsidR="00991189" w:rsidRPr="003044B3" w:rsidRDefault="00991189" w:rsidP="00991189">
      <w:pPr>
        <w:spacing w:after="0" w:line="240" w:lineRule="auto"/>
        <w:jc w:val="both"/>
        <w:rPr>
          <w:rFonts w:cstheme="minorHAnsi"/>
          <w:sz w:val="24"/>
          <w:szCs w:val="24"/>
          <w:lang w:eastAsia="es-MX"/>
        </w:rPr>
      </w:pPr>
      <w:r w:rsidRPr="003044B3">
        <w:rPr>
          <w:rFonts w:cstheme="minorHAnsi"/>
          <w:sz w:val="24"/>
          <w:szCs w:val="24"/>
          <w:lang w:eastAsia="es-MX"/>
        </w:rPr>
        <w:t xml:space="preserve">140. La Corte concluyó, a la luz del reconocimiento de responsabilidad internacional realizado por el Estado, que éste violó los artículos 7.6, 8.1 y 25.1 de la Convención Americana, en perjuicio de Marco Antonio Servellón García, Rony Alexis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Vásquez, Orlando Álvarez Ríos y Diomedes Obed García Sánchez, por no haberles garantizado una protección efectiva a través del recurso de hábeas corpus, y que el Estado violó el artículo 8.2 de la Convención por no haber respetado el principio a la presunción de inocencia, en perjuicio de las mencionadas víctimas. Asimismo, el Tribunal admitió la violación de los artículos 8 y 25 de la Convención, en perjuicio de los familiares de Marco Antonio Servellón García, Rony Alexis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Vásquez, Orlando Álvarez Ríos y Diomedes Obed García Sánchez por la falta de una adecuada investigación de los hechos.</w:t>
      </w:r>
    </w:p>
    <w:p w14:paraId="01FEA4E9" w14:textId="77777777" w:rsidR="00991189" w:rsidRPr="003044B3" w:rsidRDefault="00991189" w:rsidP="00991189">
      <w:pPr>
        <w:spacing w:after="0" w:line="240" w:lineRule="auto"/>
        <w:jc w:val="both"/>
        <w:rPr>
          <w:rFonts w:cstheme="minorHAnsi"/>
          <w:sz w:val="24"/>
          <w:szCs w:val="24"/>
          <w:lang w:eastAsia="es-MX"/>
        </w:rPr>
      </w:pPr>
    </w:p>
    <w:p w14:paraId="210934E5" w14:textId="77777777" w:rsidR="00991189" w:rsidRPr="003044B3" w:rsidRDefault="00991189" w:rsidP="00991189">
      <w:pPr>
        <w:spacing w:after="0" w:line="240" w:lineRule="auto"/>
        <w:jc w:val="both"/>
        <w:rPr>
          <w:rFonts w:cstheme="minorHAnsi"/>
          <w:sz w:val="24"/>
          <w:szCs w:val="24"/>
          <w:lang w:eastAsia="es-MX"/>
        </w:rPr>
      </w:pPr>
      <w:r w:rsidRPr="003044B3">
        <w:rPr>
          <w:rFonts w:cstheme="minorHAnsi"/>
          <w:sz w:val="24"/>
          <w:szCs w:val="24"/>
          <w:lang w:eastAsia="es-MX"/>
        </w:rPr>
        <w:t xml:space="preserve">146. La Corte estableció que el Estado ha faltado a sus deberes de respeto, prevención y protección, y que por lo tanto es responsable por la violación de los derechos a la vida, a la integridad y a la libertad personales de Marco Antonio Servellón García, Rony Alexis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Vásquez, Orlando Álvarez Ríos y Diomedes Obed García Sánchez. </w:t>
      </w:r>
      <w:proofErr w:type="gramStart"/>
      <w:r w:rsidRPr="003044B3">
        <w:rPr>
          <w:rFonts w:cstheme="minorHAnsi"/>
          <w:sz w:val="24"/>
          <w:szCs w:val="24"/>
          <w:lang w:eastAsia="es-MX"/>
        </w:rPr>
        <w:t>En razón de</w:t>
      </w:r>
      <w:proofErr w:type="gramEnd"/>
      <w:r w:rsidRPr="003044B3">
        <w:rPr>
          <w:rFonts w:cstheme="minorHAnsi"/>
          <w:sz w:val="24"/>
          <w:szCs w:val="24"/>
          <w:lang w:eastAsia="es-MX"/>
        </w:rPr>
        <w:t xml:space="preserve"> todo ello el Estado tiene el deber de investigar las afectaciones a dichos derechos como una condición para garantizarlos, como se desprende del artículo 1.1 de la Convención Americana.</w:t>
      </w:r>
    </w:p>
    <w:p w14:paraId="793EFC26" w14:textId="77777777" w:rsidR="00991189" w:rsidRPr="003044B3" w:rsidRDefault="00991189" w:rsidP="00991189">
      <w:pPr>
        <w:spacing w:after="0" w:line="240" w:lineRule="auto"/>
        <w:jc w:val="both"/>
        <w:rPr>
          <w:rFonts w:cstheme="minorHAnsi"/>
          <w:sz w:val="24"/>
          <w:szCs w:val="24"/>
          <w:lang w:eastAsia="es-MX"/>
        </w:rPr>
      </w:pPr>
    </w:p>
    <w:p w14:paraId="005C2F2D" w14:textId="77777777" w:rsidR="00991189" w:rsidRPr="003044B3" w:rsidRDefault="00991189" w:rsidP="00991189">
      <w:pPr>
        <w:spacing w:after="0" w:line="240" w:lineRule="auto"/>
        <w:jc w:val="both"/>
        <w:rPr>
          <w:rFonts w:cstheme="minorHAnsi"/>
          <w:sz w:val="24"/>
          <w:szCs w:val="24"/>
          <w:lang w:eastAsia="es-MX"/>
        </w:rPr>
      </w:pPr>
      <w:r w:rsidRPr="003044B3">
        <w:rPr>
          <w:rFonts w:cstheme="minorHAnsi"/>
          <w:sz w:val="24"/>
          <w:szCs w:val="24"/>
          <w:lang w:eastAsia="es-MX"/>
        </w:rPr>
        <w:t>147. Los Estados Partes de la Convención están obligados a suministrar recursos judiciales efectivos a las víctimas de violaciones de derechos humanos (artículo 25), recursos que deben ser sustanciados de conformidad con las reglas del debido proceso legal (artículo 8.1), todo ello dentro de la obligación general, a cargo de los mismos Estados, de garantizar el libre y pleno ejercicio de los derechos reconocidos por el  mencionado tratado a toda persona que se encuentre bajo su jurisdicción (artículo 1.1).</w:t>
      </w:r>
    </w:p>
    <w:p w14:paraId="6B8A7E14" w14:textId="77777777" w:rsidR="00991189" w:rsidRPr="003044B3" w:rsidRDefault="00991189" w:rsidP="00991189">
      <w:pPr>
        <w:spacing w:after="0" w:line="240" w:lineRule="auto"/>
        <w:jc w:val="both"/>
        <w:rPr>
          <w:rFonts w:cstheme="minorHAnsi"/>
          <w:sz w:val="24"/>
          <w:szCs w:val="24"/>
          <w:lang w:eastAsia="es-MX"/>
        </w:rPr>
      </w:pPr>
    </w:p>
    <w:p w14:paraId="3B13AFF7" w14:textId="77777777" w:rsidR="00991189" w:rsidRPr="003044B3" w:rsidRDefault="00991189" w:rsidP="00991189">
      <w:pPr>
        <w:spacing w:after="0" w:line="240" w:lineRule="auto"/>
        <w:jc w:val="both"/>
        <w:rPr>
          <w:rFonts w:cstheme="minorHAnsi"/>
          <w:sz w:val="24"/>
          <w:szCs w:val="24"/>
          <w:lang w:eastAsia="es-MX"/>
        </w:rPr>
      </w:pPr>
      <w:r w:rsidRPr="003044B3">
        <w:rPr>
          <w:rFonts w:cstheme="minorHAnsi"/>
          <w:sz w:val="24"/>
          <w:szCs w:val="24"/>
          <w:lang w:eastAsia="es-MX"/>
        </w:rPr>
        <w:t>148. La Corte ha constatado que se abrió un proceso penal en la jurisdicción ordinaria, en el cual se acumularon las causas iniciadas en relación con los hechos del presente caso. A la luz de lo establecido en los artículos 8 y 25 de la Convención, los procedimientos deben ser efectivamente desarrollados con respeto a las garantías judiciales, en un plazo razonable, y deben ofrecer un recurso efectivo para asegurar los derechos de acceso a la justicia, el conocimiento de la verdad de los hechos y la reparación a los familiares. (…)</w:t>
      </w:r>
    </w:p>
    <w:p w14:paraId="7D5271C4" w14:textId="77777777" w:rsidR="00991189" w:rsidRPr="003044B3" w:rsidRDefault="00991189" w:rsidP="00991189">
      <w:pPr>
        <w:spacing w:after="0" w:line="240" w:lineRule="auto"/>
        <w:jc w:val="both"/>
        <w:rPr>
          <w:rFonts w:cstheme="minorHAnsi"/>
          <w:sz w:val="24"/>
          <w:szCs w:val="24"/>
          <w:lang w:eastAsia="es-MX"/>
        </w:rPr>
      </w:pPr>
    </w:p>
    <w:p w14:paraId="5EE360A4" w14:textId="77777777" w:rsidR="00991189" w:rsidRPr="003044B3" w:rsidRDefault="00991189" w:rsidP="00991189">
      <w:pPr>
        <w:spacing w:after="0" w:line="240" w:lineRule="auto"/>
        <w:jc w:val="both"/>
        <w:rPr>
          <w:rFonts w:cstheme="minorHAnsi"/>
          <w:sz w:val="24"/>
          <w:szCs w:val="24"/>
          <w:lang w:eastAsia="es-MX"/>
        </w:rPr>
      </w:pPr>
      <w:r w:rsidRPr="003044B3">
        <w:rPr>
          <w:rFonts w:cstheme="minorHAnsi"/>
          <w:sz w:val="24"/>
          <w:szCs w:val="24"/>
          <w:lang w:eastAsia="es-MX"/>
        </w:rPr>
        <w:t xml:space="preserve">153. Tomando en cuenta el reconocimiento realizado por el Estado y el acervo probatorio del presente caso, el Tribunal encuentra que la falta de celeridad en la investigación y la negligencia de las autoridades judiciales en realizar una investigación seria y exhaustiva de los hechos que conduzca a su esclarecimiento y al enjuiciamiento de los responsables, </w:t>
      </w:r>
      <w:r w:rsidRPr="003044B3">
        <w:rPr>
          <w:rFonts w:cstheme="minorHAnsi"/>
          <w:sz w:val="24"/>
          <w:szCs w:val="24"/>
          <w:lang w:eastAsia="es-MX"/>
        </w:rPr>
        <w:lastRenderedPageBreak/>
        <w:t xml:space="preserve">constituye una grave falta al deber de investigar y de ofrecer un recurso efectivo que establezca la verdad de los hechos, juzgue y sancione a sus responsables y garantice el acceso a la justicia para los familiares de Marco Antonio Servellón García, Rony Alexis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Vásquez, Orlando Álvarez Ríos Y Diomedes Obed García Sánchez con plena observancia de las garantías judiciales. La investigación que actualmente se realiza podría dejar a los posibles responsables de los hechos en la impunidad.</w:t>
      </w:r>
    </w:p>
    <w:p w14:paraId="53FF57E8" w14:textId="77777777" w:rsidR="00991189" w:rsidRPr="003044B3" w:rsidRDefault="00991189" w:rsidP="00991189">
      <w:pPr>
        <w:spacing w:after="0" w:line="240" w:lineRule="auto"/>
        <w:jc w:val="both"/>
        <w:rPr>
          <w:rFonts w:cstheme="minorHAnsi"/>
          <w:sz w:val="24"/>
          <w:szCs w:val="24"/>
          <w:lang w:eastAsia="es-MX"/>
        </w:rPr>
      </w:pPr>
    </w:p>
    <w:p w14:paraId="05DC4171" w14:textId="77777777" w:rsidR="00991189" w:rsidRPr="003044B3" w:rsidRDefault="00991189" w:rsidP="00991189">
      <w:pPr>
        <w:spacing w:after="0" w:line="240" w:lineRule="auto"/>
        <w:jc w:val="both"/>
        <w:rPr>
          <w:rFonts w:cstheme="minorHAnsi"/>
          <w:sz w:val="24"/>
          <w:szCs w:val="24"/>
          <w:lang w:eastAsia="es-MX"/>
        </w:rPr>
      </w:pPr>
      <w:r w:rsidRPr="003044B3">
        <w:rPr>
          <w:rFonts w:cstheme="minorHAnsi"/>
          <w:sz w:val="24"/>
          <w:szCs w:val="24"/>
          <w:lang w:eastAsia="es-MX"/>
        </w:rPr>
        <w:t>154. La Corte advirtió que el Estado tiene la obligación de combatir la impunidad por todos los medios legales disponibles, ya que ésta propicia la repetición crónica de las violaciones de derechos humanos y la total indefensión de las víctimas y de sus familiares. Esa obligación de combatir la impunidad se ve acentuada cuando se trata de violaciones cuyas víctimas son niños. La impunidad en el presente caso se ve corroborada por el propio Estado que indicó que “hasta ahora, los responsables de la mayoría de esos crímenes, asesinatos de jóvenes menores de 18 años, no han sido aprehendidos”.</w:t>
      </w:r>
    </w:p>
    <w:p w14:paraId="6DC73D93" w14:textId="77777777" w:rsidR="00991189" w:rsidRPr="003044B3" w:rsidRDefault="00991189" w:rsidP="00991189">
      <w:pPr>
        <w:spacing w:after="0" w:line="240" w:lineRule="auto"/>
        <w:jc w:val="both"/>
        <w:rPr>
          <w:rFonts w:cstheme="minorHAnsi"/>
          <w:sz w:val="24"/>
          <w:szCs w:val="24"/>
          <w:lang w:eastAsia="es-MX"/>
        </w:rPr>
      </w:pPr>
    </w:p>
    <w:p w14:paraId="0F923315" w14:textId="77777777" w:rsidR="00991189" w:rsidRPr="003044B3" w:rsidRDefault="00991189" w:rsidP="00991189">
      <w:pPr>
        <w:spacing w:after="0" w:line="240" w:lineRule="auto"/>
        <w:jc w:val="both"/>
        <w:rPr>
          <w:rFonts w:cstheme="minorHAnsi"/>
          <w:sz w:val="24"/>
          <w:szCs w:val="24"/>
          <w:lang w:eastAsia="es-MX"/>
        </w:rPr>
      </w:pPr>
      <w:r w:rsidRPr="003044B3">
        <w:rPr>
          <w:rFonts w:cstheme="minorHAnsi"/>
          <w:sz w:val="24"/>
          <w:szCs w:val="24"/>
          <w:lang w:eastAsia="es-MX"/>
        </w:rPr>
        <w:t xml:space="preserve">155. El Estado es responsable por la violación de los derechos consagrados en los artículos 8.1, 8.2, 7.6, y 25.1 de la Convención Americana, en relación con el artículo 1.1 de ese tratado, en perjuicio de Marco Antonio Servellón García, Rony Alexis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Vásquez, Orlando Álvarez Ríos y Diomedes Obed García Sánchez.</w:t>
      </w:r>
    </w:p>
    <w:p w14:paraId="76BE57B6" w14:textId="77777777" w:rsidR="00991189" w:rsidRPr="003044B3" w:rsidRDefault="00991189" w:rsidP="00991189">
      <w:pPr>
        <w:spacing w:after="0" w:line="240" w:lineRule="auto"/>
        <w:jc w:val="both"/>
        <w:rPr>
          <w:rFonts w:cstheme="minorHAnsi"/>
          <w:sz w:val="24"/>
          <w:szCs w:val="24"/>
          <w:lang w:eastAsia="es-MX"/>
        </w:rPr>
      </w:pPr>
    </w:p>
    <w:p w14:paraId="7F37CBF6" w14:textId="77777777" w:rsidR="00991189" w:rsidRPr="003044B3" w:rsidRDefault="00991189" w:rsidP="00991189">
      <w:pPr>
        <w:spacing w:after="0" w:line="240" w:lineRule="auto"/>
        <w:jc w:val="both"/>
        <w:rPr>
          <w:rFonts w:cstheme="minorHAnsi"/>
          <w:sz w:val="24"/>
          <w:szCs w:val="24"/>
          <w:lang w:eastAsia="es-MX"/>
        </w:rPr>
      </w:pPr>
      <w:r w:rsidRPr="003044B3">
        <w:rPr>
          <w:rFonts w:cstheme="minorHAnsi"/>
          <w:sz w:val="24"/>
          <w:szCs w:val="24"/>
          <w:lang w:eastAsia="es-MX"/>
        </w:rPr>
        <w:t xml:space="preserve">156. La Corte concluyó que el proceso penal no ha constituido un recurso efectivo para garantizar el acceso a la justicia, la determinación de la verdad de los hechos, la investigación, y en su caso, la sanción de los responsables y la reparación de las consecuencias de las violaciones. Consecuentemente, el Estado es responsable por la violación de los artículos 8.1 y 25.1 de la Convención, en relación con el artículo 1.1 de ese instrumento, en perjuicio de los familiares de Marco Antonio Servellón García, Reyes Servellón Santos, padre, </w:t>
      </w:r>
      <w:proofErr w:type="spellStart"/>
      <w:r w:rsidRPr="003044B3">
        <w:rPr>
          <w:rFonts w:cstheme="minorHAnsi"/>
          <w:sz w:val="24"/>
          <w:szCs w:val="24"/>
          <w:lang w:eastAsia="es-MX"/>
        </w:rPr>
        <w:t>Bricelda</w:t>
      </w:r>
      <w:proofErr w:type="spellEnd"/>
      <w:r w:rsidRPr="003044B3">
        <w:rPr>
          <w:rFonts w:cstheme="minorHAnsi"/>
          <w:sz w:val="24"/>
          <w:szCs w:val="24"/>
          <w:lang w:eastAsia="es-MX"/>
        </w:rPr>
        <w:t xml:space="preserve"> </w:t>
      </w:r>
      <w:proofErr w:type="spellStart"/>
      <w:r w:rsidRPr="003044B3">
        <w:rPr>
          <w:rFonts w:cstheme="minorHAnsi"/>
          <w:sz w:val="24"/>
          <w:szCs w:val="24"/>
          <w:lang w:eastAsia="es-MX"/>
        </w:rPr>
        <w:t>Aide</w:t>
      </w:r>
      <w:proofErr w:type="spellEnd"/>
      <w:r w:rsidRPr="003044B3">
        <w:rPr>
          <w:rFonts w:cstheme="minorHAnsi"/>
          <w:sz w:val="24"/>
          <w:szCs w:val="24"/>
          <w:lang w:eastAsia="es-MX"/>
        </w:rPr>
        <w:t xml:space="preserve"> García Lobo, madre, y </w:t>
      </w:r>
      <w:proofErr w:type="spellStart"/>
      <w:r w:rsidRPr="003044B3">
        <w:rPr>
          <w:rFonts w:cstheme="minorHAnsi"/>
          <w:sz w:val="24"/>
          <w:szCs w:val="24"/>
          <w:lang w:eastAsia="es-MX"/>
        </w:rPr>
        <w:t>Marja</w:t>
      </w:r>
      <w:proofErr w:type="spellEnd"/>
      <w:r w:rsidRPr="003044B3">
        <w:rPr>
          <w:rFonts w:cstheme="minorHAnsi"/>
          <w:sz w:val="24"/>
          <w:szCs w:val="24"/>
          <w:lang w:eastAsia="es-MX"/>
        </w:rPr>
        <w:t xml:space="preserve"> Ibeth Castro García, Pablo Servellón García y Héctor Vicente Castro García, hermanos; de los familiares de Rony Alexis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Vásquez, Manases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Núñez, padre, Hilda </w:t>
      </w:r>
      <w:proofErr w:type="spellStart"/>
      <w:r w:rsidRPr="003044B3">
        <w:rPr>
          <w:rFonts w:cstheme="minorHAnsi"/>
          <w:sz w:val="24"/>
          <w:szCs w:val="24"/>
          <w:lang w:eastAsia="es-MX"/>
        </w:rPr>
        <w:t>Estebana</w:t>
      </w:r>
      <w:proofErr w:type="spellEnd"/>
      <w:r w:rsidRPr="003044B3">
        <w:rPr>
          <w:rFonts w:cstheme="minorHAnsi"/>
          <w:sz w:val="24"/>
          <w:szCs w:val="24"/>
          <w:lang w:eastAsia="es-MX"/>
        </w:rPr>
        <w:t xml:space="preserve"> Hernández López, madre, Zara </w:t>
      </w:r>
      <w:proofErr w:type="spellStart"/>
      <w:r w:rsidRPr="003044B3">
        <w:rPr>
          <w:rFonts w:cstheme="minorHAnsi"/>
          <w:sz w:val="24"/>
          <w:szCs w:val="24"/>
          <w:lang w:eastAsia="es-MX"/>
        </w:rPr>
        <w:t>Beatris</w:t>
      </w:r>
      <w:proofErr w:type="spellEnd"/>
      <w:r w:rsidRPr="003044B3">
        <w:rPr>
          <w:rFonts w:cstheme="minorHAnsi"/>
          <w:sz w:val="24"/>
          <w:szCs w:val="24"/>
          <w:lang w:eastAsia="es-MX"/>
        </w:rPr>
        <w:t xml:space="preserve"> Bustillo Rivera, hija, Ana Luisa Vargas Soto, compañera de hogar, y Juan Carlos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Hernández, </w:t>
      </w:r>
      <w:proofErr w:type="spellStart"/>
      <w:r w:rsidRPr="003044B3">
        <w:rPr>
          <w:rFonts w:cstheme="minorHAnsi"/>
          <w:sz w:val="24"/>
          <w:szCs w:val="24"/>
          <w:lang w:eastAsia="es-MX"/>
        </w:rPr>
        <w:t>Manaces</w:t>
      </w:r>
      <w:proofErr w:type="spellEnd"/>
      <w:r w:rsidRPr="003044B3">
        <w:rPr>
          <w:rFonts w:cstheme="minorHAnsi"/>
          <w:sz w:val="24"/>
          <w:szCs w:val="24"/>
          <w:lang w:eastAsia="es-MX"/>
        </w:rPr>
        <w:t xml:space="preserve"> Betancourt Aguilar, Emma Aracely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Aguilar, </w:t>
      </w:r>
      <w:proofErr w:type="spellStart"/>
      <w:r w:rsidRPr="003044B3">
        <w:rPr>
          <w:rFonts w:cstheme="minorHAnsi"/>
          <w:sz w:val="24"/>
          <w:szCs w:val="24"/>
          <w:lang w:eastAsia="es-MX"/>
        </w:rPr>
        <w:t>Enma</w:t>
      </w:r>
      <w:proofErr w:type="spellEnd"/>
      <w:r w:rsidRPr="003044B3">
        <w:rPr>
          <w:rFonts w:cstheme="minorHAnsi"/>
          <w:sz w:val="24"/>
          <w:szCs w:val="24"/>
          <w:lang w:eastAsia="es-MX"/>
        </w:rPr>
        <w:t xml:space="preserve"> Aracely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Abarca, y Lilian María Betancourt Álvarez, hermanos; de los familiares de Orlando Álvarez Ríos, Antonia Ríos, madre, y Dilcia Álvarez Ríos, hermana, y de los familiares de Diomedes Obed García Sánchez, Diomedes Tito García Casildo, padre, y Esther Patricia García Sánchez, Jorge Moisés García Sánchez y Fidelia Sarahí García Sánchez, hermanos.</w:t>
      </w:r>
    </w:p>
    <w:p w14:paraId="1A989D79" w14:textId="77777777" w:rsidR="00991189" w:rsidRPr="003044B3" w:rsidRDefault="00991189" w:rsidP="00991189">
      <w:pPr>
        <w:spacing w:after="0" w:line="240" w:lineRule="auto"/>
        <w:jc w:val="both"/>
        <w:rPr>
          <w:rFonts w:cstheme="minorHAnsi"/>
          <w:sz w:val="24"/>
          <w:szCs w:val="24"/>
          <w:lang w:eastAsia="es-MX"/>
        </w:rPr>
      </w:pPr>
    </w:p>
    <w:p w14:paraId="6BDDDD3B" w14:textId="77777777" w:rsidR="00991189" w:rsidRPr="003044B3" w:rsidRDefault="00991189" w:rsidP="00991189">
      <w:pPr>
        <w:spacing w:after="0" w:line="240" w:lineRule="auto"/>
        <w:jc w:val="both"/>
        <w:rPr>
          <w:rFonts w:cstheme="minorHAnsi"/>
          <w:sz w:val="24"/>
          <w:szCs w:val="24"/>
          <w:lang w:eastAsia="es-MX"/>
        </w:rPr>
      </w:pPr>
      <w:r w:rsidRPr="003044B3">
        <w:rPr>
          <w:rFonts w:cstheme="minorHAnsi"/>
          <w:sz w:val="24"/>
          <w:szCs w:val="24"/>
          <w:lang w:eastAsia="es-MX"/>
        </w:rPr>
        <w:t xml:space="preserve">157. En lo que se refiere a los familiares de Diomedes Obed García Sánchez cabe observar que no fueron identificados en la demanda presentada por la Comisión. Los padres, señores Diomedes Tito García Casildo y Andrea Sánchez Loredo, fueron incluidos en la lista de familiares presentada por los representantes en su escrito de solicitudes y argumentos. Los días 14 de junio y 24 de julio de 2006 los representantes indicaron al Tribunal que “tras 10 años de ardua búsqueda” habían logrado localizar a los siguientes familiares de Diomedes: Diomedes Tito García, padre, Ester Patricia García Sánchez, Jorge Moisés García Sánchez y </w:t>
      </w:r>
      <w:r w:rsidRPr="003044B3">
        <w:rPr>
          <w:rFonts w:cstheme="minorHAnsi"/>
          <w:sz w:val="24"/>
          <w:szCs w:val="24"/>
          <w:lang w:eastAsia="es-MX"/>
        </w:rPr>
        <w:lastRenderedPageBreak/>
        <w:t>Fidelia Sarahí García Sánchez, hermanos, y Lidia Sánchez Loredo y Betania García Casildo, tías. Además, informaron que la señora Andrea Sánchez Loredo, madre de la víctima, había fallecido en el año 1985. Adjuntaron las certificaciones del acta de nacimiento de los padres y de los hermanos, y la certificación del acta de defunción de la madre de la víctima. Con anterioridad a ese hallazgo y durante el trámite del caso ante el sistema interamericano, tanto la Comisión como los representantes habían manifestado que no había sido posible “dar con el paradero [de los padres de Diomedes,] toda vez que el joven no tenía relación alguna con ellos y al momento de su ejecución residía en una habitación de una casa de asistencia a menores en situación de calle […]”.</w:t>
      </w:r>
    </w:p>
    <w:p w14:paraId="397D1C11" w14:textId="77777777" w:rsidR="00991189" w:rsidRPr="003044B3" w:rsidRDefault="00991189" w:rsidP="00991189">
      <w:pPr>
        <w:spacing w:after="0" w:line="240" w:lineRule="auto"/>
        <w:jc w:val="both"/>
        <w:rPr>
          <w:rFonts w:cstheme="minorHAnsi"/>
          <w:sz w:val="24"/>
          <w:szCs w:val="24"/>
          <w:lang w:eastAsia="es-MX"/>
        </w:rPr>
      </w:pPr>
    </w:p>
    <w:p w14:paraId="0FAA86EE" w14:textId="77777777" w:rsidR="00991189" w:rsidRPr="003044B3" w:rsidRDefault="00991189" w:rsidP="00991189">
      <w:pPr>
        <w:spacing w:after="0" w:line="240" w:lineRule="auto"/>
        <w:jc w:val="both"/>
        <w:rPr>
          <w:rFonts w:cstheme="minorHAnsi"/>
          <w:sz w:val="24"/>
          <w:szCs w:val="24"/>
          <w:lang w:eastAsia="es-MX"/>
        </w:rPr>
      </w:pPr>
      <w:r w:rsidRPr="003044B3">
        <w:rPr>
          <w:rFonts w:cstheme="minorHAnsi"/>
          <w:sz w:val="24"/>
          <w:szCs w:val="24"/>
          <w:lang w:eastAsia="es-MX"/>
        </w:rPr>
        <w:t>158. La jurisprudencia de la Corte Interamericana, en cuanto a la determinación de quienes son víctimas, ha sido amplia y ajustada a las circunstancias del caso. Las presuntas víctimas deben estar señaladas en la demanda y en el informe de fondo de la Comisión emitido según el artículo 50 de la Convención. Por ende, de conformidad con el artículo 33.1 del Reglamento de la Corte, corresponde a la Comisión, y no a este Tribunal, identificar con precisión, y en la debida oportunidad procesal, a las presuntas víctimas en un caso ante la Corte. No obstante, en su defecto, en algunas ocasiones la Corte ha considerado como presuntas víctimas a personas que no fueron alegadas como tales en la demanda, siempre y cuando se haya respetado el derecho de defensa de las partes y de que las presuntas víctimas guarden relación con los hechos descritos en la demanda y con la prueba aportada a la Corte.</w:t>
      </w:r>
    </w:p>
    <w:p w14:paraId="1C070845" w14:textId="77777777" w:rsidR="00991189" w:rsidRPr="003044B3" w:rsidRDefault="00991189" w:rsidP="00991189">
      <w:pPr>
        <w:spacing w:after="0" w:line="240" w:lineRule="auto"/>
        <w:jc w:val="both"/>
        <w:rPr>
          <w:rFonts w:cstheme="minorHAnsi"/>
          <w:sz w:val="24"/>
          <w:szCs w:val="24"/>
          <w:lang w:eastAsia="es-MX"/>
        </w:rPr>
      </w:pPr>
    </w:p>
    <w:p w14:paraId="54D4EE32" w14:textId="77777777" w:rsidR="00991189" w:rsidRPr="003044B3" w:rsidRDefault="00991189" w:rsidP="00991189">
      <w:pPr>
        <w:spacing w:after="0" w:line="240" w:lineRule="auto"/>
        <w:jc w:val="both"/>
        <w:rPr>
          <w:rFonts w:cstheme="minorHAnsi"/>
          <w:sz w:val="24"/>
          <w:szCs w:val="24"/>
          <w:lang w:eastAsia="es-MX"/>
        </w:rPr>
      </w:pPr>
      <w:r w:rsidRPr="003044B3">
        <w:rPr>
          <w:rFonts w:cstheme="minorHAnsi"/>
          <w:sz w:val="24"/>
          <w:szCs w:val="24"/>
          <w:lang w:eastAsia="es-MX"/>
        </w:rPr>
        <w:t>159. Al respecto, dado que el padre de Diomedes Obed García Sánchez había sido incluido en el escrito de solicitudes y argumentos, y que posteriormente los representantes acreditaron la existencia de Ester Patricia García Sánchez, Jorge Moisés García Sánchez y Fidelia Sarahí García Sánchez y de sus respectivos vínculos o parentesco con Diomedes Obed García Sánchez, esta Corte, en consideración de que su falta de inclusión se debió a la dificultad para dar con su paradero, y que su ubicación solo fue posible con posterioridad a la presentación de los escritos de demanda y de solicitudes y argumentos, considera a dichos familiares como presuntas víctimas y encontró la violación de los artículos 8 y 25 de la Convención en su perjuicio (…). Se otorgó el derecho de defensa de las partes al habérseles trasladado esta información aportada por los representantes y no se recibió observación alguna al respecto.</w:t>
      </w:r>
    </w:p>
    <w:p w14:paraId="07C2D7AC" w14:textId="77777777" w:rsidR="00991189" w:rsidRPr="003044B3" w:rsidRDefault="00991189" w:rsidP="00991189">
      <w:pPr>
        <w:spacing w:after="0" w:line="240" w:lineRule="auto"/>
        <w:jc w:val="both"/>
        <w:rPr>
          <w:rFonts w:cstheme="minorHAnsi"/>
          <w:sz w:val="24"/>
          <w:szCs w:val="24"/>
          <w:lang w:eastAsia="es-MX"/>
        </w:rPr>
      </w:pPr>
    </w:p>
    <w:p w14:paraId="58D89D5A" w14:textId="77777777" w:rsidR="00991189" w:rsidRPr="003044B3" w:rsidRDefault="00991189" w:rsidP="00991189">
      <w:pPr>
        <w:spacing w:after="0" w:line="240" w:lineRule="auto"/>
        <w:jc w:val="both"/>
        <w:rPr>
          <w:rFonts w:cstheme="minorHAnsi"/>
          <w:sz w:val="24"/>
          <w:szCs w:val="24"/>
          <w:lang w:eastAsia="es-MX"/>
        </w:rPr>
      </w:pPr>
    </w:p>
    <w:p w14:paraId="0919648F" w14:textId="77777777" w:rsidR="00991189" w:rsidRDefault="00991189" w:rsidP="00991189">
      <w:pPr>
        <w:spacing w:after="0" w:line="240" w:lineRule="auto"/>
        <w:jc w:val="both"/>
        <w:rPr>
          <w:rFonts w:cstheme="minorHAnsi"/>
          <w:b/>
          <w:bCs/>
          <w:sz w:val="24"/>
          <w:szCs w:val="24"/>
          <w:lang w:eastAsia="es-MX"/>
        </w:rPr>
      </w:pPr>
      <w:r w:rsidRPr="00BD04E4">
        <w:rPr>
          <w:rFonts w:cstheme="minorHAnsi"/>
          <w:b/>
          <w:bCs/>
          <w:sz w:val="24"/>
          <w:szCs w:val="24"/>
          <w:lang w:eastAsia="es-MX"/>
        </w:rPr>
        <w:t>Reparaciones</w:t>
      </w:r>
    </w:p>
    <w:p w14:paraId="2E3373C7" w14:textId="77777777" w:rsidR="00991189" w:rsidRPr="00BD04E4" w:rsidRDefault="00991189" w:rsidP="00991189">
      <w:pPr>
        <w:spacing w:after="0" w:line="240" w:lineRule="auto"/>
        <w:jc w:val="both"/>
        <w:rPr>
          <w:rFonts w:cstheme="minorHAnsi"/>
          <w:b/>
          <w:bCs/>
          <w:sz w:val="24"/>
          <w:szCs w:val="24"/>
          <w:lang w:eastAsia="es-MX"/>
        </w:rPr>
      </w:pPr>
    </w:p>
    <w:p w14:paraId="06ED6B1E" w14:textId="77777777" w:rsidR="00991189" w:rsidRPr="003044B3" w:rsidRDefault="00991189" w:rsidP="00991189">
      <w:pPr>
        <w:spacing w:after="0" w:line="240" w:lineRule="auto"/>
        <w:jc w:val="both"/>
        <w:rPr>
          <w:rFonts w:cstheme="minorHAnsi"/>
          <w:sz w:val="24"/>
          <w:szCs w:val="24"/>
          <w:lang w:eastAsia="es-MX"/>
        </w:rPr>
      </w:pPr>
      <w:r w:rsidRPr="003044B3">
        <w:rPr>
          <w:rFonts w:cstheme="minorHAnsi"/>
          <w:sz w:val="24"/>
          <w:szCs w:val="24"/>
          <w:lang w:eastAsia="es-MX"/>
        </w:rPr>
        <w:t xml:space="preserve">La Corte dispone que, </w:t>
      </w:r>
    </w:p>
    <w:p w14:paraId="5D331EDC" w14:textId="77777777" w:rsidR="00991189" w:rsidRPr="003044B3" w:rsidRDefault="00991189" w:rsidP="00991189">
      <w:pPr>
        <w:spacing w:after="0" w:line="240" w:lineRule="auto"/>
        <w:jc w:val="both"/>
        <w:rPr>
          <w:rFonts w:cstheme="minorHAnsi"/>
          <w:sz w:val="24"/>
          <w:szCs w:val="24"/>
          <w:lang w:eastAsia="es-MX"/>
        </w:rPr>
      </w:pPr>
    </w:p>
    <w:p w14:paraId="0D33CA46" w14:textId="77777777" w:rsidR="00991189" w:rsidRPr="003044B3" w:rsidRDefault="00991189" w:rsidP="00991189">
      <w:pPr>
        <w:spacing w:after="0" w:line="240" w:lineRule="auto"/>
        <w:jc w:val="both"/>
        <w:rPr>
          <w:rFonts w:cstheme="minorHAnsi"/>
          <w:sz w:val="24"/>
          <w:szCs w:val="24"/>
          <w:lang w:eastAsia="es-MX"/>
        </w:rPr>
      </w:pPr>
      <w:r w:rsidRPr="003044B3">
        <w:rPr>
          <w:rFonts w:cstheme="minorHAnsi"/>
          <w:sz w:val="24"/>
          <w:szCs w:val="24"/>
          <w:lang w:eastAsia="es-MX"/>
        </w:rPr>
        <w:t xml:space="preserve"> - Esta Sentencia constituye per se una forma de reparación. </w:t>
      </w:r>
    </w:p>
    <w:p w14:paraId="16E38592" w14:textId="77777777" w:rsidR="00991189" w:rsidRPr="003044B3" w:rsidRDefault="00991189" w:rsidP="00991189">
      <w:pPr>
        <w:spacing w:after="0" w:line="240" w:lineRule="auto"/>
        <w:jc w:val="both"/>
        <w:rPr>
          <w:rFonts w:cstheme="minorHAnsi"/>
          <w:sz w:val="24"/>
          <w:szCs w:val="24"/>
          <w:lang w:eastAsia="es-MX"/>
        </w:rPr>
      </w:pPr>
    </w:p>
    <w:p w14:paraId="3187F6F9" w14:textId="77777777" w:rsidR="00991189" w:rsidRPr="003044B3" w:rsidRDefault="00991189" w:rsidP="00991189">
      <w:pPr>
        <w:spacing w:after="0" w:line="240" w:lineRule="auto"/>
        <w:jc w:val="both"/>
        <w:rPr>
          <w:rFonts w:cstheme="minorHAnsi"/>
          <w:sz w:val="24"/>
          <w:szCs w:val="24"/>
          <w:lang w:eastAsia="es-MX"/>
        </w:rPr>
      </w:pPr>
      <w:r w:rsidRPr="003044B3">
        <w:rPr>
          <w:rFonts w:cstheme="minorHAnsi"/>
          <w:sz w:val="24"/>
          <w:szCs w:val="24"/>
          <w:lang w:eastAsia="es-MX"/>
        </w:rPr>
        <w:t xml:space="preserve"> - El Estado debe emprender con seriedad, en un plazo razonable, todas las acciones necesarias para identificar, juzgar, y en su caso, sancionar a todos los autores materiales e intelectuales de las violaciones cometidas en perjuicio de Marco Antonio Servellón García, </w:t>
      </w:r>
      <w:r w:rsidRPr="003044B3">
        <w:rPr>
          <w:rFonts w:cstheme="minorHAnsi"/>
          <w:sz w:val="24"/>
          <w:szCs w:val="24"/>
          <w:lang w:eastAsia="es-MX"/>
        </w:rPr>
        <w:lastRenderedPageBreak/>
        <w:t xml:space="preserve">Rony Alexis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Vásquez, Orlando Álvarez Ríos y Diomedes Obed García Sánchez, para los efectos penales y cualesquiera otros que pudieran resultar de la investigación de los hechos.  Para ello, el Estado debe remover, en un plazo razonable, todos los obstáculos y mecanismos de hecho y derecho que mantienen la impunidad en el presente caso. </w:t>
      </w:r>
    </w:p>
    <w:p w14:paraId="481A8C7E" w14:textId="77777777" w:rsidR="00991189" w:rsidRPr="003044B3" w:rsidRDefault="00991189" w:rsidP="00991189">
      <w:pPr>
        <w:spacing w:after="0" w:line="240" w:lineRule="auto"/>
        <w:jc w:val="both"/>
        <w:rPr>
          <w:rFonts w:cstheme="minorHAnsi"/>
          <w:sz w:val="24"/>
          <w:szCs w:val="24"/>
          <w:lang w:eastAsia="es-MX"/>
        </w:rPr>
      </w:pPr>
    </w:p>
    <w:p w14:paraId="3D8C960A" w14:textId="77777777" w:rsidR="00991189" w:rsidRPr="003044B3" w:rsidRDefault="00991189" w:rsidP="00991189">
      <w:pPr>
        <w:spacing w:after="0" w:line="240" w:lineRule="auto"/>
        <w:jc w:val="both"/>
        <w:rPr>
          <w:rFonts w:cstheme="minorHAnsi"/>
          <w:sz w:val="24"/>
          <w:szCs w:val="24"/>
          <w:lang w:eastAsia="es-MX"/>
        </w:rPr>
      </w:pPr>
      <w:r w:rsidRPr="003044B3">
        <w:rPr>
          <w:rFonts w:cstheme="minorHAnsi"/>
          <w:sz w:val="24"/>
          <w:szCs w:val="24"/>
          <w:lang w:eastAsia="es-MX"/>
        </w:rPr>
        <w:t xml:space="preserve"> - El Estado debe publicar, en el plazo de seis meses, en el Diario Oficial y en otro diario de amplia circulación nacional, por una sola vez, el capítulo relativo a los hechos probados de esta Sentencia, sin las notas al pie de página correspondientes, y la parte resolutiva de la misma. </w:t>
      </w:r>
    </w:p>
    <w:p w14:paraId="5564D66C" w14:textId="77777777" w:rsidR="00991189" w:rsidRPr="003044B3" w:rsidRDefault="00991189" w:rsidP="00991189">
      <w:pPr>
        <w:spacing w:after="0" w:line="240" w:lineRule="auto"/>
        <w:jc w:val="both"/>
        <w:rPr>
          <w:rFonts w:cstheme="minorHAnsi"/>
          <w:sz w:val="24"/>
          <w:szCs w:val="24"/>
          <w:lang w:eastAsia="es-MX"/>
        </w:rPr>
      </w:pPr>
    </w:p>
    <w:p w14:paraId="1882D071" w14:textId="77777777" w:rsidR="00991189" w:rsidRPr="003044B3" w:rsidRDefault="00991189" w:rsidP="00991189">
      <w:pPr>
        <w:spacing w:after="0" w:line="240" w:lineRule="auto"/>
        <w:jc w:val="both"/>
        <w:rPr>
          <w:rFonts w:cstheme="minorHAnsi"/>
          <w:sz w:val="24"/>
          <w:szCs w:val="24"/>
          <w:lang w:eastAsia="es-MX"/>
        </w:rPr>
      </w:pPr>
      <w:r w:rsidRPr="003044B3">
        <w:rPr>
          <w:rFonts w:cstheme="minorHAnsi"/>
          <w:sz w:val="24"/>
          <w:szCs w:val="24"/>
          <w:lang w:eastAsia="es-MX"/>
        </w:rPr>
        <w:t xml:space="preserve"> - Estado debe realizar, en un plazo de seis meses, un acto público de reconocimiento de su responsabilidad internacional. </w:t>
      </w:r>
    </w:p>
    <w:p w14:paraId="6D834568" w14:textId="77777777" w:rsidR="00991189" w:rsidRPr="003044B3" w:rsidRDefault="00991189" w:rsidP="00991189">
      <w:pPr>
        <w:spacing w:after="0" w:line="240" w:lineRule="auto"/>
        <w:jc w:val="both"/>
        <w:rPr>
          <w:rFonts w:cstheme="minorHAnsi"/>
          <w:sz w:val="24"/>
          <w:szCs w:val="24"/>
          <w:lang w:eastAsia="es-MX"/>
        </w:rPr>
      </w:pPr>
    </w:p>
    <w:p w14:paraId="600A9620" w14:textId="77777777" w:rsidR="00991189" w:rsidRPr="003044B3" w:rsidRDefault="00991189" w:rsidP="00991189">
      <w:pPr>
        <w:spacing w:after="0" w:line="240" w:lineRule="auto"/>
        <w:jc w:val="both"/>
        <w:rPr>
          <w:rFonts w:cstheme="minorHAnsi"/>
          <w:sz w:val="24"/>
          <w:szCs w:val="24"/>
          <w:lang w:eastAsia="es-MX"/>
        </w:rPr>
      </w:pPr>
      <w:r w:rsidRPr="003044B3">
        <w:rPr>
          <w:rFonts w:cstheme="minorHAnsi"/>
          <w:sz w:val="24"/>
          <w:szCs w:val="24"/>
          <w:lang w:eastAsia="es-MX"/>
        </w:rPr>
        <w:t xml:space="preserve"> - El Estado debe nombrar, dentro del plazo de un año, una calle o una plaza, en la ciudad de Tegucigalpa, en memoria de Marco Antonio Servellón García, Rony Alexis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Vásquez, Diomedes Obed García Sánchez y Orlando Álvarez Ríos.  En dicha calle o plaza el Estado deberá fijar una placa con los nombres de las referidas cuatro víctimas.  </w:t>
      </w:r>
    </w:p>
    <w:p w14:paraId="112E2078" w14:textId="77777777" w:rsidR="00991189" w:rsidRPr="003044B3" w:rsidRDefault="00991189" w:rsidP="00991189">
      <w:pPr>
        <w:spacing w:after="0" w:line="240" w:lineRule="auto"/>
        <w:jc w:val="both"/>
        <w:rPr>
          <w:rFonts w:cstheme="minorHAnsi"/>
          <w:sz w:val="24"/>
          <w:szCs w:val="24"/>
          <w:lang w:eastAsia="es-MX"/>
        </w:rPr>
      </w:pPr>
    </w:p>
    <w:p w14:paraId="31A06314" w14:textId="77777777" w:rsidR="00991189" w:rsidRPr="003044B3" w:rsidRDefault="00991189" w:rsidP="00991189">
      <w:pPr>
        <w:spacing w:after="0" w:line="240" w:lineRule="auto"/>
        <w:jc w:val="both"/>
        <w:rPr>
          <w:rFonts w:cstheme="minorHAnsi"/>
          <w:sz w:val="24"/>
          <w:szCs w:val="24"/>
          <w:lang w:eastAsia="es-MX"/>
        </w:rPr>
      </w:pPr>
      <w:r w:rsidRPr="003044B3">
        <w:rPr>
          <w:rFonts w:cstheme="minorHAnsi"/>
          <w:sz w:val="24"/>
          <w:szCs w:val="24"/>
          <w:lang w:eastAsia="es-MX"/>
        </w:rPr>
        <w:t xml:space="preserve"> - El Estado debe establecer, en un plazo razonable, un programa de formación y capacitación para el personal policial, judicial, del Ministerio Público, y penitenciario sobre la especial protección que debe ser prestada por el Estado a los niños y jóvenes, el principio de igualdad ante la ley y no discriminación y los principios y normas de protección de los derechos humanos, relacionados con la aplicación de los estándares internacionales sobre la detención de personas, respetos de sus derechos y garantías judiciales, el trato que deben recibir, sus condiciones de detención, tratamiento y control médico, el derecho a contar con un abogado, a recibir visitas y a que los menores y adultos, así como lo los procesados y condenados se alojen en instalaciones diferentes.  </w:t>
      </w:r>
    </w:p>
    <w:p w14:paraId="7105B4AE" w14:textId="77777777" w:rsidR="00991189" w:rsidRPr="003044B3" w:rsidRDefault="00991189" w:rsidP="00991189">
      <w:pPr>
        <w:spacing w:after="0" w:line="240" w:lineRule="auto"/>
        <w:jc w:val="both"/>
        <w:rPr>
          <w:rFonts w:cstheme="minorHAnsi"/>
          <w:sz w:val="24"/>
          <w:szCs w:val="24"/>
          <w:lang w:eastAsia="es-MX"/>
        </w:rPr>
      </w:pPr>
    </w:p>
    <w:p w14:paraId="02F15CD1" w14:textId="77777777" w:rsidR="00991189" w:rsidRPr="003044B3" w:rsidRDefault="00991189" w:rsidP="00991189">
      <w:pPr>
        <w:spacing w:after="0" w:line="240" w:lineRule="auto"/>
        <w:jc w:val="both"/>
        <w:rPr>
          <w:rFonts w:cstheme="minorHAnsi"/>
          <w:sz w:val="24"/>
          <w:szCs w:val="24"/>
          <w:lang w:eastAsia="es-MX"/>
        </w:rPr>
      </w:pPr>
      <w:r w:rsidRPr="003044B3">
        <w:rPr>
          <w:rFonts w:cstheme="minorHAnsi"/>
          <w:sz w:val="24"/>
          <w:szCs w:val="24"/>
          <w:lang w:eastAsia="es-MX"/>
        </w:rPr>
        <w:t xml:space="preserve"> - El Estado deberá realizar, en un plazo razonable, una campaña con la finalidad de sensibilizar a la sociedad hondureña respecto de la importancia de la protección a los niños y jóvenes, informarla sobre los deberes específicos para su protección que corresponden a la familia, a la sociedad y al Estado y hacer ver a la población que los niños y jóvenes en situación de riesgo social no están identificados con la delincuencia.  Asimismo, el Estado deberá emitir, en el plazo de un año, un sello postal alusivo a la protección debida por el Estado y la sociedad a los niños y jóvenes en situación de riesgo, para evitar que estos se tornen víctimas de violencia.  </w:t>
      </w:r>
    </w:p>
    <w:p w14:paraId="00827D18" w14:textId="77777777" w:rsidR="00991189" w:rsidRPr="003044B3" w:rsidRDefault="00991189" w:rsidP="00991189">
      <w:pPr>
        <w:spacing w:after="0" w:line="240" w:lineRule="auto"/>
        <w:jc w:val="both"/>
        <w:rPr>
          <w:rFonts w:cstheme="minorHAnsi"/>
          <w:sz w:val="24"/>
          <w:szCs w:val="24"/>
          <w:lang w:eastAsia="es-MX"/>
        </w:rPr>
      </w:pPr>
    </w:p>
    <w:p w14:paraId="2905B9EB" w14:textId="77777777" w:rsidR="00991189" w:rsidRPr="003044B3" w:rsidRDefault="00991189" w:rsidP="00991189">
      <w:pPr>
        <w:spacing w:after="0" w:line="240" w:lineRule="auto"/>
        <w:jc w:val="both"/>
        <w:rPr>
          <w:rFonts w:cstheme="minorHAnsi"/>
          <w:sz w:val="24"/>
          <w:szCs w:val="24"/>
          <w:lang w:eastAsia="es-MX"/>
        </w:rPr>
      </w:pPr>
      <w:r w:rsidRPr="003044B3">
        <w:rPr>
          <w:rFonts w:cstheme="minorHAnsi"/>
          <w:sz w:val="24"/>
          <w:szCs w:val="24"/>
          <w:lang w:eastAsia="es-MX"/>
        </w:rPr>
        <w:t xml:space="preserve"> - El Estado deberá crear, dentro de un plazo razonable, una base de datos unificada entre todas las instituciones involucradas en la investigación, identificación y sanción de los responsables por las muertes violentas de niños y jóvenes en situación de riesgo.</w:t>
      </w:r>
    </w:p>
    <w:p w14:paraId="5BBA3FAF" w14:textId="77777777" w:rsidR="00991189" w:rsidRPr="003044B3" w:rsidRDefault="00991189" w:rsidP="00991189">
      <w:pPr>
        <w:spacing w:after="0" w:line="240" w:lineRule="auto"/>
        <w:jc w:val="both"/>
        <w:rPr>
          <w:rFonts w:cstheme="minorHAnsi"/>
          <w:sz w:val="24"/>
          <w:szCs w:val="24"/>
          <w:lang w:eastAsia="es-MX"/>
        </w:rPr>
      </w:pPr>
    </w:p>
    <w:p w14:paraId="132A0909" w14:textId="77777777" w:rsidR="00991189" w:rsidRPr="003044B3" w:rsidRDefault="00991189" w:rsidP="00991189">
      <w:pPr>
        <w:spacing w:after="0" w:line="240" w:lineRule="auto"/>
        <w:jc w:val="both"/>
        <w:rPr>
          <w:rFonts w:cstheme="minorHAnsi"/>
          <w:sz w:val="24"/>
          <w:szCs w:val="24"/>
          <w:lang w:eastAsia="es-MX"/>
        </w:rPr>
      </w:pPr>
      <w:r w:rsidRPr="003044B3">
        <w:rPr>
          <w:rFonts w:cstheme="minorHAnsi"/>
          <w:sz w:val="24"/>
          <w:szCs w:val="24"/>
          <w:lang w:eastAsia="es-MX"/>
        </w:rPr>
        <w:t xml:space="preserve"> - El Estado debe pagar a los familiares de Marco Antonio Servellón García, Rony Alexis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Vásquez, Diomedes Obed García Sánchez y Orlando Álvarez Ríos, en su condición de derechohabientes, en el plazo de un año, por concepto de las indemnizaciones </w:t>
      </w:r>
      <w:r w:rsidRPr="003044B3">
        <w:rPr>
          <w:rFonts w:cstheme="minorHAnsi"/>
          <w:sz w:val="24"/>
          <w:szCs w:val="24"/>
          <w:lang w:eastAsia="es-MX"/>
        </w:rPr>
        <w:lastRenderedPageBreak/>
        <w:t xml:space="preserve">por daños material e inmaterial, las cantidades fijadas en los párrafos 176 y 184.a y 184.b de la presente Sentencia. </w:t>
      </w:r>
    </w:p>
    <w:p w14:paraId="4EA96201" w14:textId="77777777" w:rsidR="00991189" w:rsidRPr="003044B3" w:rsidRDefault="00991189" w:rsidP="00991189">
      <w:pPr>
        <w:spacing w:after="0" w:line="240" w:lineRule="auto"/>
        <w:jc w:val="both"/>
        <w:rPr>
          <w:rFonts w:cstheme="minorHAnsi"/>
          <w:sz w:val="24"/>
          <w:szCs w:val="24"/>
          <w:lang w:eastAsia="es-MX"/>
        </w:rPr>
      </w:pPr>
    </w:p>
    <w:p w14:paraId="5321A1FE" w14:textId="77777777" w:rsidR="00991189" w:rsidRPr="003044B3" w:rsidRDefault="00991189" w:rsidP="00991189">
      <w:pPr>
        <w:spacing w:after="0" w:line="240" w:lineRule="auto"/>
        <w:jc w:val="both"/>
        <w:rPr>
          <w:rFonts w:cstheme="minorHAnsi"/>
          <w:sz w:val="24"/>
          <w:szCs w:val="24"/>
          <w:lang w:eastAsia="es-MX"/>
        </w:rPr>
      </w:pPr>
      <w:r w:rsidRPr="003044B3">
        <w:rPr>
          <w:rFonts w:cstheme="minorHAnsi"/>
          <w:sz w:val="24"/>
          <w:szCs w:val="24"/>
          <w:lang w:eastAsia="es-MX"/>
        </w:rPr>
        <w:t xml:space="preserve"> - El Estado debe pagar a </w:t>
      </w:r>
      <w:proofErr w:type="spellStart"/>
      <w:r w:rsidRPr="003044B3">
        <w:rPr>
          <w:rFonts w:cstheme="minorHAnsi"/>
          <w:sz w:val="24"/>
          <w:szCs w:val="24"/>
          <w:lang w:eastAsia="es-MX"/>
        </w:rPr>
        <w:t>Bricelda</w:t>
      </w:r>
      <w:proofErr w:type="spellEnd"/>
      <w:r w:rsidRPr="003044B3">
        <w:rPr>
          <w:rFonts w:cstheme="minorHAnsi"/>
          <w:sz w:val="24"/>
          <w:szCs w:val="24"/>
          <w:lang w:eastAsia="es-MX"/>
        </w:rPr>
        <w:t xml:space="preserve"> </w:t>
      </w:r>
      <w:proofErr w:type="spellStart"/>
      <w:r w:rsidRPr="003044B3">
        <w:rPr>
          <w:rFonts w:cstheme="minorHAnsi"/>
          <w:sz w:val="24"/>
          <w:szCs w:val="24"/>
          <w:lang w:eastAsia="es-MX"/>
        </w:rPr>
        <w:t>Aide</w:t>
      </w:r>
      <w:proofErr w:type="spellEnd"/>
      <w:r w:rsidRPr="003044B3">
        <w:rPr>
          <w:rFonts w:cstheme="minorHAnsi"/>
          <w:sz w:val="24"/>
          <w:szCs w:val="24"/>
          <w:lang w:eastAsia="es-MX"/>
        </w:rPr>
        <w:t xml:space="preserve"> García Lobo, Hilda </w:t>
      </w:r>
      <w:proofErr w:type="spellStart"/>
      <w:r w:rsidRPr="003044B3">
        <w:rPr>
          <w:rFonts w:cstheme="minorHAnsi"/>
          <w:sz w:val="24"/>
          <w:szCs w:val="24"/>
          <w:lang w:eastAsia="es-MX"/>
        </w:rPr>
        <w:t>Estebana</w:t>
      </w:r>
      <w:proofErr w:type="spellEnd"/>
      <w:r w:rsidRPr="003044B3">
        <w:rPr>
          <w:rFonts w:cstheme="minorHAnsi"/>
          <w:sz w:val="24"/>
          <w:szCs w:val="24"/>
          <w:lang w:eastAsia="es-MX"/>
        </w:rPr>
        <w:t xml:space="preserve"> Hernández López y Dilcia Álvarez Ríos, en el plazo de un año, por concepto de la indemnización por daño material, la cantidad fijada en párrafo 177 de la presente Sentencia.</w:t>
      </w:r>
    </w:p>
    <w:p w14:paraId="4C50811D" w14:textId="77777777" w:rsidR="00991189" w:rsidRPr="003044B3" w:rsidRDefault="00991189" w:rsidP="00991189">
      <w:pPr>
        <w:spacing w:after="0" w:line="240" w:lineRule="auto"/>
        <w:jc w:val="both"/>
        <w:rPr>
          <w:rFonts w:cstheme="minorHAnsi"/>
          <w:sz w:val="24"/>
          <w:szCs w:val="24"/>
          <w:lang w:eastAsia="es-MX"/>
        </w:rPr>
      </w:pPr>
      <w:r w:rsidRPr="003044B3">
        <w:rPr>
          <w:rFonts w:cstheme="minorHAnsi"/>
          <w:sz w:val="24"/>
          <w:szCs w:val="24"/>
          <w:lang w:eastAsia="es-MX"/>
        </w:rPr>
        <w:t xml:space="preserve">  </w:t>
      </w:r>
    </w:p>
    <w:p w14:paraId="47760855" w14:textId="77777777" w:rsidR="00991189" w:rsidRPr="003044B3" w:rsidRDefault="00991189" w:rsidP="00991189">
      <w:pPr>
        <w:spacing w:after="0" w:line="240" w:lineRule="auto"/>
        <w:jc w:val="both"/>
        <w:rPr>
          <w:rFonts w:cstheme="minorHAnsi"/>
          <w:sz w:val="24"/>
          <w:szCs w:val="24"/>
          <w:lang w:eastAsia="es-MX"/>
        </w:rPr>
      </w:pPr>
      <w:r w:rsidRPr="003044B3">
        <w:rPr>
          <w:rFonts w:cstheme="minorHAnsi"/>
          <w:sz w:val="24"/>
          <w:szCs w:val="24"/>
          <w:lang w:eastAsia="es-MX"/>
        </w:rPr>
        <w:t xml:space="preserve"> - El Estado debe pagar a Reyes Servellón Santos, </w:t>
      </w:r>
      <w:proofErr w:type="spellStart"/>
      <w:r w:rsidRPr="003044B3">
        <w:rPr>
          <w:rFonts w:cstheme="minorHAnsi"/>
          <w:sz w:val="24"/>
          <w:szCs w:val="24"/>
          <w:lang w:eastAsia="es-MX"/>
        </w:rPr>
        <w:t>Bricelda</w:t>
      </w:r>
      <w:proofErr w:type="spellEnd"/>
      <w:r w:rsidRPr="003044B3">
        <w:rPr>
          <w:rFonts w:cstheme="minorHAnsi"/>
          <w:sz w:val="24"/>
          <w:szCs w:val="24"/>
          <w:lang w:eastAsia="es-MX"/>
        </w:rPr>
        <w:t xml:space="preserve"> </w:t>
      </w:r>
      <w:proofErr w:type="spellStart"/>
      <w:r w:rsidRPr="003044B3">
        <w:rPr>
          <w:rFonts w:cstheme="minorHAnsi"/>
          <w:sz w:val="24"/>
          <w:szCs w:val="24"/>
          <w:lang w:eastAsia="es-MX"/>
        </w:rPr>
        <w:t>Aide</w:t>
      </w:r>
      <w:proofErr w:type="spellEnd"/>
      <w:r w:rsidRPr="003044B3">
        <w:rPr>
          <w:rFonts w:cstheme="minorHAnsi"/>
          <w:sz w:val="24"/>
          <w:szCs w:val="24"/>
          <w:lang w:eastAsia="es-MX"/>
        </w:rPr>
        <w:t xml:space="preserve"> García Lobo, </w:t>
      </w:r>
      <w:proofErr w:type="spellStart"/>
      <w:r w:rsidRPr="003044B3">
        <w:rPr>
          <w:rFonts w:cstheme="minorHAnsi"/>
          <w:sz w:val="24"/>
          <w:szCs w:val="24"/>
          <w:lang w:eastAsia="es-MX"/>
        </w:rPr>
        <w:t>Marja</w:t>
      </w:r>
      <w:proofErr w:type="spellEnd"/>
      <w:r w:rsidRPr="003044B3">
        <w:rPr>
          <w:rFonts w:cstheme="minorHAnsi"/>
          <w:sz w:val="24"/>
          <w:szCs w:val="24"/>
          <w:lang w:eastAsia="es-MX"/>
        </w:rPr>
        <w:t xml:space="preserve"> Ibeth Castro García, Manases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Núñez, Hilda </w:t>
      </w:r>
      <w:proofErr w:type="spellStart"/>
      <w:r w:rsidRPr="003044B3">
        <w:rPr>
          <w:rFonts w:cstheme="minorHAnsi"/>
          <w:sz w:val="24"/>
          <w:szCs w:val="24"/>
          <w:lang w:eastAsia="es-MX"/>
        </w:rPr>
        <w:t>Estebana</w:t>
      </w:r>
      <w:proofErr w:type="spellEnd"/>
      <w:r w:rsidRPr="003044B3">
        <w:rPr>
          <w:rFonts w:cstheme="minorHAnsi"/>
          <w:sz w:val="24"/>
          <w:szCs w:val="24"/>
          <w:lang w:eastAsia="es-MX"/>
        </w:rPr>
        <w:t xml:space="preserve"> Hernández López, Zara </w:t>
      </w:r>
      <w:proofErr w:type="spellStart"/>
      <w:r w:rsidRPr="003044B3">
        <w:rPr>
          <w:rFonts w:cstheme="minorHAnsi"/>
          <w:sz w:val="24"/>
          <w:szCs w:val="24"/>
          <w:lang w:eastAsia="es-MX"/>
        </w:rPr>
        <w:t>Beatris</w:t>
      </w:r>
      <w:proofErr w:type="spellEnd"/>
      <w:r w:rsidRPr="003044B3">
        <w:rPr>
          <w:rFonts w:cstheme="minorHAnsi"/>
          <w:sz w:val="24"/>
          <w:szCs w:val="24"/>
          <w:lang w:eastAsia="es-MX"/>
        </w:rPr>
        <w:t xml:space="preserve"> Bustillo Rivera, Ana Luisa Vargas Soto y Dilcia Álvarez Ríos en el plazo de un año, por concepto de la indemnización por daño inmaterial, la cantidad fijada en los párrafos 184.c, 184.d, 184.e, 184.f y 184.g de la presente Sentencia.</w:t>
      </w:r>
    </w:p>
    <w:p w14:paraId="162A73B5" w14:textId="77777777" w:rsidR="00991189" w:rsidRPr="003044B3" w:rsidRDefault="00991189" w:rsidP="00991189">
      <w:pPr>
        <w:spacing w:after="0" w:line="240" w:lineRule="auto"/>
        <w:jc w:val="both"/>
        <w:rPr>
          <w:rFonts w:cstheme="minorHAnsi"/>
          <w:sz w:val="24"/>
          <w:szCs w:val="24"/>
          <w:lang w:eastAsia="es-MX"/>
        </w:rPr>
      </w:pPr>
    </w:p>
    <w:p w14:paraId="75A59D86" w14:textId="77777777" w:rsidR="00991189" w:rsidRPr="003044B3" w:rsidRDefault="00991189" w:rsidP="00991189">
      <w:pPr>
        <w:spacing w:after="0" w:line="240" w:lineRule="auto"/>
        <w:jc w:val="both"/>
        <w:rPr>
          <w:rFonts w:cstheme="minorHAnsi"/>
          <w:sz w:val="24"/>
          <w:szCs w:val="24"/>
          <w:lang w:eastAsia="es-MX"/>
        </w:rPr>
      </w:pPr>
      <w:r w:rsidRPr="003044B3">
        <w:rPr>
          <w:rFonts w:cstheme="minorHAnsi"/>
          <w:sz w:val="24"/>
          <w:szCs w:val="24"/>
          <w:lang w:eastAsia="es-MX"/>
        </w:rPr>
        <w:t xml:space="preserve"> - El Estado debe pagar, en el plazo de un año, por concepto de costas y gastos generados en el ámbito interno y en el proceso internacional ante el sistema interamericano de protección de los derechos humanos, la cantidad fijada en el párrafo 205 de la presente Sentencia, la cual deberá ser entregada a </w:t>
      </w:r>
      <w:proofErr w:type="spellStart"/>
      <w:r w:rsidRPr="003044B3">
        <w:rPr>
          <w:rFonts w:cstheme="minorHAnsi"/>
          <w:sz w:val="24"/>
          <w:szCs w:val="24"/>
          <w:lang w:eastAsia="es-MX"/>
        </w:rPr>
        <w:t>Bricelda</w:t>
      </w:r>
      <w:proofErr w:type="spellEnd"/>
      <w:r w:rsidRPr="003044B3">
        <w:rPr>
          <w:rFonts w:cstheme="minorHAnsi"/>
          <w:sz w:val="24"/>
          <w:szCs w:val="24"/>
          <w:lang w:eastAsia="es-MX"/>
        </w:rPr>
        <w:t xml:space="preserve"> </w:t>
      </w:r>
      <w:proofErr w:type="spellStart"/>
      <w:r w:rsidRPr="003044B3">
        <w:rPr>
          <w:rFonts w:cstheme="minorHAnsi"/>
          <w:sz w:val="24"/>
          <w:szCs w:val="24"/>
          <w:lang w:eastAsia="es-MX"/>
        </w:rPr>
        <w:t>Aide</w:t>
      </w:r>
      <w:proofErr w:type="spellEnd"/>
      <w:r w:rsidRPr="003044B3">
        <w:rPr>
          <w:rFonts w:cstheme="minorHAnsi"/>
          <w:sz w:val="24"/>
          <w:szCs w:val="24"/>
          <w:lang w:eastAsia="es-MX"/>
        </w:rPr>
        <w:t xml:space="preserve"> García Lobo, Hilda </w:t>
      </w:r>
      <w:proofErr w:type="spellStart"/>
      <w:r w:rsidRPr="003044B3">
        <w:rPr>
          <w:rFonts w:cstheme="minorHAnsi"/>
          <w:sz w:val="24"/>
          <w:szCs w:val="24"/>
          <w:lang w:eastAsia="es-MX"/>
        </w:rPr>
        <w:t>Estebana</w:t>
      </w:r>
      <w:proofErr w:type="spellEnd"/>
      <w:r w:rsidRPr="003044B3">
        <w:rPr>
          <w:rFonts w:cstheme="minorHAnsi"/>
          <w:sz w:val="24"/>
          <w:szCs w:val="24"/>
          <w:lang w:eastAsia="es-MX"/>
        </w:rPr>
        <w:t xml:space="preserve"> Hernández López y Dilcia Álvarez Ríos.</w:t>
      </w:r>
    </w:p>
    <w:p w14:paraId="6D99156A" w14:textId="77777777" w:rsidR="00991189" w:rsidRPr="003044B3" w:rsidRDefault="00991189" w:rsidP="00991189">
      <w:pPr>
        <w:spacing w:after="0" w:line="240" w:lineRule="auto"/>
        <w:jc w:val="both"/>
        <w:rPr>
          <w:rFonts w:cstheme="minorHAnsi"/>
          <w:sz w:val="24"/>
          <w:szCs w:val="24"/>
          <w:lang w:eastAsia="es-MX"/>
        </w:rPr>
      </w:pPr>
    </w:p>
    <w:p w14:paraId="24D7678A" w14:textId="77777777" w:rsidR="00991189" w:rsidRPr="003044B3" w:rsidRDefault="00991189" w:rsidP="00991189">
      <w:pPr>
        <w:spacing w:after="0" w:line="240" w:lineRule="auto"/>
        <w:jc w:val="both"/>
        <w:rPr>
          <w:rFonts w:cstheme="minorHAnsi"/>
          <w:sz w:val="24"/>
          <w:szCs w:val="24"/>
          <w:lang w:eastAsia="es-MX"/>
        </w:rPr>
      </w:pPr>
      <w:r w:rsidRPr="003044B3">
        <w:rPr>
          <w:rFonts w:cstheme="minorHAnsi"/>
          <w:sz w:val="24"/>
          <w:szCs w:val="24"/>
          <w:lang w:eastAsia="es-MX"/>
        </w:rPr>
        <w:t xml:space="preserve"> - Supervisará el cumplimiento íntegro de esta Sentencia, y dará por concluido el presente caso una vez que el Estado haya dado cabal cumplimiento a lo dispuesto en la misma.  Dentro del plazo de un año, contado a partir de la notificación de esta Sentencia, el Estado deberá rendir a la Corte un informe sobre las medidas adoptadas para darle cumplimiento.</w:t>
      </w:r>
    </w:p>
    <w:p w14:paraId="76ABDF7D" w14:textId="77777777" w:rsidR="00991189" w:rsidRPr="003044B3" w:rsidRDefault="00991189" w:rsidP="00991189">
      <w:pPr>
        <w:spacing w:after="0" w:line="240" w:lineRule="auto"/>
        <w:jc w:val="both"/>
        <w:rPr>
          <w:rFonts w:cstheme="minorHAnsi"/>
          <w:sz w:val="24"/>
          <w:szCs w:val="24"/>
          <w:lang w:eastAsia="es-MX"/>
        </w:rPr>
      </w:pPr>
    </w:p>
    <w:p w14:paraId="3AA9ADC1" w14:textId="77777777" w:rsidR="00991189" w:rsidRPr="00BD04E4" w:rsidRDefault="00991189" w:rsidP="00991189">
      <w:pPr>
        <w:spacing w:after="0" w:line="240" w:lineRule="auto"/>
        <w:jc w:val="both"/>
        <w:rPr>
          <w:rFonts w:cstheme="minorHAnsi"/>
          <w:b/>
          <w:bCs/>
          <w:sz w:val="24"/>
          <w:szCs w:val="24"/>
          <w:lang w:eastAsia="es-MX"/>
        </w:rPr>
      </w:pPr>
      <w:r w:rsidRPr="00BD04E4">
        <w:rPr>
          <w:rFonts w:cstheme="minorHAnsi"/>
          <w:b/>
          <w:bCs/>
          <w:sz w:val="24"/>
          <w:szCs w:val="24"/>
          <w:lang w:eastAsia="es-MX"/>
        </w:rPr>
        <w:t>Resolutivos</w:t>
      </w:r>
    </w:p>
    <w:p w14:paraId="1A7B9BF5" w14:textId="77777777" w:rsidR="00991189" w:rsidRDefault="00991189" w:rsidP="00991189">
      <w:pPr>
        <w:spacing w:after="0" w:line="240" w:lineRule="auto"/>
        <w:jc w:val="both"/>
        <w:rPr>
          <w:rFonts w:cstheme="minorHAnsi"/>
          <w:sz w:val="24"/>
          <w:szCs w:val="24"/>
          <w:lang w:eastAsia="es-MX"/>
        </w:rPr>
      </w:pPr>
    </w:p>
    <w:p w14:paraId="131ACD7D" w14:textId="77777777" w:rsidR="00991189" w:rsidRPr="003044B3" w:rsidRDefault="00991189" w:rsidP="00991189">
      <w:pPr>
        <w:spacing w:after="0" w:line="240" w:lineRule="auto"/>
        <w:jc w:val="both"/>
        <w:rPr>
          <w:rFonts w:cstheme="minorHAnsi"/>
          <w:sz w:val="24"/>
          <w:szCs w:val="24"/>
          <w:lang w:eastAsia="es-MX"/>
        </w:rPr>
      </w:pPr>
      <w:r w:rsidRPr="003044B3">
        <w:rPr>
          <w:rFonts w:cstheme="minorHAnsi"/>
          <w:sz w:val="24"/>
          <w:szCs w:val="24"/>
          <w:lang w:eastAsia="es-MX"/>
        </w:rPr>
        <w:t>La Corte decide,</w:t>
      </w:r>
    </w:p>
    <w:p w14:paraId="0649F2D4" w14:textId="77777777" w:rsidR="00991189" w:rsidRPr="003044B3" w:rsidRDefault="00991189" w:rsidP="00991189">
      <w:pPr>
        <w:spacing w:after="0" w:line="240" w:lineRule="auto"/>
        <w:jc w:val="both"/>
        <w:rPr>
          <w:rFonts w:cstheme="minorHAnsi"/>
          <w:sz w:val="24"/>
          <w:szCs w:val="24"/>
          <w:lang w:eastAsia="es-MX"/>
        </w:rPr>
      </w:pPr>
    </w:p>
    <w:p w14:paraId="5DF56E41" w14:textId="77777777" w:rsidR="00991189" w:rsidRPr="003044B3" w:rsidRDefault="00991189" w:rsidP="00991189">
      <w:pPr>
        <w:spacing w:after="0" w:line="240" w:lineRule="auto"/>
        <w:jc w:val="both"/>
        <w:rPr>
          <w:rFonts w:cstheme="minorHAnsi"/>
          <w:sz w:val="24"/>
          <w:szCs w:val="24"/>
          <w:lang w:eastAsia="es-MX"/>
        </w:rPr>
      </w:pPr>
      <w:r w:rsidRPr="003044B3">
        <w:rPr>
          <w:rFonts w:cstheme="minorHAnsi"/>
          <w:sz w:val="24"/>
          <w:szCs w:val="24"/>
          <w:lang w:eastAsia="es-MX"/>
        </w:rPr>
        <w:t xml:space="preserve"> - Admitir el reconocimiento  de responsabilidad internacional efectuado por el Estado por la violación de los derechos a la libertad e integridad personales, a la vida, a las garantías judiciales y a la protección judicial consagrados en los artículos 7.1, 7.2, 7.3, 7.4 7.5 y 7.6, 5.1 y 5.2, 4.1, 8.1 y 8.2 y 25.1 de la Convención Americana, en perjuicio de Marco Antonio Servellón García, Rony Alexis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Vásquez, Orlando Álvarez Ríos y Diomedes Obed García Sánchez, y el derecho  a la integridad personal consagrado en el artículo 5.5 de la Convención, en relación a los derechos del niño consagrado en el artículo 19 de la Convención, en perjuicio de Marco Antonio Servellón García y Rony Alexis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Vásquez, todos en relación con la obligación general de respetar y garantizar los derechos establecida en el artículo 1.1 de dicho tratado.</w:t>
      </w:r>
    </w:p>
    <w:p w14:paraId="2B939925" w14:textId="77777777" w:rsidR="00991189" w:rsidRPr="003044B3" w:rsidRDefault="00991189" w:rsidP="00991189">
      <w:pPr>
        <w:spacing w:after="0" w:line="240" w:lineRule="auto"/>
        <w:jc w:val="both"/>
        <w:rPr>
          <w:rFonts w:cstheme="minorHAnsi"/>
          <w:sz w:val="24"/>
          <w:szCs w:val="24"/>
          <w:lang w:eastAsia="es-MX"/>
        </w:rPr>
      </w:pPr>
      <w:r w:rsidRPr="003044B3">
        <w:rPr>
          <w:rFonts w:cstheme="minorHAnsi"/>
          <w:sz w:val="24"/>
          <w:szCs w:val="24"/>
          <w:lang w:eastAsia="es-MX"/>
        </w:rPr>
        <w:t xml:space="preserve">  </w:t>
      </w:r>
    </w:p>
    <w:p w14:paraId="5866D8A3" w14:textId="77777777" w:rsidR="00991189" w:rsidRPr="003044B3" w:rsidRDefault="00991189" w:rsidP="00991189">
      <w:pPr>
        <w:spacing w:after="0" w:line="240" w:lineRule="auto"/>
        <w:jc w:val="both"/>
        <w:rPr>
          <w:rFonts w:cstheme="minorHAnsi"/>
          <w:sz w:val="24"/>
          <w:szCs w:val="24"/>
          <w:lang w:eastAsia="es-MX"/>
        </w:rPr>
      </w:pPr>
      <w:r w:rsidRPr="003044B3">
        <w:rPr>
          <w:rFonts w:cstheme="minorHAnsi"/>
          <w:sz w:val="24"/>
          <w:szCs w:val="24"/>
          <w:lang w:eastAsia="es-MX"/>
        </w:rPr>
        <w:t xml:space="preserve"> - Admitir el reconocimiento  de responsabilidad internacional efectuado por el Estado por la violación de los derechos a las garantías judiciales y a la protección judicial consagrados en los artículos 8.1 y 25.1 de la Convención Americana, en perjuicio de los familiares de Marco Antonio Servellón García, Rony Alexis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Vásquez, Orlando Álvarez Ríos y </w:t>
      </w:r>
      <w:r w:rsidRPr="003044B3">
        <w:rPr>
          <w:rFonts w:cstheme="minorHAnsi"/>
          <w:sz w:val="24"/>
          <w:szCs w:val="24"/>
          <w:lang w:eastAsia="es-MX"/>
        </w:rPr>
        <w:lastRenderedPageBreak/>
        <w:t>Diomedes Obed García Sánchez, en relación con la  obligación general de respetar y garantizar los derechos establecida  en el artículo 1.1 de  dicho tratado.</w:t>
      </w:r>
    </w:p>
    <w:p w14:paraId="7C91C7E4" w14:textId="77777777" w:rsidR="00991189" w:rsidRPr="003044B3" w:rsidRDefault="00991189" w:rsidP="00991189">
      <w:pPr>
        <w:spacing w:after="0" w:line="240" w:lineRule="auto"/>
        <w:jc w:val="both"/>
        <w:rPr>
          <w:rFonts w:cstheme="minorHAnsi"/>
          <w:sz w:val="24"/>
          <w:szCs w:val="24"/>
          <w:lang w:eastAsia="es-MX"/>
        </w:rPr>
      </w:pPr>
    </w:p>
    <w:p w14:paraId="7FAE7E7E" w14:textId="77777777" w:rsidR="00991189" w:rsidRPr="003044B3" w:rsidRDefault="00991189" w:rsidP="00991189">
      <w:pPr>
        <w:spacing w:after="0" w:line="240" w:lineRule="auto"/>
        <w:jc w:val="both"/>
        <w:rPr>
          <w:rFonts w:cstheme="minorHAnsi"/>
          <w:sz w:val="24"/>
          <w:szCs w:val="24"/>
          <w:lang w:eastAsia="es-MX"/>
        </w:rPr>
      </w:pPr>
      <w:r w:rsidRPr="003044B3">
        <w:rPr>
          <w:rFonts w:cstheme="minorHAnsi"/>
          <w:sz w:val="24"/>
          <w:szCs w:val="24"/>
          <w:lang w:eastAsia="es-MX"/>
        </w:rPr>
        <w:t xml:space="preserve"> La Corte declara que, </w:t>
      </w:r>
    </w:p>
    <w:p w14:paraId="6437B3F6" w14:textId="77777777" w:rsidR="00991189" w:rsidRPr="003044B3" w:rsidRDefault="00991189" w:rsidP="00991189">
      <w:pPr>
        <w:spacing w:after="0" w:line="240" w:lineRule="auto"/>
        <w:jc w:val="both"/>
        <w:rPr>
          <w:rFonts w:cstheme="minorHAnsi"/>
          <w:sz w:val="24"/>
          <w:szCs w:val="24"/>
          <w:lang w:eastAsia="es-MX"/>
        </w:rPr>
      </w:pPr>
    </w:p>
    <w:p w14:paraId="47FFDEE0" w14:textId="77777777" w:rsidR="00991189" w:rsidRPr="003044B3" w:rsidRDefault="00991189" w:rsidP="00991189">
      <w:pPr>
        <w:spacing w:after="0" w:line="240" w:lineRule="auto"/>
        <w:jc w:val="both"/>
        <w:rPr>
          <w:rFonts w:cstheme="minorHAnsi"/>
          <w:sz w:val="24"/>
          <w:szCs w:val="24"/>
          <w:lang w:eastAsia="es-MX"/>
        </w:rPr>
      </w:pPr>
      <w:r w:rsidRPr="003044B3">
        <w:rPr>
          <w:rFonts w:cstheme="minorHAnsi"/>
          <w:sz w:val="24"/>
          <w:szCs w:val="24"/>
          <w:lang w:eastAsia="es-MX"/>
        </w:rPr>
        <w:t xml:space="preserve"> - El Estado violó, en perjuicio de Marco Antonio Servellón García, Rony Alexis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Vásquez, Orlando Álvarez Ríos y Diomedes Obed García Sánchez, los derechos a la libertad e integridad personales y a la vida consagrados en los artículos 7.1, 7.2, 7.3, 7.4 y 7.5, 5.1 y 5.2, y 4.1 de la Convención Americana, y el derecho a la integridad personal consagrado  en  el  artículo  5.5  de  la  Convención, en relación a los derechos del niño consagrado en el artículo 19 de la Convención, en perjuicio de Marco Antonio Servellón García y Rony Alexis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Vásquez, todos en relación con la obligación general de respetar y garantizar los derechos establecida  en el artículo 1.1 de  dicho tratado. </w:t>
      </w:r>
    </w:p>
    <w:p w14:paraId="3E16108A" w14:textId="77777777" w:rsidR="00991189" w:rsidRPr="003044B3" w:rsidRDefault="00991189" w:rsidP="00991189">
      <w:pPr>
        <w:spacing w:after="0" w:line="240" w:lineRule="auto"/>
        <w:jc w:val="both"/>
        <w:rPr>
          <w:rFonts w:cstheme="minorHAnsi"/>
          <w:sz w:val="24"/>
          <w:szCs w:val="24"/>
          <w:lang w:eastAsia="es-MX"/>
        </w:rPr>
      </w:pPr>
    </w:p>
    <w:p w14:paraId="6F855DD0" w14:textId="77777777" w:rsidR="00991189" w:rsidRPr="003044B3" w:rsidRDefault="00991189" w:rsidP="00991189">
      <w:pPr>
        <w:spacing w:after="0" w:line="240" w:lineRule="auto"/>
        <w:jc w:val="both"/>
        <w:rPr>
          <w:rFonts w:cstheme="minorHAnsi"/>
          <w:sz w:val="24"/>
          <w:szCs w:val="24"/>
          <w:lang w:eastAsia="es-MX"/>
        </w:rPr>
      </w:pPr>
      <w:r w:rsidRPr="003044B3">
        <w:rPr>
          <w:rFonts w:cstheme="minorHAnsi"/>
          <w:sz w:val="24"/>
          <w:szCs w:val="24"/>
          <w:lang w:eastAsia="es-MX"/>
        </w:rPr>
        <w:t xml:space="preserve"> - El Estado violó, en perjuicio de los familiares de Marco Antonio Servellón García, Reyes Servellón Santos, padre;  </w:t>
      </w:r>
      <w:proofErr w:type="spellStart"/>
      <w:r w:rsidRPr="003044B3">
        <w:rPr>
          <w:rFonts w:cstheme="minorHAnsi"/>
          <w:sz w:val="24"/>
          <w:szCs w:val="24"/>
          <w:lang w:eastAsia="es-MX"/>
        </w:rPr>
        <w:t>Bricelda</w:t>
      </w:r>
      <w:proofErr w:type="spellEnd"/>
      <w:r w:rsidRPr="003044B3">
        <w:rPr>
          <w:rFonts w:cstheme="minorHAnsi"/>
          <w:sz w:val="24"/>
          <w:szCs w:val="24"/>
          <w:lang w:eastAsia="es-MX"/>
        </w:rPr>
        <w:t xml:space="preserve"> </w:t>
      </w:r>
      <w:proofErr w:type="spellStart"/>
      <w:r w:rsidRPr="003044B3">
        <w:rPr>
          <w:rFonts w:cstheme="minorHAnsi"/>
          <w:sz w:val="24"/>
          <w:szCs w:val="24"/>
          <w:lang w:eastAsia="es-MX"/>
        </w:rPr>
        <w:t>Aide</w:t>
      </w:r>
      <w:proofErr w:type="spellEnd"/>
      <w:r w:rsidRPr="003044B3">
        <w:rPr>
          <w:rFonts w:cstheme="minorHAnsi"/>
          <w:sz w:val="24"/>
          <w:szCs w:val="24"/>
          <w:lang w:eastAsia="es-MX"/>
        </w:rPr>
        <w:t xml:space="preserve"> García Lobo,  madre, y </w:t>
      </w:r>
      <w:proofErr w:type="spellStart"/>
      <w:r w:rsidRPr="003044B3">
        <w:rPr>
          <w:rFonts w:cstheme="minorHAnsi"/>
          <w:sz w:val="24"/>
          <w:szCs w:val="24"/>
          <w:lang w:eastAsia="es-MX"/>
        </w:rPr>
        <w:t>Marja</w:t>
      </w:r>
      <w:proofErr w:type="spellEnd"/>
      <w:r w:rsidRPr="003044B3">
        <w:rPr>
          <w:rFonts w:cstheme="minorHAnsi"/>
          <w:sz w:val="24"/>
          <w:szCs w:val="24"/>
          <w:lang w:eastAsia="es-MX"/>
        </w:rPr>
        <w:t xml:space="preserve"> Ibeth Castro García, hermana; de los familiares de Rony Alexis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Vásquez, Manases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Núñez, padre, Hilda </w:t>
      </w:r>
      <w:proofErr w:type="spellStart"/>
      <w:r w:rsidRPr="003044B3">
        <w:rPr>
          <w:rFonts w:cstheme="minorHAnsi"/>
          <w:sz w:val="24"/>
          <w:szCs w:val="24"/>
          <w:lang w:eastAsia="es-MX"/>
        </w:rPr>
        <w:t>Estebana</w:t>
      </w:r>
      <w:proofErr w:type="spellEnd"/>
      <w:r w:rsidRPr="003044B3">
        <w:rPr>
          <w:rFonts w:cstheme="minorHAnsi"/>
          <w:sz w:val="24"/>
          <w:szCs w:val="24"/>
          <w:lang w:eastAsia="es-MX"/>
        </w:rPr>
        <w:t xml:space="preserve"> Hernández López, madre, Zara </w:t>
      </w:r>
      <w:proofErr w:type="spellStart"/>
      <w:r w:rsidRPr="003044B3">
        <w:rPr>
          <w:rFonts w:cstheme="minorHAnsi"/>
          <w:sz w:val="24"/>
          <w:szCs w:val="24"/>
          <w:lang w:eastAsia="es-MX"/>
        </w:rPr>
        <w:t>Beatris</w:t>
      </w:r>
      <w:proofErr w:type="spellEnd"/>
      <w:r w:rsidRPr="003044B3">
        <w:rPr>
          <w:rFonts w:cstheme="minorHAnsi"/>
          <w:sz w:val="24"/>
          <w:szCs w:val="24"/>
          <w:lang w:eastAsia="es-MX"/>
        </w:rPr>
        <w:t xml:space="preserve"> Bustillo Rivera, hija, y Ana Luisa Vargas Soto, compañera de hogar, y de la hermana de Orlando Álvarez Ríos, Dilcia Álvarez Ríos, el derecho a la integridad personal consagrado en artículo 5.1 de la Convención Americana, en relación con la obligación general de respetar y garantizar los derechos establecida en el artículo 1.1 de dicho tratado.  </w:t>
      </w:r>
    </w:p>
    <w:p w14:paraId="6A6CF30A" w14:textId="77777777" w:rsidR="00991189" w:rsidRPr="003044B3" w:rsidRDefault="00991189" w:rsidP="00991189">
      <w:pPr>
        <w:spacing w:after="0" w:line="240" w:lineRule="auto"/>
        <w:jc w:val="both"/>
        <w:rPr>
          <w:rFonts w:cstheme="minorHAnsi"/>
          <w:sz w:val="24"/>
          <w:szCs w:val="24"/>
          <w:lang w:eastAsia="es-MX"/>
        </w:rPr>
      </w:pPr>
    </w:p>
    <w:p w14:paraId="70B4B7D9" w14:textId="77777777" w:rsidR="00991189" w:rsidRPr="003044B3" w:rsidRDefault="00991189" w:rsidP="00991189">
      <w:pPr>
        <w:spacing w:after="0" w:line="240" w:lineRule="auto"/>
        <w:jc w:val="both"/>
        <w:rPr>
          <w:rFonts w:cstheme="minorHAnsi"/>
          <w:sz w:val="24"/>
          <w:szCs w:val="24"/>
          <w:lang w:eastAsia="es-MX"/>
        </w:rPr>
      </w:pPr>
      <w:r w:rsidRPr="003044B3">
        <w:rPr>
          <w:rFonts w:cstheme="minorHAnsi"/>
          <w:sz w:val="24"/>
          <w:szCs w:val="24"/>
          <w:lang w:eastAsia="es-MX"/>
        </w:rPr>
        <w:t xml:space="preserve"> - El Estado violó, en perjuicio de Marco Antonio Servellón García, Rony Alexis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Vásquez, Orlando Álvarez Ríos y Diomedes Obed García Sánchez, los artículos 8.1, 8.2, 7.6 y 25.1 de la Convención, todos en relación con la obligación general de respetar y garantizar los derechos establecida en el artículo 1.1 de dicho tratado. </w:t>
      </w:r>
    </w:p>
    <w:p w14:paraId="5FFDEB47" w14:textId="77777777" w:rsidR="00991189" w:rsidRPr="003044B3" w:rsidRDefault="00991189" w:rsidP="00991189">
      <w:pPr>
        <w:spacing w:after="0" w:line="240" w:lineRule="auto"/>
        <w:jc w:val="both"/>
        <w:rPr>
          <w:rFonts w:cstheme="minorHAnsi"/>
          <w:sz w:val="24"/>
          <w:szCs w:val="24"/>
          <w:lang w:eastAsia="es-MX"/>
        </w:rPr>
      </w:pPr>
    </w:p>
    <w:p w14:paraId="2B37EEEB" w14:textId="77777777" w:rsidR="00991189" w:rsidRPr="003044B3" w:rsidRDefault="00991189" w:rsidP="00991189">
      <w:pPr>
        <w:spacing w:after="0" w:line="240" w:lineRule="auto"/>
        <w:jc w:val="both"/>
        <w:rPr>
          <w:rFonts w:cstheme="minorHAnsi"/>
          <w:sz w:val="24"/>
          <w:szCs w:val="24"/>
          <w:lang w:eastAsia="es-MX"/>
        </w:rPr>
      </w:pPr>
      <w:r w:rsidRPr="003044B3">
        <w:rPr>
          <w:rFonts w:cstheme="minorHAnsi"/>
          <w:sz w:val="24"/>
          <w:szCs w:val="24"/>
          <w:lang w:eastAsia="es-MX"/>
        </w:rPr>
        <w:t xml:space="preserve"> - El Estado violó, en perjuicio de los familiares de Marco Antonio Servellón García, Reyes Servellón Santos, padre, </w:t>
      </w:r>
      <w:proofErr w:type="spellStart"/>
      <w:r w:rsidRPr="003044B3">
        <w:rPr>
          <w:rFonts w:cstheme="minorHAnsi"/>
          <w:sz w:val="24"/>
          <w:szCs w:val="24"/>
          <w:lang w:eastAsia="es-MX"/>
        </w:rPr>
        <w:t>Bricelda</w:t>
      </w:r>
      <w:proofErr w:type="spellEnd"/>
      <w:r w:rsidRPr="003044B3">
        <w:rPr>
          <w:rFonts w:cstheme="minorHAnsi"/>
          <w:sz w:val="24"/>
          <w:szCs w:val="24"/>
          <w:lang w:eastAsia="es-MX"/>
        </w:rPr>
        <w:t xml:space="preserve"> </w:t>
      </w:r>
      <w:proofErr w:type="spellStart"/>
      <w:r w:rsidRPr="003044B3">
        <w:rPr>
          <w:rFonts w:cstheme="minorHAnsi"/>
          <w:sz w:val="24"/>
          <w:szCs w:val="24"/>
          <w:lang w:eastAsia="es-MX"/>
        </w:rPr>
        <w:t>Aide</w:t>
      </w:r>
      <w:proofErr w:type="spellEnd"/>
      <w:r w:rsidRPr="003044B3">
        <w:rPr>
          <w:rFonts w:cstheme="minorHAnsi"/>
          <w:sz w:val="24"/>
          <w:szCs w:val="24"/>
          <w:lang w:eastAsia="es-MX"/>
        </w:rPr>
        <w:t xml:space="preserve"> García Lobo, madre, y </w:t>
      </w:r>
      <w:proofErr w:type="spellStart"/>
      <w:r w:rsidRPr="003044B3">
        <w:rPr>
          <w:rFonts w:cstheme="minorHAnsi"/>
          <w:sz w:val="24"/>
          <w:szCs w:val="24"/>
          <w:lang w:eastAsia="es-MX"/>
        </w:rPr>
        <w:t>Marja</w:t>
      </w:r>
      <w:proofErr w:type="spellEnd"/>
      <w:r w:rsidRPr="003044B3">
        <w:rPr>
          <w:rFonts w:cstheme="minorHAnsi"/>
          <w:sz w:val="24"/>
          <w:szCs w:val="24"/>
          <w:lang w:eastAsia="es-MX"/>
        </w:rPr>
        <w:t xml:space="preserve"> Ibeth Castro García, Pablo Servellón García y Héctor Vicente Castro García, hermanos; de los familiares de Rony Alexis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Vásquez, Manases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Núñez, padre, Hilda </w:t>
      </w:r>
      <w:proofErr w:type="spellStart"/>
      <w:r w:rsidRPr="003044B3">
        <w:rPr>
          <w:rFonts w:cstheme="minorHAnsi"/>
          <w:sz w:val="24"/>
          <w:szCs w:val="24"/>
          <w:lang w:eastAsia="es-MX"/>
        </w:rPr>
        <w:t>Estebana</w:t>
      </w:r>
      <w:proofErr w:type="spellEnd"/>
      <w:r w:rsidRPr="003044B3">
        <w:rPr>
          <w:rFonts w:cstheme="minorHAnsi"/>
          <w:sz w:val="24"/>
          <w:szCs w:val="24"/>
          <w:lang w:eastAsia="es-MX"/>
        </w:rPr>
        <w:t xml:space="preserve"> Hernández López, madre, Zara </w:t>
      </w:r>
      <w:proofErr w:type="spellStart"/>
      <w:r w:rsidRPr="003044B3">
        <w:rPr>
          <w:rFonts w:cstheme="minorHAnsi"/>
          <w:sz w:val="24"/>
          <w:szCs w:val="24"/>
          <w:lang w:eastAsia="es-MX"/>
        </w:rPr>
        <w:t>Beatris</w:t>
      </w:r>
      <w:proofErr w:type="spellEnd"/>
      <w:r w:rsidRPr="003044B3">
        <w:rPr>
          <w:rFonts w:cstheme="minorHAnsi"/>
          <w:sz w:val="24"/>
          <w:szCs w:val="24"/>
          <w:lang w:eastAsia="es-MX"/>
        </w:rPr>
        <w:t xml:space="preserve"> Bustillo Rivera, hija, Ana Luisa Vargas Soto, compañera de hogar, y Juan Carlos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Hernández, </w:t>
      </w:r>
      <w:proofErr w:type="spellStart"/>
      <w:r w:rsidRPr="003044B3">
        <w:rPr>
          <w:rFonts w:cstheme="minorHAnsi"/>
          <w:sz w:val="24"/>
          <w:szCs w:val="24"/>
          <w:lang w:eastAsia="es-MX"/>
        </w:rPr>
        <w:t>Manaces</w:t>
      </w:r>
      <w:proofErr w:type="spellEnd"/>
      <w:r w:rsidRPr="003044B3">
        <w:rPr>
          <w:rFonts w:cstheme="minorHAnsi"/>
          <w:sz w:val="24"/>
          <w:szCs w:val="24"/>
          <w:lang w:eastAsia="es-MX"/>
        </w:rPr>
        <w:t xml:space="preserve"> Betancourt Aguilar, Emma Aracely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Aguilar, </w:t>
      </w:r>
      <w:proofErr w:type="spellStart"/>
      <w:r w:rsidRPr="003044B3">
        <w:rPr>
          <w:rFonts w:cstheme="minorHAnsi"/>
          <w:sz w:val="24"/>
          <w:szCs w:val="24"/>
          <w:lang w:eastAsia="es-MX"/>
        </w:rPr>
        <w:t>Enma</w:t>
      </w:r>
      <w:proofErr w:type="spellEnd"/>
      <w:r w:rsidRPr="003044B3">
        <w:rPr>
          <w:rFonts w:cstheme="minorHAnsi"/>
          <w:sz w:val="24"/>
          <w:szCs w:val="24"/>
          <w:lang w:eastAsia="es-MX"/>
        </w:rPr>
        <w:t xml:space="preserve"> Aracely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Abarca, y Lilian María Betancourt Álvarez, hermanos; de los familiares de Orlando Álvarez Ríos, Antonia Ríos, madre, y Dilcia Álvarez Ríos, hermana, y de los familiares de Diomedes Obed García Sánchez, Diomedes Tito García Casildo, padre, y Esther Patricia García Sánchez, Jorge Moisés García Sánchez, y Fidelia Sarahí García Sánchez, hermanos, el derecho a las garantías judiciales y a la protección judicial consagrados en los artículos 8.1 y 25.1 de la Convención Americana, en relación con la obligación general de respetar y garantizar los derechos establecida en el artículo 1.1 de dicho tratado.</w:t>
      </w:r>
    </w:p>
    <w:p w14:paraId="03CE0F13" w14:textId="77777777" w:rsidR="00A202AB" w:rsidRPr="00A202AB" w:rsidRDefault="00A202AB" w:rsidP="00991189">
      <w:pPr>
        <w:rPr>
          <w:color w:val="C00000"/>
        </w:rPr>
      </w:pPr>
    </w:p>
    <w:sectPr w:rsidR="00A202AB" w:rsidRPr="00A202A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E027A4" w14:textId="77777777" w:rsidR="00BA3E28" w:rsidRDefault="00BA3E28" w:rsidP="00991189">
      <w:pPr>
        <w:spacing w:after="0" w:line="240" w:lineRule="auto"/>
      </w:pPr>
      <w:r>
        <w:separator/>
      </w:r>
    </w:p>
  </w:endnote>
  <w:endnote w:type="continuationSeparator" w:id="0">
    <w:p w14:paraId="2DEEAD0A" w14:textId="77777777" w:rsidR="00BA3E28" w:rsidRDefault="00BA3E28" w:rsidP="00991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ormata Light">
    <w:altName w:val="Formata Light"/>
    <w:panose1 w:val="00000000000000000000"/>
    <w:charset w:val="00"/>
    <w:family w:val="swiss"/>
    <w:notTrueType/>
    <w:pitch w:val="default"/>
    <w:sig w:usb0="00000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 w:name="Univers">
    <w:altName w:val="Univers"/>
    <w:charset w:val="00"/>
    <w:family w:val="swiss"/>
    <w:pitch w:val="variable"/>
    <w:sig w:usb0="80000287" w:usb1="00000000" w:usb2="00000000" w:usb3="00000000" w:csb0="0000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AC5AF4" w14:textId="77777777" w:rsidR="00BA3E28" w:rsidRDefault="00BA3E28" w:rsidP="00991189">
      <w:pPr>
        <w:spacing w:after="0" w:line="240" w:lineRule="auto"/>
      </w:pPr>
      <w:r>
        <w:separator/>
      </w:r>
    </w:p>
  </w:footnote>
  <w:footnote w:type="continuationSeparator" w:id="0">
    <w:p w14:paraId="331DBD2B" w14:textId="77777777" w:rsidR="00BA3E28" w:rsidRDefault="00BA3E28" w:rsidP="00991189">
      <w:pPr>
        <w:spacing w:after="0" w:line="240" w:lineRule="auto"/>
      </w:pPr>
      <w:r>
        <w:continuationSeparator/>
      </w:r>
    </w:p>
  </w:footnote>
  <w:footnote w:id="1">
    <w:p w14:paraId="68E58C3D" w14:textId="77777777" w:rsidR="00991189" w:rsidRPr="00BD4D0E" w:rsidRDefault="00991189" w:rsidP="00991189">
      <w:pPr>
        <w:pStyle w:val="Textonotapie"/>
        <w:jc w:val="both"/>
        <w:rPr>
          <w:rFonts w:ascii="Arial" w:hAnsi="Arial" w:cs="Arial"/>
          <w:sz w:val="18"/>
          <w:szCs w:val="18"/>
        </w:rPr>
      </w:pPr>
      <w:r w:rsidRPr="006806AF">
        <w:rPr>
          <w:rStyle w:val="Refdenotaalpie"/>
          <w:rFonts w:ascii="Arial" w:hAnsi="Arial" w:cs="Arial"/>
        </w:rPr>
        <w:footnoteRef/>
      </w:r>
      <w:r w:rsidRPr="006806AF">
        <w:rPr>
          <w:rFonts w:ascii="Arial" w:hAnsi="Arial" w:cs="Arial"/>
        </w:rPr>
        <w:t xml:space="preserve"> </w:t>
      </w:r>
      <w:r w:rsidRPr="00BD4D0E">
        <w:rPr>
          <w:rFonts w:ascii="Arial" w:hAnsi="Arial" w:cs="Arial"/>
          <w:bCs/>
          <w:sz w:val="18"/>
          <w:szCs w:val="18"/>
        </w:rPr>
        <w:t>Semanario Judicial de la Federación y su Gaceta, Tomo XXXI, mayo de 2010, Novena Época, materia común, página 830.</w:t>
      </w:r>
    </w:p>
  </w:footnote>
  <w:footnote w:id="2">
    <w:p w14:paraId="4941E2FE" w14:textId="77777777" w:rsidR="00991189" w:rsidRPr="00BD4D0E" w:rsidRDefault="00991189" w:rsidP="00991189">
      <w:pPr>
        <w:pStyle w:val="Textonotapie"/>
        <w:jc w:val="both"/>
        <w:rPr>
          <w:rFonts w:ascii="Arial" w:hAnsi="Arial" w:cs="Arial"/>
          <w:color w:val="000000"/>
          <w:sz w:val="18"/>
          <w:szCs w:val="18"/>
          <w:shd w:val="clear" w:color="auto" w:fill="FFFFFF"/>
        </w:rPr>
      </w:pPr>
      <w:r w:rsidRPr="00BD4D0E">
        <w:rPr>
          <w:rStyle w:val="Refdenotaalpie"/>
          <w:rFonts w:ascii="Arial" w:hAnsi="Arial" w:cs="Arial"/>
          <w:sz w:val="18"/>
          <w:szCs w:val="18"/>
        </w:rPr>
        <w:footnoteRef/>
      </w:r>
      <w:r w:rsidRPr="00BD4D0E">
        <w:rPr>
          <w:rFonts w:ascii="Arial" w:hAnsi="Arial" w:cs="Arial"/>
          <w:sz w:val="18"/>
          <w:szCs w:val="18"/>
        </w:rPr>
        <w:t xml:space="preserve"> Criterio contenido en la jurisprudencia de la Sala Superior, cuyo rubro y texto es: </w:t>
      </w:r>
      <w:r w:rsidRPr="00BD4D0E">
        <w:rPr>
          <w:rFonts w:ascii="Arial" w:hAnsi="Arial" w:cs="Arial"/>
          <w:b/>
          <w:bCs/>
          <w:color w:val="000000"/>
          <w:sz w:val="18"/>
          <w:szCs w:val="18"/>
          <w:shd w:val="clear" w:color="auto" w:fill="FFFFFF"/>
        </w:rPr>
        <w:t>MEDIOS DE IMPUGNACIÓN EN MATERIA ELECTORAL. EL RESOLUTOR DEBE INTERPRETAR EL OCURSO QUE LOS CONTENGA PARA DETERMINAR LA VERDADERA INTENCIÓN DEL ACTOR.-</w:t>
      </w:r>
      <w:r w:rsidRPr="00BD4D0E">
        <w:rPr>
          <w:rStyle w:val="apple-converted-space"/>
          <w:rFonts w:ascii="Arial" w:hAnsi="Arial" w:cs="Arial"/>
          <w:color w:val="000000"/>
          <w:sz w:val="18"/>
          <w:szCs w:val="18"/>
          <w:shd w:val="clear" w:color="auto" w:fill="FFFFFF"/>
        </w:rPr>
        <w:t> </w:t>
      </w:r>
      <w:r w:rsidRPr="00BD4D0E">
        <w:rPr>
          <w:rFonts w:ascii="Arial" w:hAnsi="Arial" w:cs="Arial"/>
          <w:color w:val="000000"/>
          <w:sz w:val="18"/>
          <w:szCs w:val="18"/>
          <w:shd w:val="clear" w:color="auto" w:fill="FFFFFF"/>
        </w:rPr>
        <w:t>Tratándose de medios de impugnación en materia electoral, el juzgador debe leer detenida y cuidadosamente el ocurso que contenga el que se haga valer, para que, de su correcta comprensión, advierta y atienda preferentemente a lo que se quiso decir y no a lo que aparentemente se dijo, con el objeto de determinar con exactitud la intención del promovente, ya que sólo de esta forma se puede lograr una recta administración de justicia en materia electoral, al no aceptarse la relación obscura, deficiente o equívoca, como la expresión exacta del pensamiento del autor del medio de impugnación relativo, es decir, que el ocurso en que se haga valer el mismo, debe ser analizado en conjunto para que, el juzgador pueda, válidamente, interpretar el sentido de lo que se pretende.   Consultable a fojas 445-446 de la Compilación 1997-2013 Jurisprudencia y tesis en materia electoral, volumen uno, intitulado «Jurisprudencia», publicado por el Tribunal Electoral del Poder Judicial de la Federación.</w:t>
      </w:r>
    </w:p>
  </w:footnote>
  <w:footnote w:id="3">
    <w:p w14:paraId="7FADF426" w14:textId="77777777" w:rsidR="00991189" w:rsidRDefault="00991189" w:rsidP="00991189">
      <w:pPr>
        <w:jc w:val="both"/>
      </w:pPr>
      <w:r>
        <w:rPr>
          <w:rStyle w:val="Refdenotaalpie"/>
        </w:rPr>
        <w:footnoteRef/>
      </w:r>
      <w:r>
        <w:t xml:space="preserve"> </w:t>
      </w:r>
      <w:r w:rsidRPr="00C519AB">
        <w:rPr>
          <w:rFonts w:ascii="Arial" w:hAnsi="Arial" w:cs="Arial"/>
          <w:sz w:val="18"/>
          <w:szCs w:val="18"/>
        </w:rPr>
        <w:t>296 Algunos de estos instrumentos internacionales son: Carta de la OEA (artículo 3.l); Convención Americana sobre Derechos Humanos (artículos 1 y 24); Declaración Americana de los Derechos y Deberes del Hombre (artículo II); Protocolo Adicional a la Convención Americana sobre Derechos Humanos en Materia de Derechos Económicos, Sociales y Culturales, “Protocolo de San Salvador” (artículo 3); Convención Interamericana para Prevenir, Sancionar y Erradicar la Violencia contra la Mujer (artículos 4.f, 6 y 8.b); Convención Interamericana para la Eliminación de Todas las Formas de Discriminación contra las Personas con Discapacidad (artículos I.2.a, II, III, IV y V); Carta de las Naciones Unidas (artículo 1.3); Declaración Universal de Derechos Humanos (artículos 2 y 7); Pacto Internacional de Derechos Económicos, Sociales y Culturales (artículos 2.2 y 3); Pacto Internacional de Derechos Civiles y Políticos (artículos 2.1 y 26); Convención Internacional sobre la Eliminación de todas las Formas de Discriminación Racial (artículo 2); Convención sobre los Derechos del Niño (artículo 2); Declaración de los Derechos del Niño (Principio 1); Convención Internacional sobre la Protección de los Derechos de Todos los Trabajadores Migratorios y de sus Familiares (artículos 1.1, 7, 18.1, 25, 27, 28, 43.1, 43.2, 45.1, 48, 55 y 70); Convención sobre la Eliminación de Todas las Formas de Discriminación contra la Mujer (artículos 2, 3, 5, 7 a 16); Declaración sobre la Eliminación de Todas las Formas de Intolerancia y Discriminación Fundadas en la Religión o las Convicciones (artículos 2 y 4); Declaración de la Organización Internacional del Trabajo (OIT) relativa a los Principios y Derechos Fundamentales en el Trabajo y su Seguimiento (2.d); Convenio No. 97 de la Organización Internacional del Trabajo (OIT) sobre los Trabajadores Migrantes (revisado) (artículo 6); Convenio No. 111 de la Organización Internacional del Trabajo (OIT) relativo a la Discriminación en Materia de Empleo y Ocupación (artículos 1 a 3); Convenio No. 143 de la Organización Internacional del Trabajo (OIT) sobre los Trabajadores Migrantes (disposiciones complementarias) (artículos 8 y 10); Convenio No. 168 de la Organización Internacional del Trabajo (OIT) sobre el Fomento del Empleo y la Protección contra el Desempleo (artículo 6); Proclamación de Teherán, Conferencia Internacional de Derechos Humanos de Teherán, 13 de mayo de 1968 (párrs. 1, 2, 5, 8 y 11); Declaración y Programa de Acción de Viena, Conferencia Mundial de Derechos Humanos, 14 a 25 de junio de 1993 (I.15; I.19; I.27; I.30; II.B.1, artículos 19 a 24; II.B.2, artículos 25 a 27); Declaración sobre los Derechos de las Personas Pertenecientes a Minorías Nacionales o Étnicas, Religiosas y Lingüísticas (artículos 2, 3, 4.1 y 5); Conferencia Mundial contra el Racismo, la Discriminación Racial, la Xenofobia y las Formas Conexas de Intolerancia, Declaración y Programa de Acción, (párrafos de la Declaración: 1, 2, 7, 9, 10, 16, 25, 38, 47, 48, 51, 66 y 104); Convención Relativa a la Lucha contra las Discriminaciones en la Esfera de la Enseñanza (artículos 1, 3 y 4); Declaración sobre la Raza y los Prejuicios Raciales (artículos 1, 2, 3, 4, 5, 6, 7, 8 y 9); Declaración sobre los Derechos Humanos de los Individuos que no son Nacionales de País en que Viven (artículo 5.1.b y 5.1.c); Carta de los Derechos Fundamentales de la Unión Europea (artículos 20 y 21); Convenio Europeo para la Protección de los Derechos Humanos y de las Libertades Fundamentales (artículo 14); Carta Social Europea (artículo 19.4, 19.5 y 19.7); Protocolo No.12 al Convenio Europeo para la Protección de los Derechos Humanos y de las Libertades Fundamentales (artículo 1); Carta Africana de los Derechos Humanos y de los Pueblos “Carta de Banjul” (artículos 2 y 3); Carta Árabe sobre Derechos Humanos (artículo 2), y Declaración de El Cairo sobre Derechos Humanos en el Islam (artículo 1).</w:t>
      </w:r>
    </w:p>
  </w:footnote>
  <w:footnote w:id="4">
    <w:p w14:paraId="4F7C59C1" w14:textId="77777777" w:rsidR="00991189" w:rsidRPr="00E32027" w:rsidRDefault="00991189" w:rsidP="00991189">
      <w:pPr>
        <w:pStyle w:val="Textonotapie"/>
        <w:jc w:val="both"/>
        <w:rPr>
          <w:sz w:val="16"/>
          <w:szCs w:val="16"/>
        </w:rPr>
      </w:pPr>
      <w:r>
        <w:rPr>
          <w:rStyle w:val="Refdenotaalpie"/>
        </w:rPr>
        <w:footnoteRef/>
      </w:r>
      <w:r>
        <w:t xml:space="preserve"> </w:t>
      </w:r>
      <w:r w:rsidRPr="00E32027">
        <w:rPr>
          <w:rFonts w:ascii="Arial" w:hAnsi="Arial" w:cs="Arial"/>
          <w:sz w:val="16"/>
          <w:szCs w:val="16"/>
        </w:rPr>
        <w:t>Protocolo para Juzgar con perspectiva de Género. Haciendo realidad el derecho a la igualdad, de la Suprema Corte de Justicia de la Nación, segunda edición, 2015. P.30</w:t>
      </w:r>
    </w:p>
  </w:footnote>
  <w:footnote w:id="5">
    <w:p w14:paraId="708C1601" w14:textId="77777777" w:rsidR="00991189" w:rsidRPr="00E32027" w:rsidRDefault="00991189" w:rsidP="00991189">
      <w:pPr>
        <w:pStyle w:val="Textonotapie"/>
        <w:jc w:val="both"/>
        <w:rPr>
          <w:rFonts w:ascii="Arial" w:hAnsi="Arial" w:cs="Arial"/>
          <w:sz w:val="16"/>
          <w:szCs w:val="16"/>
        </w:rPr>
      </w:pPr>
      <w:r w:rsidRPr="00E32027">
        <w:rPr>
          <w:rStyle w:val="Refdenotaalpie"/>
          <w:sz w:val="16"/>
          <w:szCs w:val="16"/>
        </w:rPr>
        <w:footnoteRef/>
      </w:r>
      <w:r w:rsidRPr="00E32027">
        <w:rPr>
          <w:sz w:val="16"/>
          <w:szCs w:val="16"/>
        </w:rPr>
        <w:t xml:space="preserve"> </w:t>
      </w:r>
      <w:r w:rsidRPr="00E32027">
        <w:rPr>
          <w:rFonts w:ascii="Arial" w:hAnsi="Arial" w:cs="Arial"/>
          <w:sz w:val="16"/>
          <w:szCs w:val="16"/>
        </w:rPr>
        <w:t>Ley General de Acceso de las Mujeres a una Vida Libre de Violencia. Artículo 5I. […] X. Perspectiva de Género: Es una visión científica, analítica y política sobre las mujeres y los hombres. Se propone eliminar las causas de la opresión de género como la desigualdad, la injusticia y la jerarquización de las personas basada en el género. Promueve la igualdad entre los géneros a través de la equidad, el adelanto y el bienestar de las mujeres; contribuye a construir una sociedad en donde las mujeres y los hombres tengan el mismo valor, la igualdad de derechos y oportunidades para acceder a los recursos económicos y a la representación política y social en los ámbitos de toma de decisiones; […]</w:t>
      </w:r>
    </w:p>
  </w:footnote>
  <w:footnote w:id="6">
    <w:p w14:paraId="49351CD9" w14:textId="77777777" w:rsidR="00991189" w:rsidRPr="007B5273" w:rsidRDefault="00991189" w:rsidP="00991189">
      <w:pPr>
        <w:jc w:val="both"/>
        <w:rPr>
          <w:rFonts w:ascii="Arial" w:hAnsi="Arial" w:cs="Arial"/>
          <w:sz w:val="16"/>
          <w:szCs w:val="16"/>
        </w:rPr>
      </w:pPr>
      <w:r>
        <w:rPr>
          <w:rStyle w:val="Refdenotaalpie"/>
        </w:rPr>
        <w:footnoteRef/>
      </w:r>
      <w:r>
        <w:t xml:space="preserve"> </w:t>
      </w:r>
      <w:r w:rsidRPr="007B5273">
        <w:rPr>
          <w:rFonts w:ascii="Arial" w:hAnsi="Arial" w:cs="Arial"/>
          <w:b/>
          <w:bCs/>
          <w:sz w:val="16"/>
          <w:szCs w:val="16"/>
        </w:rPr>
        <w:t xml:space="preserve">Lenguaje sexista: </w:t>
      </w:r>
      <w:r w:rsidRPr="007B5273">
        <w:rPr>
          <w:rFonts w:ascii="Arial" w:hAnsi="Arial" w:cs="Arial"/>
          <w:sz w:val="16"/>
          <w:szCs w:val="16"/>
        </w:rPr>
        <w:t>Aquellas expresiones de la comunicación humana que invisibilizan a las mujeres, las subordinan, las humillan y este</w:t>
      </w:r>
      <w:r w:rsidRPr="007B5273">
        <w:rPr>
          <w:rFonts w:ascii="Arial" w:hAnsi="Arial" w:cs="Arial"/>
          <w:sz w:val="16"/>
          <w:szCs w:val="16"/>
        </w:rPr>
        <w:softHyphen/>
        <w:t>reotipan. CONAPRED. 10 Recomendaciones para el uso no sexista del lenguaje. 2da. Edición. México, 2009. Pp. 26.</w:t>
      </w:r>
    </w:p>
  </w:footnote>
  <w:footnote w:id="7">
    <w:p w14:paraId="15A08DAC" w14:textId="77777777" w:rsidR="00991189" w:rsidRPr="007B5273" w:rsidRDefault="00991189" w:rsidP="00991189">
      <w:pPr>
        <w:pStyle w:val="Textonotapie"/>
        <w:rPr>
          <w:sz w:val="16"/>
          <w:szCs w:val="16"/>
        </w:rPr>
      </w:pPr>
      <w:r w:rsidRPr="007B5273">
        <w:rPr>
          <w:rStyle w:val="Refdenotaalpie"/>
          <w:sz w:val="16"/>
          <w:szCs w:val="16"/>
        </w:rPr>
        <w:footnoteRef/>
      </w:r>
      <w:r w:rsidRPr="007B5273">
        <w:rPr>
          <w:sz w:val="16"/>
          <w:szCs w:val="16"/>
        </w:rPr>
        <w:t xml:space="preserve"> </w:t>
      </w:r>
      <w:r w:rsidRPr="007B5273">
        <w:rPr>
          <w:rFonts w:ascii="Arial" w:hAnsi="Arial" w:cs="Arial"/>
          <w:sz w:val="16"/>
          <w:szCs w:val="16"/>
        </w:rPr>
        <w:t>Protocolo para Juzgar con perspectiva de Género. Haciendo realidad el derecho a la igualdad, de la Suprema Corte de Justicia de la Nación, segunda edición, 2015. P.48</w:t>
      </w:r>
    </w:p>
  </w:footnote>
  <w:footnote w:id="8">
    <w:p w14:paraId="4B67B4FC" w14:textId="77777777" w:rsidR="00991189" w:rsidRPr="007B5273" w:rsidRDefault="00991189" w:rsidP="00991189">
      <w:pPr>
        <w:pStyle w:val="Textonotapie"/>
        <w:jc w:val="both"/>
        <w:rPr>
          <w:rFonts w:ascii="Arial" w:hAnsi="Arial" w:cs="Arial"/>
          <w:sz w:val="16"/>
          <w:szCs w:val="16"/>
        </w:rPr>
      </w:pPr>
      <w:r>
        <w:rPr>
          <w:rStyle w:val="Refdenotaalpie"/>
        </w:rPr>
        <w:footnoteRef/>
      </w:r>
      <w:r>
        <w:t xml:space="preserve"> </w:t>
      </w:r>
      <w:r w:rsidRPr="007B5273">
        <w:rPr>
          <w:rFonts w:ascii="Arial" w:hAnsi="Arial" w:cs="Arial"/>
          <w:sz w:val="16"/>
          <w:szCs w:val="16"/>
        </w:rPr>
        <w:t>Rebecca Cook y Simone Cusack, Estereotipos de Género. Perspectivas Legales Transnacionales (traducción de Andrea Parra) (Filadelfia: University of Pennsylvania Press, Pro Familia, 2009), p. 1. Citado en el Protocolo para Juzgar con perspectiva de Género. Haciendo realidad el derecho a la igualdad, de la Suprema Corte de Justicia de la Nación, segunda edición, 2015, p. 48.</w:t>
      </w:r>
    </w:p>
  </w:footnote>
  <w:footnote w:id="9">
    <w:p w14:paraId="6496F58C" w14:textId="77777777" w:rsidR="00991189" w:rsidRPr="007B5273" w:rsidRDefault="00991189" w:rsidP="00991189">
      <w:pPr>
        <w:pStyle w:val="Textonotapie"/>
        <w:jc w:val="both"/>
        <w:rPr>
          <w:sz w:val="16"/>
          <w:szCs w:val="16"/>
        </w:rPr>
      </w:pPr>
      <w:r w:rsidRPr="007B5273">
        <w:rPr>
          <w:rFonts w:ascii="Arial" w:hAnsi="Arial" w:cs="Arial"/>
          <w:sz w:val="16"/>
          <w:szCs w:val="16"/>
        </w:rPr>
        <w:footnoteRef/>
      </w:r>
      <w:r w:rsidRPr="007B5273">
        <w:rPr>
          <w:rFonts w:ascii="Arial" w:hAnsi="Arial" w:cs="Arial"/>
          <w:sz w:val="16"/>
          <w:szCs w:val="16"/>
        </w:rPr>
        <w:t xml:space="preserve"> Rebeca Cook y Simone Cusack, op. cit., p.59. Protocolo para Juzgar con perspectiva de Género. Haciendo realidad el derecho a la igualdad, de la Suprema Corte de Justicia de la Nación, segunda edición, 2015. P.48.</w:t>
      </w:r>
    </w:p>
  </w:footnote>
  <w:footnote w:id="10">
    <w:p w14:paraId="0E56D913" w14:textId="77777777" w:rsidR="00991189" w:rsidRPr="007B5273" w:rsidRDefault="00991189" w:rsidP="00991189">
      <w:pPr>
        <w:pStyle w:val="Textonotapie"/>
        <w:jc w:val="both"/>
        <w:rPr>
          <w:sz w:val="16"/>
          <w:szCs w:val="16"/>
        </w:rPr>
      </w:pPr>
      <w:r w:rsidRPr="007B5273">
        <w:rPr>
          <w:rStyle w:val="Refdenotaalpie"/>
          <w:sz w:val="16"/>
          <w:szCs w:val="16"/>
        </w:rPr>
        <w:footnoteRef/>
      </w:r>
      <w:r w:rsidRPr="007B5273">
        <w:rPr>
          <w:sz w:val="16"/>
          <w:szCs w:val="16"/>
        </w:rPr>
        <w:t xml:space="preserve"> </w:t>
      </w:r>
      <w:r w:rsidRPr="007B5273">
        <w:rPr>
          <w:rFonts w:ascii="Arial" w:hAnsi="Arial" w:cs="Arial"/>
          <w:sz w:val="16"/>
          <w:szCs w:val="16"/>
        </w:rPr>
        <w:t>Protocolo para Juzgar con perspectiva de Género. Haciendo realidad el derecho a la igualdad, de la Suprema Corte de Justicia de la Nación, segunda edición, 2015.p 50</w:t>
      </w:r>
    </w:p>
  </w:footnote>
  <w:footnote w:id="11">
    <w:p w14:paraId="34D25FE1" w14:textId="77777777" w:rsidR="00991189" w:rsidRPr="00785F1E" w:rsidRDefault="00991189" w:rsidP="00991189">
      <w:pPr>
        <w:pStyle w:val="Textonotapie"/>
        <w:jc w:val="both"/>
        <w:rPr>
          <w:sz w:val="18"/>
          <w:szCs w:val="18"/>
        </w:rPr>
      </w:pPr>
      <w:r w:rsidRPr="007B5273">
        <w:rPr>
          <w:rStyle w:val="Refdenotaalpie"/>
          <w:sz w:val="16"/>
          <w:szCs w:val="16"/>
        </w:rPr>
        <w:footnoteRef/>
      </w:r>
      <w:r w:rsidRPr="007B5273">
        <w:rPr>
          <w:sz w:val="16"/>
          <w:szCs w:val="16"/>
        </w:rPr>
        <w:t xml:space="preserve"> </w:t>
      </w:r>
      <w:r w:rsidRPr="007B5273">
        <w:rPr>
          <w:rFonts w:ascii="Arial" w:hAnsi="Arial" w:cs="Arial"/>
          <w:sz w:val="16"/>
          <w:szCs w:val="16"/>
        </w:rPr>
        <w:t>Protocolo para Juzgar con perspectiva de Género. Haciendo realidad el derecho a la igualdad, de la Suprema Corte de Justicia de la Nación, segunda edición, 2015.p 51.</w:t>
      </w:r>
    </w:p>
  </w:footnote>
  <w:footnote w:id="12">
    <w:p w14:paraId="05B51A80" w14:textId="77777777" w:rsidR="00991189" w:rsidRPr="007B5273" w:rsidRDefault="00991189" w:rsidP="00991189">
      <w:pPr>
        <w:pStyle w:val="Textonotapie"/>
        <w:jc w:val="both"/>
        <w:rPr>
          <w:rFonts w:ascii="Arial" w:hAnsi="Arial" w:cs="Arial"/>
          <w:sz w:val="16"/>
          <w:szCs w:val="16"/>
        </w:rPr>
      </w:pPr>
      <w:r>
        <w:rPr>
          <w:rStyle w:val="Refdenotaalpie"/>
        </w:rPr>
        <w:footnoteRef/>
      </w:r>
      <w:r>
        <w:t xml:space="preserve"> </w:t>
      </w:r>
      <w:r w:rsidRPr="007B5273">
        <w:rPr>
          <w:rFonts w:ascii="Arial" w:hAnsi="Arial" w:cs="Arial"/>
          <w:sz w:val="16"/>
          <w:szCs w:val="16"/>
        </w:rPr>
        <w:t>Comité para la Eliminación de la Discriminación Contra la Mujer (CEDAW). Caso RKB vs. Turquía. Comunicación No 28/2010. 14 de julio de 2009, párr. 8.8.</w:t>
      </w:r>
    </w:p>
  </w:footnote>
  <w:footnote w:id="13">
    <w:p w14:paraId="0FC65939" w14:textId="77777777" w:rsidR="00991189" w:rsidRDefault="00991189" w:rsidP="00991189">
      <w:pPr>
        <w:jc w:val="both"/>
      </w:pPr>
      <w:r w:rsidRPr="007B5273">
        <w:rPr>
          <w:rStyle w:val="Refdenotaalpie"/>
          <w:sz w:val="16"/>
          <w:szCs w:val="16"/>
        </w:rPr>
        <w:footnoteRef/>
      </w:r>
      <w:r w:rsidRPr="007B5273">
        <w:rPr>
          <w:sz w:val="16"/>
          <w:szCs w:val="16"/>
        </w:rPr>
        <w:t xml:space="preserve"> </w:t>
      </w:r>
      <w:r w:rsidRPr="007B5273">
        <w:rPr>
          <w:rFonts w:ascii="Arial" w:hAnsi="Arial" w:cs="Arial"/>
          <w:sz w:val="16"/>
          <w:szCs w:val="16"/>
        </w:rPr>
        <w:t>Novena Época, Registro: 169877, Primera Sala, Jurisprudencia, Semanario Judicial de la Federación y su Gaceta, Tomo XXVII, abril de 2008, Tesis: 1a./J. 37/2008, página: 175.</w:t>
      </w:r>
    </w:p>
  </w:footnote>
  <w:footnote w:id="14">
    <w:p w14:paraId="4759A670" w14:textId="77777777" w:rsidR="00991189" w:rsidRDefault="00991189" w:rsidP="00991189">
      <w:pPr>
        <w:pStyle w:val="Textocomentario"/>
      </w:pPr>
      <w:r>
        <w:rPr>
          <w:rStyle w:val="Refdenotaalpie"/>
        </w:rPr>
        <w:footnoteRef/>
      </w:r>
      <w:r>
        <w:t xml:space="preserve"> </w:t>
      </w:r>
      <w:r w:rsidRPr="00E32027">
        <w:rPr>
          <w:sz w:val="16"/>
          <w:szCs w:val="16"/>
        </w:rPr>
        <w:t>http://www.censida.salud.gob.mx/descargas/10recomendaciones.pdf</w:t>
      </w:r>
      <w:r w:rsidRPr="007B5273">
        <w:rPr>
          <w:rStyle w:val="Hipervnculo"/>
          <w:sz w:val="16"/>
          <w:szCs w:val="16"/>
        </w:rPr>
        <w:t xml:space="preserve"> </w:t>
      </w:r>
      <w:r w:rsidRPr="007B5273">
        <w:rPr>
          <w:sz w:val="16"/>
          <w:szCs w:val="16"/>
        </w:rPr>
        <w:t>Pág. 9</w:t>
      </w:r>
    </w:p>
  </w:footnote>
  <w:footnote w:id="15">
    <w:p w14:paraId="55530282" w14:textId="77777777" w:rsidR="00991189" w:rsidRPr="007B5273" w:rsidRDefault="00991189" w:rsidP="00991189">
      <w:pPr>
        <w:pStyle w:val="Textocomentario"/>
        <w:jc w:val="both"/>
        <w:rPr>
          <w:rFonts w:ascii="Arial" w:hAnsi="Arial" w:cs="Arial"/>
          <w:sz w:val="16"/>
          <w:szCs w:val="16"/>
        </w:rPr>
      </w:pPr>
      <w:r>
        <w:rPr>
          <w:rStyle w:val="Refdenotaalpie"/>
        </w:rPr>
        <w:footnoteRef/>
      </w:r>
      <w:r>
        <w:t xml:space="preserve"> </w:t>
      </w:r>
      <w:hyperlink r:id="rId1" w:history="1">
        <w:r w:rsidRPr="007B5273">
          <w:rPr>
            <w:rFonts w:ascii="Arial" w:hAnsi="Arial" w:cs="Arial"/>
            <w:sz w:val="16"/>
            <w:szCs w:val="16"/>
          </w:rPr>
          <w:t>http://www.censida.salud.gob.mx/descargas/10recomendaciones.pdf</w:t>
        </w:r>
      </w:hyperlink>
      <w:r w:rsidRPr="007B5273">
        <w:rPr>
          <w:rFonts w:ascii="Arial" w:hAnsi="Arial" w:cs="Arial"/>
          <w:sz w:val="16"/>
          <w:szCs w:val="16"/>
        </w:rPr>
        <w:t xml:space="preserve"> Pág. 9 </w:t>
      </w:r>
    </w:p>
  </w:footnote>
  <w:footnote w:id="16">
    <w:p w14:paraId="6C941DAD" w14:textId="77777777" w:rsidR="00991189" w:rsidRPr="007B5273" w:rsidRDefault="00991189" w:rsidP="00991189">
      <w:pPr>
        <w:pStyle w:val="Textonotapie"/>
        <w:jc w:val="both"/>
        <w:rPr>
          <w:sz w:val="16"/>
          <w:szCs w:val="16"/>
        </w:rPr>
      </w:pPr>
      <w:r w:rsidRPr="007B5273">
        <w:rPr>
          <w:rStyle w:val="Refdenotaalpie"/>
          <w:sz w:val="16"/>
          <w:szCs w:val="16"/>
        </w:rPr>
        <w:footnoteRef/>
      </w:r>
      <w:r w:rsidRPr="007B5273">
        <w:rPr>
          <w:sz w:val="16"/>
          <w:szCs w:val="16"/>
        </w:rPr>
        <w:t xml:space="preserve"> </w:t>
      </w:r>
      <w:r w:rsidRPr="007B5273">
        <w:rPr>
          <w:rFonts w:ascii="Arial" w:hAnsi="Arial" w:cs="Arial"/>
          <w:sz w:val="16"/>
          <w:szCs w:val="16"/>
        </w:rPr>
        <w:t>Sexismo: Es la discriminación hacia las personas de un sexo por considerarlo inferior al otro. Alude a un conjunto de nocio</w:t>
      </w:r>
      <w:r w:rsidRPr="007B5273">
        <w:rPr>
          <w:rFonts w:ascii="Arial" w:hAnsi="Arial" w:cs="Arial"/>
          <w:sz w:val="16"/>
          <w:szCs w:val="16"/>
        </w:rPr>
        <w:softHyphen/>
        <w:t>nes, expresiones y prácticas sociales que, con base en la diferencia sexual, legitiman y afianzan la desigualdad social entre las personas. Quienes han sido históricamente dis</w:t>
      </w:r>
      <w:r w:rsidRPr="007B5273">
        <w:rPr>
          <w:rFonts w:ascii="Arial" w:hAnsi="Arial" w:cs="Arial"/>
          <w:sz w:val="16"/>
          <w:szCs w:val="16"/>
        </w:rPr>
        <w:softHyphen/>
        <w:t>criminadas son las mujeres.CONAPRED. Op.cit. P. 26.</w:t>
      </w:r>
    </w:p>
  </w:footnote>
  <w:footnote w:id="17">
    <w:p w14:paraId="094357A2" w14:textId="77777777" w:rsidR="00991189" w:rsidRDefault="00991189" w:rsidP="00991189">
      <w:pPr>
        <w:pStyle w:val="Textonotapie"/>
        <w:jc w:val="both"/>
      </w:pPr>
      <w:r w:rsidRPr="007B5273">
        <w:rPr>
          <w:rStyle w:val="Refdenotaalpie"/>
          <w:sz w:val="16"/>
          <w:szCs w:val="16"/>
        </w:rPr>
        <w:footnoteRef/>
      </w:r>
      <w:r w:rsidRPr="007B5273">
        <w:rPr>
          <w:sz w:val="16"/>
          <w:szCs w:val="16"/>
        </w:rPr>
        <w:t xml:space="preserve"> </w:t>
      </w:r>
      <w:r w:rsidRPr="007B5273">
        <w:rPr>
          <w:rFonts w:ascii="Arial" w:hAnsi="Arial" w:cs="Arial"/>
          <w:sz w:val="16"/>
          <w:szCs w:val="16"/>
        </w:rPr>
        <w:t>Androcentrismo: Organización del orden simbólico, sus estructuras económi</w:t>
      </w:r>
      <w:r w:rsidRPr="007B5273">
        <w:rPr>
          <w:rFonts w:ascii="Arial" w:hAnsi="Arial" w:cs="Arial"/>
          <w:sz w:val="16"/>
          <w:szCs w:val="16"/>
        </w:rPr>
        <w:softHyphen/>
        <w:t>cas y socioculturales a partir de la idea del hombre como sujeto central y dominante. CONAPRED. Op.cit. P. 25</w:t>
      </w:r>
    </w:p>
  </w:footnote>
  <w:footnote w:id="18">
    <w:p w14:paraId="778596F9" w14:textId="77777777" w:rsidR="00991189" w:rsidRPr="00F83FC6" w:rsidRDefault="00991189" w:rsidP="00991189">
      <w:pPr>
        <w:pStyle w:val="Textocomentario"/>
        <w:jc w:val="both"/>
        <w:rPr>
          <w:sz w:val="18"/>
          <w:szCs w:val="18"/>
        </w:rPr>
      </w:pPr>
      <w:r>
        <w:rPr>
          <w:rStyle w:val="Refdenotaalpie"/>
        </w:rPr>
        <w:footnoteRef/>
      </w:r>
      <w:r>
        <w:t xml:space="preserve"> </w:t>
      </w:r>
      <w:r w:rsidRPr="00E32027">
        <w:rPr>
          <w:sz w:val="18"/>
          <w:szCs w:val="18"/>
        </w:rPr>
        <w:t>http://www.censida.salud.gob.mx/descargas/10recomendaciones.pdf</w:t>
      </w:r>
      <w:r w:rsidRPr="00F83FC6">
        <w:rPr>
          <w:rStyle w:val="Hipervnculo"/>
          <w:sz w:val="18"/>
          <w:szCs w:val="18"/>
        </w:rPr>
        <w:t xml:space="preserve"> </w:t>
      </w:r>
      <w:r w:rsidRPr="00F83FC6">
        <w:rPr>
          <w:sz w:val="18"/>
          <w:szCs w:val="18"/>
        </w:rPr>
        <w:t>Pág.11</w:t>
      </w:r>
    </w:p>
  </w:footnote>
  <w:footnote w:id="19">
    <w:p w14:paraId="5AFDC657" w14:textId="77777777" w:rsidR="00991189" w:rsidRPr="00F83FC6" w:rsidRDefault="00991189" w:rsidP="00991189">
      <w:pPr>
        <w:pStyle w:val="Textonotapie"/>
        <w:jc w:val="both"/>
        <w:rPr>
          <w:sz w:val="18"/>
          <w:szCs w:val="18"/>
        </w:rPr>
      </w:pPr>
      <w:r w:rsidRPr="00F83FC6">
        <w:rPr>
          <w:rStyle w:val="Refdenotaalpie"/>
          <w:sz w:val="18"/>
          <w:szCs w:val="18"/>
        </w:rPr>
        <w:footnoteRef/>
      </w:r>
      <w:r w:rsidRPr="00F83FC6">
        <w:rPr>
          <w:sz w:val="18"/>
          <w:szCs w:val="18"/>
        </w:rPr>
        <w:t xml:space="preserve"> </w:t>
      </w:r>
      <w:r w:rsidRPr="00F83FC6">
        <w:rPr>
          <w:rFonts w:ascii="Arial" w:hAnsi="Arial" w:cs="Arial"/>
          <w:sz w:val="18"/>
          <w:szCs w:val="18"/>
        </w:rPr>
        <w:t xml:space="preserve">Protocolo para Juzgar con perspectiva de Género. Haciendo realidad el derecho a la igualdad, de la Suprema Corte de Justicia de la Nación, segunda edición, 2015.p </w:t>
      </w:r>
      <w:r>
        <w:rPr>
          <w:rFonts w:ascii="Arial" w:hAnsi="Arial" w:cs="Arial"/>
          <w:sz w:val="18"/>
          <w:szCs w:val="18"/>
        </w:rPr>
        <w:t>130</w:t>
      </w:r>
    </w:p>
  </w:footnote>
  <w:footnote w:id="20">
    <w:p w14:paraId="54AEE96C" w14:textId="77777777" w:rsidR="00991189" w:rsidRDefault="00991189" w:rsidP="00991189">
      <w:pPr>
        <w:jc w:val="both"/>
      </w:pPr>
      <w:r>
        <w:rPr>
          <w:rStyle w:val="Refdenotaalpie"/>
        </w:rPr>
        <w:footnoteRef/>
      </w:r>
      <w:r>
        <w:t xml:space="preserve"> </w:t>
      </w:r>
      <w:r w:rsidRPr="00AA68E5">
        <w:rPr>
          <w:rFonts w:ascii="Arial" w:hAnsi="Arial" w:cs="Arial"/>
          <w:sz w:val="20"/>
          <w:szCs w:val="20"/>
        </w:rPr>
        <w:t xml:space="preserve">Décima Época, Registro: 2011430, Primera Sala, Jurisprudencia, Gaceta del Semanario Judicial de la Federación, Libro 29, abril de 2016, Tomo II, Tesis: 1a./J. 22/2016 (10a.), Página: 836. </w:t>
      </w:r>
    </w:p>
  </w:footnote>
  <w:footnote w:id="21">
    <w:p w14:paraId="553DAAB3" w14:textId="77777777" w:rsidR="00991189" w:rsidRPr="0047646E" w:rsidRDefault="00991189" w:rsidP="00991189">
      <w:pPr>
        <w:pStyle w:val="Textonotapie"/>
        <w:jc w:val="both"/>
        <w:rPr>
          <w:rFonts w:ascii="Arial" w:hAnsi="Arial" w:cs="Arial"/>
        </w:rPr>
      </w:pPr>
      <w:r>
        <w:rPr>
          <w:rStyle w:val="Refdenotaalpie"/>
        </w:rPr>
        <w:footnoteRef/>
      </w:r>
      <w:r>
        <w:t xml:space="preserve"> </w:t>
      </w:r>
      <w:r w:rsidRPr="0047646E">
        <w:rPr>
          <w:rFonts w:ascii="Arial" w:hAnsi="Arial" w:cs="Arial"/>
        </w:rPr>
        <w:t>Jurisprudencia 8/2015 de rubro: INTERÉS LEGÍTIMO. LAS MUJERES LO TIENEN PARA ACUDIR A SOLICITAR LA TUTELA DEL PRINCIPIO CONSTITUCIONAL DE PARIDAD DE </w:t>
      </w:r>
      <w:r w:rsidRPr="0047646E">
        <w:rPr>
          <w:rFonts w:ascii="Arial" w:hAnsi="Arial" w:cs="Arial"/>
          <w:bCs/>
        </w:rPr>
        <w:t>GÉNERO</w:t>
      </w:r>
      <w:r w:rsidRPr="0047646E">
        <w:rPr>
          <w:rFonts w:ascii="Arial" w:hAnsi="Arial" w:cs="Arial"/>
        </w:rPr>
        <w:t> EN LA POSTULACIÓN DE CANDIDATURAS A CARGOS DE ELECCIÓN POPULAR</w:t>
      </w:r>
      <w:r>
        <w:rPr>
          <w:rFonts w:ascii="Arial" w:hAnsi="Arial" w:cs="Arial"/>
        </w:rPr>
        <w:t>.</w:t>
      </w:r>
    </w:p>
  </w:footnote>
  <w:footnote w:id="22">
    <w:p w14:paraId="39CA8665" w14:textId="77777777" w:rsidR="00991189" w:rsidRPr="0047646E" w:rsidRDefault="00991189" w:rsidP="00991189">
      <w:pPr>
        <w:pStyle w:val="Textonotapie"/>
        <w:jc w:val="both"/>
        <w:rPr>
          <w:rFonts w:ascii="Arial" w:hAnsi="Arial" w:cs="Arial"/>
        </w:rPr>
      </w:pPr>
      <w:r>
        <w:rPr>
          <w:rStyle w:val="Refdenotaalpie"/>
        </w:rPr>
        <w:footnoteRef/>
      </w:r>
      <w:r>
        <w:t xml:space="preserve"> </w:t>
      </w:r>
      <w:r w:rsidRPr="0047646E">
        <w:rPr>
          <w:rFonts w:ascii="Arial" w:hAnsi="Arial" w:cs="Arial"/>
        </w:rPr>
        <w:t>Esto, conforme al acta del Instituto Electoral del Estado de Puebla con clave IEE-11/15, la cual se puede consultar en la siguiente dirección de internet: http://www.ieepuebla.org.mx/2016/actas/CG/ACTA%20IEE_11_15.pdf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E0388"/>
    <w:multiLevelType w:val="hybridMultilevel"/>
    <w:tmpl w:val="C2665858"/>
    <w:lvl w:ilvl="0" w:tplc="DAEE56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3551327"/>
    <w:multiLevelType w:val="hybridMultilevel"/>
    <w:tmpl w:val="C1C8A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0F536E"/>
    <w:multiLevelType w:val="hybridMultilevel"/>
    <w:tmpl w:val="B2CA6C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F7717D"/>
    <w:multiLevelType w:val="hybridMultilevel"/>
    <w:tmpl w:val="0F8A7A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3A6257"/>
    <w:multiLevelType w:val="hybridMultilevel"/>
    <w:tmpl w:val="5B4A7CC2"/>
    <w:lvl w:ilvl="0" w:tplc="C5B8A99C">
      <w:start w:val="1"/>
      <w:numFmt w:val="upperRoman"/>
      <w:lvlText w:val="%1."/>
      <w:lvlJc w:val="left"/>
      <w:pPr>
        <w:ind w:left="1080" w:hanging="72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AB6864"/>
    <w:multiLevelType w:val="hybridMultilevel"/>
    <w:tmpl w:val="38F474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AE2962"/>
    <w:multiLevelType w:val="hybridMultilevel"/>
    <w:tmpl w:val="917CEB2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212B41"/>
    <w:multiLevelType w:val="hybridMultilevel"/>
    <w:tmpl w:val="23EC98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2C3CFB"/>
    <w:multiLevelType w:val="hybridMultilevel"/>
    <w:tmpl w:val="B3C6543E"/>
    <w:lvl w:ilvl="0" w:tplc="62EC50A8">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3BBC4B5E"/>
    <w:multiLevelType w:val="hybridMultilevel"/>
    <w:tmpl w:val="56740FE2"/>
    <w:lvl w:ilvl="0" w:tplc="BD6695C6">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8E83F6C"/>
    <w:multiLevelType w:val="hybridMultilevel"/>
    <w:tmpl w:val="8CB2F2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3B21483"/>
    <w:multiLevelType w:val="hybridMultilevel"/>
    <w:tmpl w:val="3D24ED42"/>
    <w:lvl w:ilvl="0" w:tplc="BD6695C6">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C1F5FBB"/>
    <w:multiLevelType w:val="hybridMultilevel"/>
    <w:tmpl w:val="3A6E0B20"/>
    <w:lvl w:ilvl="0" w:tplc="BD6695C6">
      <w:start w:val="1"/>
      <w:numFmt w:val="decimal"/>
      <w:lvlText w:val="%1."/>
      <w:lvlJc w:val="left"/>
      <w:pPr>
        <w:ind w:left="1080" w:hanging="360"/>
      </w:pPr>
      <w:rPr>
        <w:rFonts w:hint="default"/>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F9C4176"/>
    <w:multiLevelType w:val="hybridMultilevel"/>
    <w:tmpl w:val="2E3C0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FC02190"/>
    <w:multiLevelType w:val="hybridMultilevel"/>
    <w:tmpl w:val="C0C005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A0439D4"/>
    <w:multiLevelType w:val="hybridMultilevel"/>
    <w:tmpl w:val="3B882EA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15"/>
  </w:num>
  <w:num w:numId="5">
    <w:abstractNumId w:val="8"/>
  </w:num>
  <w:num w:numId="6">
    <w:abstractNumId w:val="2"/>
  </w:num>
  <w:num w:numId="7">
    <w:abstractNumId w:val="6"/>
  </w:num>
  <w:num w:numId="8">
    <w:abstractNumId w:val="12"/>
  </w:num>
  <w:num w:numId="9">
    <w:abstractNumId w:val="10"/>
  </w:num>
  <w:num w:numId="10">
    <w:abstractNumId w:val="3"/>
  </w:num>
  <w:num w:numId="11">
    <w:abstractNumId w:val="14"/>
  </w:num>
  <w:num w:numId="12">
    <w:abstractNumId w:val="1"/>
  </w:num>
  <w:num w:numId="13">
    <w:abstractNumId w:val="7"/>
  </w:num>
  <w:num w:numId="14">
    <w:abstractNumId w:val="9"/>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2AB"/>
    <w:rsid w:val="00263E21"/>
    <w:rsid w:val="002E22A6"/>
    <w:rsid w:val="003837FD"/>
    <w:rsid w:val="0043401E"/>
    <w:rsid w:val="006C2C58"/>
    <w:rsid w:val="009036BA"/>
    <w:rsid w:val="00991189"/>
    <w:rsid w:val="00A202AB"/>
    <w:rsid w:val="00B14487"/>
    <w:rsid w:val="00BA3E28"/>
    <w:rsid w:val="00D870B7"/>
    <w:rsid w:val="00E52C5A"/>
    <w:rsid w:val="00F919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61C99"/>
  <w15:chartTrackingRefBased/>
  <w15:docId w15:val="{42F92AFF-0866-4968-9A76-D94F84082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340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340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43401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43401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43401E"/>
    <w:rPr>
      <w:color w:val="0000FF"/>
      <w:u w:val="single"/>
    </w:rPr>
  </w:style>
  <w:style w:type="character" w:customStyle="1" w:styleId="Ttulo1Car">
    <w:name w:val="Título 1 Car"/>
    <w:basedOn w:val="Fuentedeprrafopredeter"/>
    <w:link w:val="Ttulo1"/>
    <w:uiPriority w:val="9"/>
    <w:rsid w:val="0043401E"/>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43401E"/>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43401E"/>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43401E"/>
    <w:rPr>
      <w:rFonts w:asciiTheme="majorHAnsi" w:eastAsiaTheme="majorEastAsia" w:hAnsiTheme="majorHAnsi" w:cstheme="majorBidi"/>
      <w:i/>
      <w:iCs/>
      <w:color w:val="2F5496" w:themeColor="accent1" w:themeShade="BF"/>
    </w:rPr>
  </w:style>
  <w:style w:type="character" w:styleId="Textoennegrita">
    <w:name w:val="Strong"/>
    <w:basedOn w:val="Fuentedeprrafopredeter"/>
    <w:uiPriority w:val="22"/>
    <w:qFormat/>
    <w:rsid w:val="009036BA"/>
    <w:rPr>
      <w:b/>
      <w:bCs/>
    </w:rPr>
  </w:style>
  <w:style w:type="table" w:customStyle="1" w:styleId="TableNormal">
    <w:name w:val="Table Normal"/>
    <w:rsid w:val="0099118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paragraph" w:styleId="Encabezado">
    <w:name w:val="header"/>
    <w:link w:val="EncabezadoCar"/>
    <w:rsid w:val="00991189"/>
    <w:pPr>
      <w:pBdr>
        <w:top w:val="nil"/>
        <w:left w:val="nil"/>
        <w:bottom w:val="nil"/>
        <w:right w:val="nil"/>
        <w:between w:val="nil"/>
        <w:bar w:val="nil"/>
      </w:pBdr>
      <w:tabs>
        <w:tab w:val="center" w:pos="4252"/>
        <w:tab w:val="right" w:pos="8504"/>
      </w:tabs>
      <w:spacing w:after="0" w:line="240" w:lineRule="auto"/>
    </w:pPr>
    <w:rPr>
      <w:rFonts w:ascii="Times New Roman" w:eastAsia="Arial Unicode MS" w:hAnsi="Arial Unicode MS" w:cs="Arial Unicode MS"/>
      <w:color w:val="000000"/>
      <w:sz w:val="24"/>
      <w:szCs w:val="24"/>
      <w:u w:color="000000"/>
      <w:bdr w:val="nil"/>
      <w:lang w:val="es-ES_tradnl" w:eastAsia="es-MX"/>
    </w:rPr>
  </w:style>
  <w:style w:type="character" w:customStyle="1" w:styleId="EncabezadoCar">
    <w:name w:val="Encabezado Car"/>
    <w:basedOn w:val="Fuentedeprrafopredeter"/>
    <w:link w:val="Encabezado"/>
    <w:rsid w:val="00991189"/>
    <w:rPr>
      <w:rFonts w:ascii="Times New Roman" w:eastAsia="Arial Unicode MS" w:hAnsi="Arial Unicode MS" w:cs="Arial Unicode MS"/>
      <w:color w:val="000000"/>
      <w:sz w:val="24"/>
      <w:szCs w:val="24"/>
      <w:u w:color="000000"/>
      <w:bdr w:val="nil"/>
      <w:lang w:val="es-ES_tradnl" w:eastAsia="es-MX"/>
    </w:rPr>
  </w:style>
  <w:style w:type="paragraph" w:styleId="Piedepgina">
    <w:name w:val="footer"/>
    <w:link w:val="PiedepginaCar"/>
    <w:rsid w:val="00991189"/>
    <w:pPr>
      <w:pBdr>
        <w:top w:val="nil"/>
        <w:left w:val="nil"/>
        <w:bottom w:val="nil"/>
        <w:right w:val="nil"/>
        <w:between w:val="nil"/>
        <w:bar w:val="nil"/>
      </w:pBdr>
      <w:tabs>
        <w:tab w:val="center" w:pos="4419"/>
        <w:tab w:val="right" w:pos="8838"/>
      </w:tabs>
      <w:spacing w:after="0" w:line="240" w:lineRule="auto"/>
    </w:pPr>
    <w:rPr>
      <w:rFonts w:ascii="Times New Roman" w:eastAsia="Times New Roman" w:hAnsi="Times New Roman" w:cs="Times New Roman"/>
      <w:color w:val="000000"/>
      <w:sz w:val="28"/>
      <w:szCs w:val="28"/>
      <w:u w:color="000000"/>
      <w:bdr w:val="nil"/>
      <w:lang w:eastAsia="es-MX"/>
    </w:rPr>
  </w:style>
  <w:style w:type="character" w:customStyle="1" w:styleId="PiedepginaCar">
    <w:name w:val="Pie de página Car"/>
    <w:basedOn w:val="Fuentedeprrafopredeter"/>
    <w:link w:val="Piedepgina"/>
    <w:rsid w:val="00991189"/>
    <w:rPr>
      <w:rFonts w:ascii="Times New Roman" w:eastAsia="Times New Roman" w:hAnsi="Times New Roman" w:cs="Times New Roman"/>
      <w:color w:val="000000"/>
      <w:sz w:val="28"/>
      <w:szCs w:val="28"/>
      <w:u w:color="000000"/>
      <w:bdr w:val="nil"/>
      <w:lang w:eastAsia="es-MX"/>
    </w:rPr>
  </w:style>
  <w:style w:type="paragraph" w:customStyle="1" w:styleId="Cabeceraypie">
    <w:name w:val="Cabecera y pie"/>
    <w:rsid w:val="00991189"/>
    <w:pPr>
      <w:pBdr>
        <w:top w:val="nil"/>
        <w:left w:val="nil"/>
        <w:bottom w:val="nil"/>
        <w:right w:val="nil"/>
        <w:between w:val="nil"/>
        <w:bar w:val="nil"/>
      </w:pBdr>
      <w:tabs>
        <w:tab w:val="right" w:pos="9020"/>
      </w:tabs>
      <w:spacing w:after="0" w:line="240" w:lineRule="auto"/>
    </w:pPr>
    <w:rPr>
      <w:rFonts w:ascii="Helvetica" w:eastAsia="Helvetica" w:hAnsi="Helvetica" w:cs="Helvetica"/>
      <w:color w:val="000000"/>
      <w:sz w:val="24"/>
      <w:szCs w:val="24"/>
      <w:bdr w:val="nil"/>
      <w:lang w:eastAsia="es-MX"/>
    </w:rPr>
  </w:style>
  <w:style w:type="paragraph" w:customStyle="1" w:styleId="Cuerpo">
    <w:name w:val="Cuerpo"/>
    <w:rsid w:val="00991189"/>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s-ES_tradnl" w:eastAsia="es-MX"/>
    </w:rPr>
  </w:style>
  <w:style w:type="paragraph" w:customStyle="1" w:styleId="Poromisin">
    <w:name w:val="Por omisión"/>
    <w:rsid w:val="00991189"/>
    <w:pPr>
      <w:pBdr>
        <w:top w:val="nil"/>
        <w:left w:val="nil"/>
        <w:bottom w:val="nil"/>
        <w:right w:val="nil"/>
        <w:between w:val="nil"/>
        <w:bar w:val="nil"/>
      </w:pBdr>
      <w:spacing w:after="0" w:line="240" w:lineRule="auto"/>
    </w:pPr>
    <w:rPr>
      <w:rFonts w:ascii="Helvetica" w:eastAsia="Helvetica" w:hAnsi="Helvetica" w:cs="Helvetica"/>
      <w:color w:val="000000"/>
      <w:bdr w:val="nil"/>
      <w:lang w:eastAsia="es-MX"/>
    </w:rPr>
  </w:style>
  <w:style w:type="paragraph" w:styleId="NormalWeb">
    <w:name w:val="Normal (Web)"/>
    <w:aliases w:val=" Car,Normal (Web) Car1,Normal (Web) Car Car,Normal (Web) Car1 Car Car,Normal (Web) Car Car Car Car,Normal (Web) Car Car Car Car Car Car Car Car Car Car,Normal (Web) Car Car Car Car Car, Car Car Car,Car,Car Car Car Car,C,Car Car Car, Car Car"/>
    <w:link w:val="NormalWebCar"/>
    <w:uiPriority w:val="99"/>
    <w:qFormat/>
    <w:rsid w:val="00991189"/>
    <w:pPr>
      <w:pBdr>
        <w:top w:val="nil"/>
        <w:left w:val="nil"/>
        <w:bottom w:val="nil"/>
        <w:right w:val="nil"/>
        <w:between w:val="nil"/>
        <w:bar w:val="nil"/>
      </w:pBdr>
      <w:spacing w:before="100" w:after="100" w:line="240" w:lineRule="auto"/>
    </w:pPr>
    <w:rPr>
      <w:rFonts w:ascii="Times New Roman" w:eastAsia="Arial Unicode MS" w:hAnsi="Arial Unicode MS" w:cs="Arial Unicode MS"/>
      <w:color w:val="000000"/>
      <w:sz w:val="24"/>
      <w:szCs w:val="24"/>
      <w:u w:color="000000"/>
      <w:bdr w:val="nil"/>
      <w:lang w:eastAsia="es-MX"/>
    </w:rPr>
  </w:style>
  <w:style w:type="paragraph" w:styleId="Textocomentario">
    <w:name w:val="annotation text"/>
    <w:basedOn w:val="Normal"/>
    <w:link w:val="TextocomentarioCar"/>
    <w:uiPriority w:val="99"/>
    <w:unhideWhenUsed/>
    <w:rsid w:val="0099118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comentarioCar">
    <w:name w:val="Texto comentario Car"/>
    <w:basedOn w:val="Fuentedeprrafopredeter"/>
    <w:link w:val="Textocomentario"/>
    <w:uiPriority w:val="99"/>
    <w:rsid w:val="00991189"/>
    <w:rPr>
      <w:rFonts w:ascii="Times New Roman" w:eastAsia="Arial Unicode MS" w:hAnsi="Times New Roman" w:cs="Times New Roman"/>
      <w:sz w:val="20"/>
      <w:szCs w:val="20"/>
      <w:bdr w:val="nil"/>
    </w:rPr>
  </w:style>
  <w:style w:type="character" w:styleId="Refdecomentario">
    <w:name w:val="annotation reference"/>
    <w:basedOn w:val="Fuentedeprrafopredeter"/>
    <w:uiPriority w:val="99"/>
    <w:semiHidden/>
    <w:unhideWhenUsed/>
    <w:rsid w:val="00991189"/>
    <w:rPr>
      <w:sz w:val="16"/>
      <w:szCs w:val="16"/>
    </w:rPr>
  </w:style>
  <w:style w:type="paragraph" w:styleId="Textodeglobo">
    <w:name w:val="Balloon Text"/>
    <w:basedOn w:val="Normal"/>
    <w:link w:val="TextodegloboCar"/>
    <w:uiPriority w:val="99"/>
    <w:semiHidden/>
    <w:unhideWhenUsed/>
    <w:rsid w:val="00991189"/>
    <w:pPr>
      <w:pBdr>
        <w:top w:val="nil"/>
        <w:left w:val="nil"/>
        <w:bottom w:val="nil"/>
        <w:right w:val="nil"/>
        <w:between w:val="nil"/>
        <w:bar w:val="nil"/>
      </w:pBdr>
      <w:spacing w:after="0" w:line="240" w:lineRule="auto"/>
    </w:pPr>
    <w:rPr>
      <w:rFonts w:ascii="Tahoma" w:eastAsia="Arial Unicode MS" w:hAnsi="Tahoma" w:cs="Tahoma"/>
      <w:sz w:val="16"/>
      <w:szCs w:val="16"/>
      <w:bdr w:val="nil"/>
    </w:rPr>
  </w:style>
  <w:style w:type="character" w:customStyle="1" w:styleId="TextodegloboCar">
    <w:name w:val="Texto de globo Car"/>
    <w:basedOn w:val="Fuentedeprrafopredeter"/>
    <w:link w:val="Textodeglobo"/>
    <w:uiPriority w:val="99"/>
    <w:semiHidden/>
    <w:rsid w:val="00991189"/>
    <w:rPr>
      <w:rFonts w:ascii="Tahoma" w:eastAsia="Arial Unicode MS" w:hAnsi="Tahoma" w:cs="Tahoma"/>
      <w:sz w:val="16"/>
      <w:szCs w:val="16"/>
      <w:bdr w:val="nil"/>
    </w:rPr>
  </w:style>
  <w:style w:type="paragraph" w:styleId="Prrafodelista">
    <w:name w:val="List Paragraph"/>
    <w:aliases w:val="CNBV Parrafo1,Párrafo de lista1"/>
    <w:basedOn w:val="Normal"/>
    <w:link w:val="PrrafodelistaCar"/>
    <w:uiPriority w:val="34"/>
    <w:qFormat/>
    <w:rsid w:val="00991189"/>
    <w:pPr>
      <w:spacing w:after="0" w:line="240" w:lineRule="auto"/>
      <w:ind w:left="720"/>
      <w:contextualSpacing/>
    </w:pPr>
    <w:rPr>
      <w:rFonts w:ascii="Times New Roman" w:eastAsia="Times New Roman" w:hAnsi="Times New Roman" w:cs="Times New Roman"/>
      <w:sz w:val="24"/>
      <w:szCs w:val="24"/>
      <w:lang w:eastAsia="es-MX"/>
    </w:rPr>
  </w:style>
  <w:style w:type="character" w:customStyle="1" w:styleId="PrrafodelistaCar">
    <w:name w:val="Párrafo de lista Car"/>
    <w:aliases w:val="CNBV Parrafo1 Car,Párrafo de lista1 Car"/>
    <w:basedOn w:val="Fuentedeprrafopredeter"/>
    <w:link w:val="Prrafodelista"/>
    <w:uiPriority w:val="34"/>
    <w:locked/>
    <w:rsid w:val="00991189"/>
    <w:rPr>
      <w:rFonts w:ascii="Times New Roman" w:eastAsia="Times New Roman" w:hAnsi="Times New Roman" w:cs="Times New Roman"/>
      <w:sz w:val="24"/>
      <w:szCs w:val="24"/>
      <w:lang w:eastAsia="es-MX"/>
    </w:rPr>
  </w:style>
  <w:style w:type="character" w:customStyle="1" w:styleId="NormalWebCar">
    <w:name w:val="Normal (Web) Car"/>
    <w:aliases w:val=" Car Car1,Normal (Web) Car1 Car,Normal (Web) Car Car Car,Normal (Web) Car1 Car Car Car,Normal (Web) Car Car Car Car Car1,Normal (Web) Car Car Car Car Car Car Car Car Car Car Car,Normal (Web) Car Car Car Car Car Car, Car Car Car Car"/>
    <w:basedOn w:val="Fuentedeprrafopredeter"/>
    <w:link w:val="NormalWeb"/>
    <w:uiPriority w:val="99"/>
    <w:rsid w:val="00991189"/>
    <w:rPr>
      <w:rFonts w:ascii="Times New Roman" w:eastAsia="Arial Unicode MS" w:hAnsi="Arial Unicode MS" w:cs="Arial Unicode MS"/>
      <w:color w:val="000000"/>
      <w:sz w:val="24"/>
      <w:szCs w:val="24"/>
      <w:u w:color="000000"/>
      <w:bdr w:val="nil"/>
      <w:lang w:eastAsia="es-MX"/>
    </w:rPr>
  </w:style>
  <w:style w:type="table" w:styleId="Tablaconcuadrcula">
    <w:name w:val="Table Grid"/>
    <w:basedOn w:val="Tablanormal"/>
    <w:uiPriority w:val="59"/>
    <w:rsid w:val="00991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991189"/>
    <w:pPr>
      <w:autoSpaceDE w:val="0"/>
      <w:autoSpaceDN w:val="0"/>
      <w:adjustRightInd w:val="0"/>
      <w:spacing w:after="0" w:line="240" w:lineRule="auto"/>
    </w:pPr>
    <w:rPr>
      <w:rFonts w:ascii="Arial" w:hAnsi="Arial" w:cs="Arial"/>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991189"/>
    <w:rPr>
      <w:b/>
      <w:bCs/>
    </w:rPr>
  </w:style>
  <w:style w:type="character" w:customStyle="1" w:styleId="AsuntodelcomentarioCar">
    <w:name w:val="Asunto del comentario Car"/>
    <w:basedOn w:val="TextocomentarioCar"/>
    <w:link w:val="Asuntodelcomentario"/>
    <w:uiPriority w:val="99"/>
    <w:semiHidden/>
    <w:rsid w:val="00991189"/>
    <w:rPr>
      <w:rFonts w:ascii="Times New Roman" w:eastAsia="Arial Unicode MS" w:hAnsi="Times New Roman" w:cs="Times New Roman"/>
      <w:b/>
      <w:bCs/>
      <w:sz w:val="20"/>
      <w:szCs w:val="20"/>
      <w:bdr w:val="nil"/>
    </w:rPr>
  </w:style>
  <w:style w:type="paragraph" w:styleId="Textoindependiente">
    <w:name w:val="Body Text"/>
    <w:basedOn w:val="Normal"/>
    <w:link w:val="TextoindependienteCar"/>
    <w:uiPriority w:val="99"/>
    <w:semiHidden/>
    <w:unhideWhenUsed/>
    <w:rsid w:val="00991189"/>
    <w:pPr>
      <w:spacing w:after="120" w:line="276" w:lineRule="auto"/>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991189"/>
    <w:rPr>
      <w:rFonts w:ascii="Calibri" w:eastAsia="Calibri" w:hAnsi="Calibri" w:cs="Times New Roman"/>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Ca1,FA Fu?notente"/>
    <w:basedOn w:val="Normal"/>
    <w:link w:val="TextonotapieCar"/>
    <w:uiPriority w:val="99"/>
    <w:unhideWhenUsed/>
    <w:qFormat/>
    <w:rsid w:val="0099118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91189"/>
    <w:rPr>
      <w:rFonts w:ascii="Times New Roman" w:eastAsia="Arial Unicode MS" w:hAnsi="Times New Roman" w:cs="Times New Roman"/>
      <w:sz w:val="20"/>
      <w:szCs w:val="20"/>
      <w:bdr w:val="nil"/>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ftref,Ref"/>
    <w:basedOn w:val="Fuentedeprrafopredeter"/>
    <w:uiPriority w:val="99"/>
    <w:unhideWhenUsed/>
    <w:qFormat/>
    <w:rsid w:val="00991189"/>
    <w:rPr>
      <w:vertAlign w:val="superscript"/>
    </w:rPr>
  </w:style>
  <w:style w:type="character" w:customStyle="1" w:styleId="apple-converted-space">
    <w:name w:val="apple-converted-space"/>
    <w:basedOn w:val="Fuentedeprrafopredeter"/>
    <w:rsid w:val="00991189"/>
  </w:style>
  <w:style w:type="table" w:styleId="Tablaconcuadrculaclara">
    <w:name w:val="Grid Table Light"/>
    <w:basedOn w:val="Tablanormal"/>
    <w:uiPriority w:val="40"/>
    <w:rsid w:val="0099118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uiPriority w:val="1"/>
    <w:qFormat/>
    <w:rsid w:val="0099118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Pa7">
    <w:name w:val="Pa7"/>
    <w:basedOn w:val="Default"/>
    <w:next w:val="Default"/>
    <w:uiPriority w:val="99"/>
    <w:rsid w:val="00991189"/>
    <w:pPr>
      <w:spacing w:line="241" w:lineRule="atLeast"/>
    </w:pPr>
    <w:rPr>
      <w:rFonts w:ascii="Formata Light" w:hAnsi="Formata Light" w:cstheme="minorBidi"/>
      <w:color w:val="auto"/>
    </w:rPr>
  </w:style>
  <w:style w:type="character" w:styleId="nfasis">
    <w:name w:val="Emphasis"/>
    <w:basedOn w:val="Fuentedeprrafopredeter"/>
    <w:uiPriority w:val="20"/>
    <w:qFormat/>
    <w:rsid w:val="009911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3608078">
      <w:bodyDiv w:val="1"/>
      <w:marLeft w:val="0"/>
      <w:marRight w:val="0"/>
      <w:marTop w:val="0"/>
      <w:marBottom w:val="0"/>
      <w:divBdr>
        <w:top w:val="none" w:sz="0" w:space="0" w:color="auto"/>
        <w:left w:val="none" w:sz="0" w:space="0" w:color="auto"/>
        <w:bottom w:val="none" w:sz="0" w:space="0" w:color="auto"/>
        <w:right w:val="none" w:sz="0" w:space="0" w:color="auto"/>
      </w:divBdr>
      <w:divsChild>
        <w:div w:id="1820342639">
          <w:marLeft w:val="0"/>
          <w:marRight w:val="0"/>
          <w:marTop w:val="0"/>
          <w:marBottom w:val="0"/>
          <w:divBdr>
            <w:top w:val="none" w:sz="0" w:space="0" w:color="auto"/>
            <w:left w:val="none" w:sz="0" w:space="0" w:color="auto"/>
            <w:bottom w:val="none" w:sz="0" w:space="0" w:color="auto"/>
            <w:right w:val="none" w:sz="0" w:space="0" w:color="auto"/>
          </w:divBdr>
        </w:div>
        <w:div w:id="1961374086">
          <w:marLeft w:val="0"/>
          <w:marRight w:val="0"/>
          <w:marTop w:val="0"/>
          <w:marBottom w:val="0"/>
          <w:divBdr>
            <w:top w:val="none" w:sz="0" w:space="0" w:color="auto"/>
            <w:left w:val="none" w:sz="0" w:space="0" w:color="auto"/>
            <w:bottom w:val="none" w:sz="0" w:space="0" w:color="auto"/>
            <w:right w:val="none" w:sz="0" w:space="0" w:color="auto"/>
          </w:divBdr>
        </w:div>
        <w:div w:id="1828551806">
          <w:marLeft w:val="0"/>
          <w:marRight w:val="0"/>
          <w:marTop w:val="0"/>
          <w:marBottom w:val="0"/>
          <w:divBdr>
            <w:top w:val="none" w:sz="0" w:space="0" w:color="auto"/>
            <w:left w:val="none" w:sz="0" w:space="0" w:color="auto"/>
            <w:bottom w:val="none" w:sz="0" w:space="0" w:color="auto"/>
            <w:right w:val="none" w:sz="0" w:space="0" w:color="auto"/>
          </w:divBdr>
        </w:div>
        <w:div w:id="595675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gob.mx/IUSEapp/tesisjur.aspx?idtesis=XXVII/2016&amp;tpoBusqueda=S&amp;sWord=TESIS,XXVII/2016" TargetMode="External"/><Relationship Id="rId13" Type="http://schemas.openxmlformats.org/officeDocument/2006/relationships/hyperlink" Target="https://www.te.gob.mx/IUSEapp/tesisjur.aspx?idtesis=XXVII/2016&amp;tpoBusqueda=S&amp;sWord=TESIS,XXVII/2016" TargetMode="External"/><Relationship Id="rId3" Type="http://schemas.openxmlformats.org/officeDocument/2006/relationships/settings" Target="settings.xml"/><Relationship Id="rId7" Type="http://schemas.openxmlformats.org/officeDocument/2006/relationships/hyperlink" Target="https://www.te.gob.mx/IUSEapp/tesisjur.aspx?idtesis=XXVII/2016&amp;tpoBusqueda=S&amp;sWord=TESIS,XXVII/2016" TargetMode="External"/><Relationship Id="rId12" Type="http://schemas.openxmlformats.org/officeDocument/2006/relationships/hyperlink" Target="http://portal.te.gob.mx/colecciones/sentencias/html/SUP/2016/JDC/SUP-JDC-01619-2016.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gob.mx/IUSEapp/tesisjur.aspx?idtesis=XXVII/2016&amp;tpoBusqueda=S&amp;sWord=TESIS,XXVII/201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te.gob.mx/IUSEapp/tesisjur.aspx?idtesis=XXVII/2016&amp;tpoBusqueda=S&amp;sWord=TESIS,XXVII/2016" TargetMode="External"/><Relationship Id="rId4" Type="http://schemas.openxmlformats.org/officeDocument/2006/relationships/webSettings" Target="webSettings.xml"/><Relationship Id="rId9" Type="http://schemas.openxmlformats.org/officeDocument/2006/relationships/hyperlink" Target="https://www.te.gob.mx/IUSEapp/tesisjur.aspx?idtesis=XXVII/2016&amp;tpoBusqueda=S&amp;sWord=TESIS,XXVII/2016" TargetMode="External"/><Relationship Id="rId14" Type="http://schemas.openxmlformats.org/officeDocument/2006/relationships/hyperlink" Target="http://portal.te.gob.mx/colecciones/sentencias/html/SUP/2016/JDC/SUP-JDC-01619-2016.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ensida.salud.gob.mx/descargas/10recomendacione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70</Pages>
  <Words>27930</Words>
  <Characters>153619</Characters>
  <Application>Microsoft Office Word</Application>
  <DocSecurity>0</DocSecurity>
  <Lines>1280</Lines>
  <Paragraphs>362</Paragraphs>
  <ScaleCrop>false</ScaleCrop>
  <Company/>
  <LinksUpToDate>false</LinksUpToDate>
  <CharactersWithSpaces>181187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Adriana Sosa</cp:lastModifiedBy>
  <cp:revision>10</cp:revision>
  <dcterms:created xsi:type="dcterms:W3CDTF">2020-11-24T19:46:00Z</dcterms:created>
  <dcterms:modified xsi:type="dcterms:W3CDTF">2020-11-27T19:29:00Z</dcterms:modified>
</cp:coreProperties>
</file>